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99" w:rsidRPr="003A50AC" w:rsidRDefault="00B51199" w:rsidP="00B51199">
      <w:pPr>
        <w:pStyle w:val="NormalWeb"/>
        <w:spacing w:before="0" w:beforeAutospacing="0" w:after="0" w:afterAutospacing="0"/>
        <w:jc w:val="center"/>
        <w:rPr>
          <w:b/>
        </w:rPr>
      </w:pPr>
      <w:r w:rsidRPr="003A50AC">
        <w:rPr>
          <w:b/>
        </w:rPr>
        <w:t>DECLARAÇÃO DE IMPORTÂNCIA</w:t>
      </w:r>
    </w:p>
    <w:p w:rsidR="00B51199" w:rsidRDefault="00B51199" w:rsidP="00B51199">
      <w:pPr>
        <w:pStyle w:val="NormalWeb"/>
        <w:spacing w:before="0" w:beforeAutospacing="0" w:after="0" w:afterAutospacing="0"/>
        <w:ind w:firstLine="567"/>
        <w:jc w:val="center"/>
      </w:pPr>
    </w:p>
    <w:p w:rsidR="00B51199" w:rsidRDefault="00B51199" w:rsidP="00B51199">
      <w:pPr>
        <w:pStyle w:val="NormalWeb"/>
        <w:spacing w:before="0" w:beforeAutospacing="0" w:after="0" w:afterAutospacing="0"/>
        <w:ind w:firstLine="567"/>
        <w:jc w:val="center"/>
      </w:pPr>
    </w:p>
    <w:p w:rsidR="00B51199" w:rsidRDefault="00B51199" w:rsidP="00B51199">
      <w:pPr>
        <w:pStyle w:val="NormalWeb"/>
        <w:spacing w:before="0" w:beforeAutospacing="0" w:after="0" w:afterAutospacing="0"/>
        <w:ind w:firstLine="567"/>
        <w:jc w:val="center"/>
      </w:pPr>
    </w:p>
    <w:p w:rsidR="00B51199" w:rsidRPr="003A50AC" w:rsidRDefault="00B51199" w:rsidP="00B51199">
      <w:pPr>
        <w:pStyle w:val="NormalWeb"/>
        <w:spacing w:before="0" w:beforeAutospacing="0" w:after="0" w:afterAutospacing="0"/>
        <w:ind w:firstLine="567"/>
        <w:jc w:val="center"/>
      </w:pPr>
    </w:p>
    <w:p w:rsidR="00B51199" w:rsidRPr="003A50AC" w:rsidRDefault="00B51199" w:rsidP="00B51199">
      <w:pPr>
        <w:pStyle w:val="NormalWeb"/>
        <w:spacing w:before="0" w:beforeAutospacing="0" w:after="0" w:afterAutospacing="0"/>
        <w:ind w:firstLine="567"/>
        <w:jc w:val="both"/>
      </w:pPr>
      <w:r w:rsidRPr="003A50AC">
        <w:t xml:space="preserve">O direcionamento de montantes orgânicos gerados pela agroindústria é uma questão relevante para o agronegócio mundial. Nesse contexto, o uso de resíduos para alimentação animal vem sendo estudados não só em substituição ao concentrado, mas também inseridos durante a ensilagem com vistas a melhorar o valor nutritivo da silagem e o consumo pelos animais. É fato que ensilar cana-de-açúcar sem aditivos resulta em perdas de até 40% da massa, porém sabe-se que aditivos, mais marcadamente os nutricionais-absorventes, promovem melhoras sobre o valor nutritivo das silagens de cana-de-açúcar. Dessa forma, o uso de farelo de mamona </w:t>
      </w:r>
      <w:proofErr w:type="spellStart"/>
      <w:r w:rsidRPr="003A50AC">
        <w:t>destixificado</w:t>
      </w:r>
      <w:proofErr w:type="spellEnd"/>
      <w:r w:rsidRPr="003A50AC">
        <w:t xml:space="preserve"> é uma alternativa por melhorar o valor nutritivo da silagem de cana-de-açúcar e elevar a eficiência de alimentação dos animais alimentados com esse volumoso.       </w:t>
      </w:r>
    </w:p>
    <w:p w:rsidR="00B51199" w:rsidRPr="003A50AC" w:rsidRDefault="00B51199" w:rsidP="00B51199">
      <w:pPr>
        <w:spacing w:after="0"/>
        <w:ind w:firstLine="567"/>
        <w:rPr>
          <w:rFonts w:ascii="Times New Roman" w:hAnsi="Times New Roman" w:cs="Times New Roman"/>
        </w:rPr>
      </w:pPr>
    </w:p>
    <w:p w:rsidR="00B52BEB" w:rsidRDefault="00B52BEB">
      <w:bookmarkStart w:id="0" w:name="_GoBack"/>
      <w:bookmarkEnd w:id="0"/>
    </w:p>
    <w:sectPr w:rsidR="00B52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99"/>
    <w:rsid w:val="00B51199"/>
    <w:rsid w:val="00B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38B6F-913A-4D00-876E-7C98E663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2018-07-24T14:00:00Z</dcterms:created>
  <dcterms:modified xsi:type="dcterms:W3CDTF">2018-07-24T14:01:00Z</dcterms:modified>
</cp:coreProperties>
</file>