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BAA40" w14:textId="06859739" w:rsidR="00D63B09" w:rsidRDefault="00D63B09" w:rsidP="00D63B09">
      <w:pPr>
        <w:widowControl w:val="0"/>
        <w:autoSpaceDE w:val="0"/>
        <w:autoSpaceDN w:val="0"/>
        <w:adjustRightInd w:val="0"/>
        <w:ind w:left="0" w:firstLine="0"/>
        <w:jc w:val="center"/>
        <w:rPr>
          <w:b/>
        </w:rPr>
      </w:pPr>
      <w:r>
        <w:rPr>
          <w:b/>
        </w:rPr>
        <w:t xml:space="preserve">DO </w:t>
      </w:r>
      <w:r w:rsidRPr="002B3C0D">
        <w:rPr>
          <w:b/>
        </w:rPr>
        <w:t>ENCONTRO DA SAÚDE COM A EDUCAÇÃO:</w:t>
      </w:r>
    </w:p>
    <w:p w14:paraId="165CE300" w14:textId="3EEF4213" w:rsidR="007C1C1B" w:rsidRPr="002B3C0D" w:rsidRDefault="00D63B09" w:rsidP="00D63B09">
      <w:pPr>
        <w:widowControl w:val="0"/>
        <w:autoSpaceDE w:val="0"/>
        <w:autoSpaceDN w:val="0"/>
        <w:adjustRightInd w:val="0"/>
        <w:ind w:left="0" w:firstLine="0"/>
        <w:jc w:val="center"/>
        <w:rPr>
          <w:b/>
        </w:rPr>
      </w:pPr>
      <w:r w:rsidRPr="002B3C0D">
        <w:rPr>
          <w:b/>
        </w:rPr>
        <w:t xml:space="preserve">O ESCOLANOVISMO E </w:t>
      </w:r>
      <w:r>
        <w:rPr>
          <w:b/>
        </w:rPr>
        <w:t>SEUS DESDOBRAMENTOS</w:t>
      </w:r>
      <w:r w:rsidRPr="002B3C0D">
        <w:rPr>
          <w:b/>
        </w:rPr>
        <w:t xml:space="preserve"> EM DEBATE</w:t>
      </w:r>
    </w:p>
    <w:p w14:paraId="72EFA4DD" w14:textId="77777777" w:rsidR="007C1C1B" w:rsidRDefault="007C1C1B" w:rsidP="00D63B09">
      <w:pPr>
        <w:tabs>
          <w:tab w:val="left" w:pos="709"/>
        </w:tabs>
        <w:ind w:left="0" w:firstLine="0"/>
        <w:rPr>
          <w:b/>
        </w:rPr>
      </w:pPr>
    </w:p>
    <w:p w14:paraId="7656E410" w14:textId="62775DE0" w:rsidR="00DF070F" w:rsidRPr="00D63B09" w:rsidRDefault="00DF070F" w:rsidP="00DF070F">
      <w:pPr>
        <w:tabs>
          <w:tab w:val="left" w:pos="709"/>
        </w:tabs>
        <w:spacing w:line="240" w:lineRule="auto"/>
        <w:ind w:left="0" w:firstLine="0"/>
      </w:pPr>
      <w:r w:rsidRPr="00D63B09">
        <w:t>Resumo</w:t>
      </w:r>
    </w:p>
    <w:p w14:paraId="75D3024B" w14:textId="490C82BA" w:rsidR="009B4C20" w:rsidRDefault="00DF070F" w:rsidP="00DF070F">
      <w:pPr>
        <w:widowControl w:val="0"/>
        <w:autoSpaceDE w:val="0"/>
        <w:autoSpaceDN w:val="0"/>
        <w:adjustRightInd w:val="0"/>
        <w:spacing w:line="240" w:lineRule="auto"/>
        <w:ind w:left="0" w:firstLine="0"/>
      </w:pPr>
      <w:r>
        <w:t>A presente investigação, </w:t>
      </w:r>
      <w:r w:rsidR="00084F4C">
        <w:t>apoiada em</w:t>
      </w:r>
      <w:r w:rsidR="002D74BF">
        <w:t xml:space="preserve"> noções f</w:t>
      </w:r>
      <w:r>
        <w:t>oucaultiana</w:t>
      </w:r>
      <w:r w:rsidR="002D74BF">
        <w:t>s</w:t>
      </w:r>
      <w:r>
        <w:t xml:space="preserve">, tem como objetivo analisar os jogos </w:t>
      </w:r>
      <w:r w:rsidR="007C1C1B">
        <w:t xml:space="preserve">discursivos </w:t>
      </w:r>
      <w:r>
        <w:t>sediados no encontro entre os campos da saúde e da pedagogia brasileira</w:t>
      </w:r>
      <w:r w:rsidR="007C1C1B">
        <w:t>s</w:t>
      </w:r>
      <w:r>
        <w:t xml:space="preserve"> a partir dos anos 1920, encontro este protagonizado sobretudo pelo escolanovismo. Para tanto, foram analisadas, no primeiro momento, algumas obras da Coleção </w:t>
      </w:r>
      <w:r>
        <w:rPr>
          <w:i/>
          <w:iCs/>
        </w:rPr>
        <w:t>Bibliotheca de Educação </w:t>
      </w:r>
      <w:r>
        <w:t xml:space="preserve">a cargo de autores-chave do Movimento da Escola Nova, nas quais avulta o primado de que a cognição estaria subordinada a processos pertinentes à fisiologia cerebral. No segundo momento, procedeu-se à sondagem, em um conjunto de periódicos educacionais contemporâneos, de estudos dedicados a criticar os vieses higienistas, ideológicos ou normativos supostamente inerentes ao escolanovismo, cujas análises mostraram-se cativas de uma abordagem denunciadora das relações de poder-saber </w:t>
      </w:r>
      <w:r w:rsidR="00346B58">
        <w:t xml:space="preserve">ali </w:t>
      </w:r>
      <w:r>
        <w:t xml:space="preserve">vigentes, tendo estas, segundo os autores recenseados, gerado indefectíveis efeitos </w:t>
      </w:r>
      <w:proofErr w:type="spellStart"/>
      <w:r>
        <w:t>patologizantes</w:t>
      </w:r>
      <w:proofErr w:type="spellEnd"/>
      <w:r>
        <w:t xml:space="preserve"> às práticas escolares. À guisa de conclusão, aventou-se um giro analítico </w:t>
      </w:r>
      <w:r w:rsidR="007C1C1B">
        <w:t xml:space="preserve">capaz de </w:t>
      </w:r>
      <w:r w:rsidR="009B4C20">
        <w:t>pôr em xeque</w:t>
      </w:r>
      <w:r w:rsidR="007C1C1B">
        <w:t xml:space="preserve"> abordagens</w:t>
      </w:r>
      <w:r>
        <w:t xml:space="preserve"> apoiadas </w:t>
      </w:r>
      <w:r w:rsidR="007C1C1B">
        <w:t>nas</w:t>
      </w:r>
      <w:r>
        <w:t xml:space="preserve"> noções apriorísticas de desenvolvimento, </w:t>
      </w:r>
      <w:r w:rsidR="009B4C20">
        <w:t>esclarecimento</w:t>
      </w:r>
      <w:r>
        <w:t xml:space="preserve"> e</w:t>
      </w:r>
      <w:r w:rsidR="007C1C1B">
        <w:t xml:space="preserve"> </w:t>
      </w:r>
      <w:r>
        <w:t>representação</w:t>
      </w:r>
      <w:r w:rsidR="007C1C1B">
        <w:t xml:space="preserve">, </w:t>
      </w:r>
      <w:r>
        <w:t xml:space="preserve">em </w:t>
      </w:r>
      <w:r w:rsidR="009B4C20">
        <w:t>favor</w:t>
      </w:r>
      <w:r>
        <w:t xml:space="preserve"> de reflexões voltadas ao jogo </w:t>
      </w:r>
      <w:r w:rsidR="007C1C1B">
        <w:t xml:space="preserve">ininterrupto </w:t>
      </w:r>
      <w:r>
        <w:t xml:space="preserve">entre </w:t>
      </w:r>
      <w:r w:rsidR="007C1C1B">
        <w:t>processos de subjetivação</w:t>
      </w:r>
      <w:r>
        <w:t xml:space="preserve"> e políticas de veridicção que </w:t>
      </w:r>
      <w:r w:rsidR="009B4C20">
        <w:t>demarcam</w:t>
      </w:r>
      <w:r>
        <w:t xml:space="preserve"> </w:t>
      </w:r>
      <w:r w:rsidR="009B4C20">
        <w:t xml:space="preserve">a atualidade educacional. </w:t>
      </w:r>
    </w:p>
    <w:p w14:paraId="1381AC8B" w14:textId="2F241872" w:rsidR="00DF070F" w:rsidRDefault="00DF070F" w:rsidP="00DF070F">
      <w:pPr>
        <w:widowControl w:val="0"/>
        <w:autoSpaceDE w:val="0"/>
        <w:autoSpaceDN w:val="0"/>
        <w:adjustRightInd w:val="0"/>
        <w:spacing w:line="240" w:lineRule="auto"/>
        <w:ind w:left="0" w:firstLine="0"/>
      </w:pPr>
    </w:p>
    <w:p w14:paraId="47140F16" w14:textId="127E10DF" w:rsidR="00DF070F" w:rsidRDefault="00DF070F" w:rsidP="00DF070F">
      <w:pPr>
        <w:widowControl w:val="0"/>
        <w:autoSpaceDE w:val="0"/>
        <w:autoSpaceDN w:val="0"/>
        <w:adjustRightInd w:val="0"/>
        <w:spacing w:line="240" w:lineRule="auto"/>
        <w:ind w:left="0" w:firstLine="0"/>
      </w:pPr>
      <w:r>
        <w:t>Pal</w:t>
      </w:r>
      <w:r w:rsidR="000F5DD2">
        <w:t>a</w:t>
      </w:r>
      <w:r>
        <w:t xml:space="preserve">vras-chave: Escola Nova, </w:t>
      </w:r>
      <w:r w:rsidR="00B25798" w:rsidRPr="002C740B">
        <w:rPr>
          <w:i/>
        </w:rPr>
        <w:t>Bibliotheca de Educação</w:t>
      </w:r>
      <w:r w:rsidR="00B25798">
        <w:t>, Michel Foucault</w:t>
      </w:r>
    </w:p>
    <w:p w14:paraId="43CA9D20" w14:textId="77777777" w:rsidR="003738E2" w:rsidRDefault="003738E2" w:rsidP="00DF070F">
      <w:pPr>
        <w:widowControl w:val="0"/>
        <w:autoSpaceDE w:val="0"/>
        <w:autoSpaceDN w:val="0"/>
        <w:adjustRightInd w:val="0"/>
        <w:spacing w:line="240" w:lineRule="auto"/>
        <w:ind w:left="0" w:firstLine="0"/>
      </w:pPr>
    </w:p>
    <w:p w14:paraId="56CF979E" w14:textId="6D7045CD" w:rsidR="003738E2" w:rsidRPr="00D63B09" w:rsidRDefault="003738E2" w:rsidP="006E44C4">
      <w:pPr>
        <w:pStyle w:val="Ttulo1"/>
        <w:rPr>
          <w:b w:val="0"/>
          <w:lang w:val="en-US"/>
        </w:rPr>
      </w:pPr>
      <w:r w:rsidRPr="00D63B09">
        <w:rPr>
          <w:b w:val="0"/>
          <w:lang w:val="en-US"/>
        </w:rPr>
        <w:t>Abstract</w:t>
      </w:r>
    </w:p>
    <w:p w14:paraId="51758B1D" w14:textId="47B9020A" w:rsidR="004A7DE8" w:rsidRDefault="004A7DE8" w:rsidP="0075523C">
      <w:pPr>
        <w:pStyle w:val="Recuodecorpodetexto"/>
        <w:ind w:firstLine="0"/>
      </w:pPr>
      <w:r w:rsidRPr="004A7DE8">
        <w:t>The pre</w:t>
      </w:r>
      <w:r w:rsidR="00084F4C">
        <w:t>sent research was leaned on</w:t>
      </w:r>
      <w:r w:rsidRPr="004A7DE8">
        <w:t xml:space="preserve"> Foucauldian ideas and aimed at analyzing the discursive games established on the encounter between health and Br</w:t>
      </w:r>
      <w:r>
        <w:t>azilian pedagogy from the 1920s –</w:t>
      </w:r>
      <w:r w:rsidRPr="004A7DE8">
        <w:t xml:space="preserve"> encounter which was featured by </w:t>
      </w:r>
      <w:r w:rsidRPr="004A7DE8">
        <w:rPr>
          <w:i/>
        </w:rPr>
        <w:t>escolanovismo</w:t>
      </w:r>
      <w:r w:rsidRPr="004A7DE8">
        <w:t xml:space="preserve">. Therefore, we analyzed, at first, some books from the </w:t>
      </w:r>
      <w:r w:rsidRPr="004A7DE8">
        <w:rPr>
          <w:i/>
        </w:rPr>
        <w:t>Bibliotheca de Educação</w:t>
      </w:r>
      <w:r w:rsidRPr="004A7DE8">
        <w:t xml:space="preserve"> collection</w:t>
      </w:r>
      <w:r>
        <w:t>,</w:t>
      </w:r>
      <w:r w:rsidRPr="004A7DE8">
        <w:t xml:space="preserve"> carried out by key authors of the </w:t>
      </w:r>
      <w:proofErr w:type="spellStart"/>
      <w:r w:rsidRPr="004A7DE8">
        <w:rPr>
          <w:i/>
        </w:rPr>
        <w:t>Movimento</w:t>
      </w:r>
      <w:proofErr w:type="spellEnd"/>
      <w:r w:rsidRPr="004A7DE8">
        <w:rPr>
          <w:i/>
        </w:rPr>
        <w:t xml:space="preserve"> Escola Nova</w:t>
      </w:r>
      <w:r w:rsidRPr="004A7DE8">
        <w:t xml:space="preserve"> (New School Movement), in which emerges the primacy of that cognition would be subject to pertinent procedures to brain physiology. In a second moment, we proceeded to the investigation of </w:t>
      </w:r>
      <w:r>
        <w:t xml:space="preserve">academic papers </w:t>
      </w:r>
      <w:r w:rsidRPr="004A7DE8">
        <w:t>in a set of contemporary educational journals dedicated to criticize hygienists, ideological or normative biases supposedly inherent of the New School, whose analyzes have proved captive of a denunciatory approach to the relations of power-knowledge there in force; these</w:t>
      </w:r>
      <w:r w:rsidR="0061066C">
        <w:t xml:space="preserve"> relations</w:t>
      </w:r>
      <w:r w:rsidRPr="004A7DE8">
        <w:t xml:space="preserve">, according to the </w:t>
      </w:r>
      <w:r w:rsidR="0061066C">
        <w:t xml:space="preserve">examined </w:t>
      </w:r>
      <w:r w:rsidRPr="004A7DE8">
        <w:t>authors</w:t>
      </w:r>
      <w:r w:rsidR="0061066C">
        <w:t>,</w:t>
      </w:r>
      <w:r w:rsidRPr="004A7DE8">
        <w:t xml:space="preserve"> generated unfailing </w:t>
      </w:r>
      <w:proofErr w:type="spellStart"/>
      <w:r w:rsidRPr="004A7DE8">
        <w:t>pathologizing</w:t>
      </w:r>
      <w:proofErr w:type="spellEnd"/>
      <w:r w:rsidRPr="004A7DE8">
        <w:t xml:space="preserve"> effects to school practices. As a conclusion, we have suggested an analytical turning able to put into question approaches based on a priori notions </w:t>
      </w:r>
      <w:r w:rsidR="0061066C">
        <w:t>such as de</w:t>
      </w:r>
      <w:r w:rsidRPr="004A7DE8">
        <w:t xml:space="preserve">velopment, enlightenment and representation in favor of reflections focused on the uninterrupted game between subjective processes and </w:t>
      </w:r>
      <w:proofErr w:type="spellStart"/>
      <w:r w:rsidRPr="004A7DE8">
        <w:t>veridiction</w:t>
      </w:r>
      <w:proofErr w:type="spellEnd"/>
      <w:r w:rsidRPr="004A7DE8">
        <w:t xml:space="preserve"> policies that outline educational field today.</w:t>
      </w:r>
    </w:p>
    <w:p w14:paraId="5A59AACF" w14:textId="77777777" w:rsidR="00D63B09" w:rsidRPr="0061066C" w:rsidRDefault="00D63B09" w:rsidP="0075523C">
      <w:pPr>
        <w:pStyle w:val="Recuodecorpodetexto"/>
        <w:ind w:firstLine="0"/>
      </w:pPr>
    </w:p>
    <w:p w14:paraId="0560027F" w14:textId="734B1F22" w:rsidR="004A7DE8" w:rsidRPr="004A7DE8" w:rsidRDefault="00D63B09" w:rsidP="004A7DE8">
      <w:pPr>
        <w:tabs>
          <w:tab w:val="left" w:pos="709"/>
        </w:tabs>
        <w:ind w:left="0" w:firstLine="0"/>
        <w:rPr>
          <w:lang w:val="en-US"/>
        </w:rPr>
      </w:pPr>
      <w:r w:rsidRPr="00D63B09">
        <w:rPr>
          <w:lang w:val="en-US"/>
        </w:rPr>
        <w:t xml:space="preserve">Key </w:t>
      </w:r>
      <w:r w:rsidR="004A7DE8" w:rsidRPr="00D63B09">
        <w:rPr>
          <w:lang w:val="en-US"/>
        </w:rPr>
        <w:t>words</w:t>
      </w:r>
      <w:r w:rsidR="004A7DE8" w:rsidRPr="004A7DE8">
        <w:rPr>
          <w:lang w:val="en-US"/>
        </w:rPr>
        <w:t xml:space="preserve">: New School, </w:t>
      </w:r>
      <w:r w:rsidR="004A7DE8" w:rsidRPr="004A7DE8">
        <w:rPr>
          <w:i/>
          <w:lang w:val="en-US"/>
        </w:rPr>
        <w:t>Bibliotheca de Educação</w:t>
      </w:r>
      <w:r w:rsidR="004A7DE8">
        <w:rPr>
          <w:lang w:val="en-US"/>
        </w:rPr>
        <w:t>, Michel Foucault.</w:t>
      </w:r>
    </w:p>
    <w:p w14:paraId="75F05B9A" w14:textId="77777777" w:rsidR="004A7DE8" w:rsidRPr="004A7DE8" w:rsidRDefault="004A7DE8" w:rsidP="00286147">
      <w:pPr>
        <w:tabs>
          <w:tab w:val="left" w:pos="709"/>
        </w:tabs>
        <w:ind w:left="0" w:firstLine="709"/>
        <w:rPr>
          <w:lang w:val="en-US"/>
        </w:rPr>
      </w:pPr>
    </w:p>
    <w:p w14:paraId="1EDEF0A7" w14:textId="77777777" w:rsidR="00286147" w:rsidRDefault="00286147" w:rsidP="00286147">
      <w:pPr>
        <w:tabs>
          <w:tab w:val="left" w:pos="709"/>
        </w:tabs>
        <w:ind w:left="0" w:firstLine="709"/>
      </w:pPr>
      <w:r>
        <w:t xml:space="preserve">No debate educacional contemporâneo brasileiro, sobejam análises derivadas do encontro de discursos próprios do campo da saúde com enunciados em circulação no </w:t>
      </w:r>
      <w:r>
        <w:lastRenderedPageBreak/>
        <w:t xml:space="preserve">campo pedagógico. Dito encontro, quer-nos parecer, é mostra de práticas usuais na história da educação brasileira, ao menos a partir da década de 1920. </w:t>
      </w:r>
    </w:p>
    <w:p w14:paraId="69C2F7DA" w14:textId="64AC3442" w:rsidR="00AA5CC7" w:rsidRDefault="00286147" w:rsidP="00286147">
      <w:pPr>
        <w:tabs>
          <w:tab w:val="left" w:pos="709"/>
        </w:tabs>
        <w:ind w:left="0" w:firstLine="709"/>
      </w:pPr>
      <w:r>
        <w:t>A análise aqui em pauta centra-se nos efeitos de subjetivação gerados por tal encontro, tendo como hipótese que a forja do sujeito educável</w:t>
      </w:r>
      <w:r w:rsidR="000D0D69">
        <w:t xml:space="preserve">, desde </w:t>
      </w:r>
      <w:r w:rsidR="00AA5CC7">
        <w:t xml:space="preserve">os primórdios da Escola Nova, </w:t>
      </w:r>
      <w:r>
        <w:t>tem por cerne um amálgama das dimensões psíquicas e biológicas na constituição d</w:t>
      </w:r>
      <w:r w:rsidR="00AA5CC7">
        <w:t>as</w:t>
      </w:r>
      <w:r w:rsidR="00B06AAB">
        <w:t xml:space="preserve"> individualidades </w:t>
      </w:r>
      <w:r w:rsidR="00AA5CC7">
        <w:t xml:space="preserve">que </w:t>
      </w:r>
      <w:r w:rsidR="00462C75">
        <w:t>povoam</w:t>
      </w:r>
      <w:r w:rsidR="00AA5CC7">
        <w:t xml:space="preserve"> o universo escolar. </w:t>
      </w:r>
    </w:p>
    <w:p w14:paraId="05AC66EB" w14:textId="7F0404AD" w:rsidR="00286147" w:rsidRDefault="00286147" w:rsidP="00286147">
      <w:pPr>
        <w:tabs>
          <w:tab w:val="left" w:pos="709"/>
        </w:tabs>
        <w:ind w:left="0" w:firstLine="709"/>
      </w:pPr>
      <w:r>
        <w:t xml:space="preserve">Assim, dedicamo-nos primeiramente a compilar as ideias de alguns autores presentes no </w:t>
      </w:r>
      <w:r w:rsidRPr="00FB2906">
        <w:t>mo</w:t>
      </w:r>
      <w:r w:rsidR="007107B3" w:rsidRPr="00FB2906">
        <w:t>vi</w:t>
      </w:r>
      <w:r w:rsidRPr="00FB2906">
        <w:t>mento</w:t>
      </w:r>
      <w:r>
        <w:t xml:space="preserve"> </w:t>
      </w:r>
      <w:proofErr w:type="spellStart"/>
      <w:r>
        <w:t>escolanovista</w:t>
      </w:r>
      <w:proofErr w:type="spellEnd"/>
      <w:r>
        <w:t xml:space="preserve"> brasileiro com fito de elencar certas conexões de sentido empregadas como norte para uma série de enunciados pedagógicos em uso na atualidade. Aventamos que algumas dessas conexões – as quais são atribuídas aos escolares como parte de sua natureza – valem-se de um conjunto de procedimentos que se fundamentam na apreensão do corpo humano como estrutura em permanente aperfeiçoamento e, consequentemente, em constante déficit mediante aquilo que ele poderia ter se tornado ou vir a se tornar.</w:t>
      </w:r>
    </w:p>
    <w:p w14:paraId="41F50B6E" w14:textId="52E6C1A2" w:rsidR="00286147" w:rsidRDefault="00286147" w:rsidP="00286147">
      <w:pPr>
        <w:ind w:left="0" w:firstLine="709"/>
      </w:pPr>
      <w:r>
        <w:t xml:space="preserve">Em síntese, aventamos que, desde quando a educação </w:t>
      </w:r>
      <w:proofErr w:type="spellStart"/>
      <w:r>
        <w:t>escolanovista</w:t>
      </w:r>
      <w:proofErr w:type="spellEnd"/>
      <w:r>
        <w:t xml:space="preserve"> tomou como seu papel estabelecer um discurso </w:t>
      </w:r>
      <w:proofErr w:type="spellStart"/>
      <w:r>
        <w:t>biopsicologicamente</w:t>
      </w:r>
      <w:proofErr w:type="spellEnd"/>
      <w:r>
        <w:t xml:space="preserve"> orientado, nunca mais a educação moderna deixou de agenciar gestos de </w:t>
      </w:r>
      <w:proofErr w:type="spellStart"/>
      <w:r>
        <w:t>autoverificação</w:t>
      </w:r>
      <w:proofErr w:type="spellEnd"/>
      <w:r>
        <w:t xml:space="preserve"> (Ó</w:t>
      </w:r>
      <w:r w:rsidR="00354C72">
        <w:t xml:space="preserve">, </w:t>
      </w:r>
      <w:r w:rsidR="000D0D69">
        <w:t xml:space="preserve">&amp; </w:t>
      </w:r>
      <w:r>
        <w:t>C</w:t>
      </w:r>
      <w:r w:rsidR="000D0D69">
        <w:t>arvalho</w:t>
      </w:r>
      <w:r>
        <w:t xml:space="preserve">, 2009) e, por conseguinte, de conviver com a crença de que o corpo do educando consiste em um universo incompleto e passível de correção. </w:t>
      </w:r>
    </w:p>
    <w:p w14:paraId="70C44E6E" w14:textId="77777777" w:rsidR="00286147" w:rsidRDefault="00286147" w:rsidP="00286147">
      <w:pPr>
        <w:ind w:left="0" w:firstLine="709"/>
      </w:pPr>
      <w:r>
        <w:t xml:space="preserve">    </w:t>
      </w:r>
    </w:p>
    <w:p w14:paraId="3601B923" w14:textId="3F9A4A40" w:rsidR="00286147" w:rsidRDefault="00AA5CC7" w:rsidP="00286147">
      <w:pPr>
        <w:ind w:left="0" w:firstLine="0"/>
        <w:outlineLvl w:val="0"/>
      </w:pPr>
      <w:r>
        <w:rPr>
          <w:b/>
        </w:rPr>
        <w:t>A e</w:t>
      </w:r>
      <w:r w:rsidR="00286147" w:rsidRPr="00BE3D9E">
        <w:rPr>
          <w:b/>
        </w:rPr>
        <w:t>ducação moderna</w:t>
      </w:r>
      <w:r w:rsidR="00B06AAB">
        <w:rPr>
          <w:b/>
        </w:rPr>
        <w:t xml:space="preserve"> e a gest</w:t>
      </w:r>
      <w:r>
        <w:rPr>
          <w:b/>
        </w:rPr>
        <w:t xml:space="preserve">ão </w:t>
      </w:r>
      <w:r w:rsidR="00B06AAB">
        <w:rPr>
          <w:b/>
        </w:rPr>
        <w:t>d</w:t>
      </w:r>
      <w:r>
        <w:rPr>
          <w:b/>
        </w:rPr>
        <w:t>o</w:t>
      </w:r>
      <w:r w:rsidR="00B06AAB">
        <w:rPr>
          <w:b/>
        </w:rPr>
        <w:t xml:space="preserve"> corpo deficitário</w:t>
      </w:r>
    </w:p>
    <w:p w14:paraId="4723EA81" w14:textId="18AD1617" w:rsidR="00286147" w:rsidRDefault="00286147" w:rsidP="00286147">
      <w:pPr>
        <w:ind w:left="0" w:firstLine="709"/>
      </w:pPr>
      <w:r>
        <w:t xml:space="preserve">Vasculhando a historiografia da educação brasileira, encontramos vigorosas críticas voltadas aos aconselhamentos </w:t>
      </w:r>
      <w:proofErr w:type="spellStart"/>
      <w:r>
        <w:t>biopsíquicos</w:t>
      </w:r>
      <w:proofErr w:type="spellEnd"/>
      <w:r>
        <w:t xml:space="preserve"> em circulação na escola. Cecília Hanna Mate (2002) afirma que o viés biológico do reformismo educacional nas décadas de 1920 e 1930 estava escorado em ações estatais, cujo implemento justificava-se mediante um grande projeto de </w:t>
      </w:r>
      <w:r>
        <w:rPr>
          <w:i/>
        </w:rPr>
        <w:t>racionalização</w:t>
      </w:r>
      <w:r>
        <w:t xml:space="preserve"> do sistema escolar. Desse modo, afirma a historiadora que a preocupação dos líderes da Escola Nova quanto ao rendimento, à eficiência e à produtividade dos estudantes estava submetida a estratégias globais de previsão e de controle via estatística e padronização.</w:t>
      </w:r>
    </w:p>
    <w:p w14:paraId="47E83DAA" w14:textId="02A34B7A" w:rsidR="00286147" w:rsidRDefault="00286147" w:rsidP="00286147">
      <w:pPr>
        <w:ind w:left="0" w:firstLine="709"/>
        <w:rPr>
          <w:rFonts w:eastAsia="Calibri"/>
        </w:rPr>
      </w:pPr>
      <w:r>
        <w:t xml:space="preserve">Linha argumentativa semelhante à de Matte subscrevem autores como </w:t>
      </w:r>
      <w:proofErr w:type="spellStart"/>
      <w:r>
        <w:t>Micael</w:t>
      </w:r>
      <w:proofErr w:type="spellEnd"/>
      <w:r>
        <w:t xml:space="preserve"> </w:t>
      </w:r>
      <w:proofErr w:type="spellStart"/>
      <w:r>
        <w:t>Herschmann</w:t>
      </w:r>
      <w:proofErr w:type="spellEnd"/>
      <w:r>
        <w:t xml:space="preserve">, Maria Helena </w:t>
      </w:r>
      <w:proofErr w:type="spellStart"/>
      <w:r>
        <w:t>Patto</w:t>
      </w:r>
      <w:proofErr w:type="spellEnd"/>
      <w:r>
        <w:t>, Heloisa Helena Pimenta Rocha, Jerry D’</w:t>
      </w:r>
      <w:proofErr w:type="spellStart"/>
      <w:r>
        <w:t>Avila</w:t>
      </w:r>
      <w:proofErr w:type="spellEnd"/>
      <w:r>
        <w:t xml:space="preserve">, Margareth </w:t>
      </w:r>
      <w:proofErr w:type="spellStart"/>
      <w:r>
        <w:t>Rago</w:t>
      </w:r>
      <w:proofErr w:type="spellEnd"/>
      <w:r>
        <w:t xml:space="preserve"> e José Gonçalves </w:t>
      </w:r>
      <w:proofErr w:type="spellStart"/>
      <w:r>
        <w:t>Gondra</w:t>
      </w:r>
      <w:proofErr w:type="spellEnd"/>
      <w:r>
        <w:t>, entre outros, particularmente quando refletem sobre as relações entre educação</w:t>
      </w:r>
      <w:r w:rsidR="00600B30">
        <w:t xml:space="preserve"> e</w:t>
      </w:r>
      <w:r>
        <w:t xml:space="preserve"> saúde. Em suas pesquisas, referidas relações foram analisadas em termos ora de </w:t>
      </w:r>
      <w:r w:rsidRPr="00EB30D2">
        <w:rPr>
          <w:i/>
        </w:rPr>
        <w:t>higienização</w:t>
      </w:r>
      <w:r>
        <w:rPr>
          <w:i/>
        </w:rPr>
        <w:t xml:space="preserve"> </w:t>
      </w:r>
      <w:r>
        <w:t>(R</w:t>
      </w:r>
      <w:r w:rsidR="00600B30">
        <w:t>ocha</w:t>
      </w:r>
      <w:r>
        <w:t xml:space="preserve">, 2003); de </w:t>
      </w:r>
      <w:r>
        <w:rPr>
          <w:i/>
        </w:rPr>
        <w:t xml:space="preserve">medicalização </w:t>
      </w:r>
      <w:r>
        <w:t>(</w:t>
      </w:r>
      <w:proofErr w:type="spellStart"/>
      <w:r w:rsidRPr="00041FBF">
        <w:rPr>
          <w:rFonts w:eastAsia="Calibri"/>
        </w:rPr>
        <w:t>H</w:t>
      </w:r>
      <w:r w:rsidR="00600B30">
        <w:rPr>
          <w:rFonts w:eastAsia="Calibri"/>
        </w:rPr>
        <w:t>erschmann</w:t>
      </w:r>
      <w:proofErr w:type="spellEnd"/>
      <w:r>
        <w:rPr>
          <w:rFonts w:eastAsia="Calibri"/>
        </w:rPr>
        <w:t xml:space="preserve">, </w:t>
      </w:r>
      <w:r>
        <w:rPr>
          <w:rFonts w:eastAsia="Calibri"/>
        </w:rPr>
        <w:lastRenderedPageBreak/>
        <w:t xml:space="preserve">1996); de </w:t>
      </w:r>
      <w:proofErr w:type="spellStart"/>
      <w:r>
        <w:rPr>
          <w:rFonts w:eastAsia="Calibri"/>
          <w:i/>
        </w:rPr>
        <w:t>estigmatização</w:t>
      </w:r>
      <w:proofErr w:type="spellEnd"/>
      <w:r>
        <w:rPr>
          <w:rFonts w:eastAsia="Calibri"/>
          <w:i/>
        </w:rPr>
        <w:t xml:space="preserve"> </w:t>
      </w:r>
      <w:r>
        <w:rPr>
          <w:rFonts w:eastAsia="Calibri"/>
        </w:rPr>
        <w:t>(</w:t>
      </w:r>
      <w:proofErr w:type="spellStart"/>
      <w:r>
        <w:rPr>
          <w:rFonts w:eastAsia="Calibri"/>
        </w:rPr>
        <w:t>P</w:t>
      </w:r>
      <w:r w:rsidR="00600B30">
        <w:rPr>
          <w:rFonts w:eastAsia="Calibri"/>
        </w:rPr>
        <w:t>atto</w:t>
      </w:r>
      <w:proofErr w:type="spellEnd"/>
      <w:r>
        <w:rPr>
          <w:rFonts w:eastAsia="Calibri"/>
        </w:rPr>
        <w:t xml:space="preserve">, 1999); de </w:t>
      </w:r>
      <w:r w:rsidRPr="00CD4B5F">
        <w:rPr>
          <w:rFonts w:eastAsia="Calibri"/>
          <w:i/>
        </w:rPr>
        <w:t>racismo</w:t>
      </w:r>
      <w:r>
        <w:rPr>
          <w:rFonts w:eastAsia="Calibri"/>
        </w:rPr>
        <w:t xml:space="preserve"> (D’</w:t>
      </w:r>
      <w:proofErr w:type="spellStart"/>
      <w:r w:rsidR="00600B30">
        <w:rPr>
          <w:rFonts w:eastAsia="Calibri"/>
        </w:rPr>
        <w:t>avila</w:t>
      </w:r>
      <w:proofErr w:type="spellEnd"/>
      <w:r>
        <w:rPr>
          <w:rFonts w:eastAsia="Calibri"/>
        </w:rPr>
        <w:t xml:space="preserve">, 2006); de </w:t>
      </w:r>
      <w:r>
        <w:rPr>
          <w:rFonts w:eastAsia="Calibri"/>
          <w:i/>
        </w:rPr>
        <w:t xml:space="preserve">representação imaginária </w:t>
      </w:r>
      <w:r>
        <w:rPr>
          <w:rFonts w:eastAsia="Calibri"/>
        </w:rPr>
        <w:t>burguesa (</w:t>
      </w:r>
      <w:proofErr w:type="spellStart"/>
      <w:r>
        <w:rPr>
          <w:rFonts w:eastAsia="Calibri"/>
        </w:rPr>
        <w:t>R</w:t>
      </w:r>
      <w:r w:rsidR="00600B30">
        <w:rPr>
          <w:rFonts w:eastAsia="Calibri"/>
        </w:rPr>
        <w:t>ago</w:t>
      </w:r>
      <w:proofErr w:type="spellEnd"/>
      <w:r w:rsidR="00600B30">
        <w:rPr>
          <w:rFonts w:eastAsia="Calibri"/>
        </w:rPr>
        <w:t>,</w:t>
      </w:r>
      <w:r>
        <w:rPr>
          <w:rFonts w:eastAsia="Calibri"/>
        </w:rPr>
        <w:t xml:space="preserve"> 1985); ora ainda da </w:t>
      </w:r>
      <w:r w:rsidRPr="0047626F">
        <w:rPr>
          <w:rFonts w:eastAsia="Calibri"/>
          <w:i/>
        </w:rPr>
        <w:t>captura</w:t>
      </w:r>
      <w:r>
        <w:rPr>
          <w:rFonts w:eastAsia="Calibri"/>
          <w:i/>
        </w:rPr>
        <w:t xml:space="preserve"> </w:t>
      </w:r>
      <w:r>
        <w:rPr>
          <w:rFonts w:eastAsia="Calibri"/>
        </w:rPr>
        <w:t>operada pelo saber médico (</w:t>
      </w:r>
      <w:proofErr w:type="spellStart"/>
      <w:r>
        <w:rPr>
          <w:rFonts w:eastAsia="Calibri"/>
        </w:rPr>
        <w:t>G</w:t>
      </w:r>
      <w:r w:rsidR="00600B30">
        <w:rPr>
          <w:rFonts w:eastAsia="Calibri"/>
        </w:rPr>
        <w:t>ondra</w:t>
      </w:r>
      <w:proofErr w:type="spellEnd"/>
      <w:r w:rsidR="005B45AB">
        <w:rPr>
          <w:rFonts w:eastAsia="Calibri"/>
        </w:rPr>
        <w:t>, 2004</w:t>
      </w:r>
      <w:r>
        <w:rPr>
          <w:rFonts w:eastAsia="Calibri"/>
        </w:rPr>
        <w:t>). Todos esses elementos ter-se-iam apresentado de modo coerente com uma perspectiva segundo a qual o discurso médico teria inspirado um planejamento nacional voltado a incutir referências de comportamento</w:t>
      </w:r>
      <w:r w:rsidRPr="005E7525">
        <w:rPr>
          <w:rFonts w:eastAsia="Calibri"/>
        </w:rPr>
        <w:t xml:space="preserve"> </w:t>
      </w:r>
      <w:r>
        <w:rPr>
          <w:rFonts w:eastAsia="Calibri"/>
        </w:rPr>
        <w:t>padronizadas nos infantes. A finalidade de tal planificação teria sido, segundo os sobreditos autores, edificar futuros cidadãos, sempre dóceis e úteis, para o trabalho industrial que então se estruturava nas principais cidades do Sudeste brasileiro.</w:t>
      </w:r>
    </w:p>
    <w:p w14:paraId="339284B1" w14:textId="77777777" w:rsidR="00286147" w:rsidRDefault="00286147" w:rsidP="00286147">
      <w:pPr>
        <w:ind w:left="0" w:firstLine="709"/>
        <w:rPr>
          <w:rFonts w:eastAsia="Calibri"/>
        </w:rPr>
      </w:pPr>
      <w:r>
        <w:rPr>
          <w:rFonts w:eastAsia="Calibri"/>
        </w:rPr>
        <w:t xml:space="preserve">Ponderamos que tais enfoques persistem condicionados a uma analítica parcial no que tange aos jogos entre saber e poder aí em tela. Encontram-se, nas referidas abordagens, formulações segundo as quais uma classe social fixaria sua visão de mundo de maneira impositiva e, por conseguinte, generalizaria padrões para o conjunto da sociedade, cuja adoção por parte dos oprimidos transtornaria suas apreensões do real em prol de representações das classes dominantes. </w:t>
      </w:r>
    </w:p>
    <w:p w14:paraId="16F93D4A" w14:textId="30A5B369" w:rsidR="00286147" w:rsidRDefault="00286147" w:rsidP="00286147">
      <w:pPr>
        <w:ind w:left="0" w:firstLine="709"/>
        <w:rPr>
          <w:rFonts w:eastAsia="Calibri"/>
        </w:rPr>
      </w:pPr>
      <w:r>
        <w:rPr>
          <w:rFonts w:eastAsia="Calibri"/>
        </w:rPr>
        <w:t xml:space="preserve">Assim, noções como </w:t>
      </w:r>
      <w:r w:rsidR="00600B30">
        <w:rPr>
          <w:rFonts w:eastAsia="Calibri"/>
          <w:i/>
        </w:rPr>
        <w:t xml:space="preserve">cientificismo, elitismo, </w:t>
      </w:r>
      <w:proofErr w:type="spellStart"/>
      <w:r>
        <w:rPr>
          <w:rFonts w:eastAsia="Calibri"/>
          <w:i/>
        </w:rPr>
        <w:t>higienismo</w:t>
      </w:r>
      <w:proofErr w:type="spellEnd"/>
      <w:r>
        <w:rPr>
          <w:rFonts w:eastAsia="Calibri"/>
        </w:rPr>
        <w:t xml:space="preserve"> e </w:t>
      </w:r>
      <w:r>
        <w:rPr>
          <w:rFonts w:eastAsia="Calibri"/>
          <w:i/>
        </w:rPr>
        <w:t>estigma</w:t>
      </w:r>
      <w:r>
        <w:rPr>
          <w:rFonts w:eastAsia="Calibri"/>
        </w:rPr>
        <w:t xml:space="preserve"> foram tratadas, na sobredita historiografia, como formulações </w:t>
      </w:r>
      <w:r w:rsidR="00711B58">
        <w:rPr>
          <w:rFonts w:eastAsia="Calibri"/>
        </w:rPr>
        <w:t>impostas</w:t>
      </w:r>
      <w:r>
        <w:rPr>
          <w:rFonts w:eastAsia="Calibri"/>
        </w:rPr>
        <w:t xml:space="preserve"> por um discurso médico que teria extrapolado sua </w:t>
      </w:r>
      <w:r w:rsidR="001612EF">
        <w:rPr>
          <w:rFonts w:eastAsia="Calibri"/>
        </w:rPr>
        <w:t>jurisdição, estabelecendo</w:t>
      </w:r>
      <w:r>
        <w:rPr>
          <w:rFonts w:eastAsia="Calibri"/>
        </w:rPr>
        <w:t xml:space="preserve"> </w:t>
      </w:r>
      <w:r w:rsidR="00711B58">
        <w:rPr>
          <w:rFonts w:eastAsia="Calibri"/>
        </w:rPr>
        <w:t xml:space="preserve">representações </w:t>
      </w:r>
      <w:proofErr w:type="spellStart"/>
      <w:r w:rsidR="00AA5CC7">
        <w:rPr>
          <w:rFonts w:eastAsia="Calibri"/>
        </w:rPr>
        <w:t>patologizantes</w:t>
      </w:r>
      <w:proofErr w:type="spellEnd"/>
      <w:r w:rsidR="00AA5CC7">
        <w:rPr>
          <w:rFonts w:eastAsia="Calibri"/>
        </w:rPr>
        <w:t xml:space="preserve"> vivenciadas n</w:t>
      </w:r>
      <w:r w:rsidR="00711B58">
        <w:rPr>
          <w:rFonts w:eastAsia="Calibri"/>
        </w:rPr>
        <w:t xml:space="preserve">a realidade </w:t>
      </w:r>
      <w:r w:rsidR="00AA5CC7">
        <w:rPr>
          <w:rFonts w:eastAsia="Calibri"/>
        </w:rPr>
        <w:t>de</w:t>
      </w:r>
      <w:r w:rsidR="00711B58">
        <w:rPr>
          <w:rFonts w:eastAsia="Calibri"/>
        </w:rPr>
        <w:t xml:space="preserve"> </w:t>
      </w:r>
      <w:r>
        <w:rPr>
          <w:rFonts w:eastAsia="Calibri"/>
        </w:rPr>
        <w:t xml:space="preserve">educadores e educandos. </w:t>
      </w:r>
    </w:p>
    <w:p w14:paraId="2E887276" w14:textId="39A07E04" w:rsidR="00286147" w:rsidRDefault="00286147" w:rsidP="00286147">
      <w:pPr>
        <w:ind w:left="0" w:firstLine="709"/>
        <w:rPr>
          <w:rFonts w:eastAsia="Calibri"/>
        </w:rPr>
      </w:pPr>
      <w:r>
        <w:rPr>
          <w:rFonts w:eastAsia="Calibri"/>
        </w:rPr>
        <w:t>Na esteira da analítica foucaultiana, posicionamo-nos de modo adverso a tais abordagens, uma vez que tomamos</w:t>
      </w:r>
      <w:r w:rsidRPr="0006696D">
        <w:rPr>
          <w:rFonts w:eastAsia="Calibri"/>
        </w:rPr>
        <w:t xml:space="preserve"> as alocuções médicas presentes no ambiente educacional moderno como enunciad</w:t>
      </w:r>
      <w:r>
        <w:rPr>
          <w:rFonts w:eastAsia="Calibri"/>
        </w:rPr>
        <w:t xml:space="preserve">os expostos a intensivos jogos de veridicção e de subjetivação. </w:t>
      </w:r>
    </w:p>
    <w:p w14:paraId="439BE48B" w14:textId="713EAE1E" w:rsidR="00286147" w:rsidRPr="0006696D" w:rsidRDefault="00286147" w:rsidP="00286147">
      <w:pPr>
        <w:ind w:left="0" w:firstLine="709"/>
        <w:rPr>
          <w:rFonts w:eastAsia="Calibri"/>
        </w:rPr>
      </w:pPr>
      <w:r>
        <w:rPr>
          <w:rFonts w:eastAsia="Calibri"/>
        </w:rPr>
        <w:t xml:space="preserve">A partir de tal perspectiva, </w:t>
      </w:r>
      <w:r w:rsidRPr="0006696D">
        <w:rPr>
          <w:rFonts w:eastAsia="Calibri"/>
        </w:rPr>
        <w:t xml:space="preserve">seria </w:t>
      </w:r>
      <w:r>
        <w:rPr>
          <w:rFonts w:eastAsia="Calibri"/>
        </w:rPr>
        <w:t xml:space="preserve">teoricamente </w:t>
      </w:r>
      <w:r w:rsidRPr="0006696D">
        <w:rPr>
          <w:rFonts w:eastAsia="Calibri"/>
        </w:rPr>
        <w:t xml:space="preserve">contraproducente narrar as alocuções médicas abrigadas no ambiente escolar como </w:t>
      </w:r>
      <w:r>
        <w:rPr>
          <w:rFonts w:eastAsia="Calibri"/>
        </w:rPr>
        <w:t>efeitos diretos</w:t>
      </w:r>
      <w:r w:rsidRPr="0006696D">
        <w:rPr>
          <w:rFonts w:eastAsia="Calibri"/>
        </w:rPr>
        <w:t xml:space="preserve"> de preconceitos, incorreções ou imposturas</w:t>
      </w:r>
      <w:r>
        <w:rPr>
          <w:rFonts w:eastAsia="Calibri"/>
        </w:rPr>
        <w:t>, uma vez que tais alocuções, conforme especulamos, não deveriam ser tratadas como distorções em que haveria</w:t>
      </w:r>
      <w:r w:rsidRPr="0006696D">
        <w:rPr>
          <w:rFonts w:eastAsia="Calibri"/>
        </w:rPr>
        <w:t xml:space="preserve"> um </w:t>
      </w:r>
      <w:r>
        <w:rPr>
          <w:rFonts w:eastAsia="Calibri"/>
        </w:rPr>
        <w:t xml:space="preserve">suposto </w:t>
      </w:r>
      <w:r w:rsidRPr="00396207">
        <w:rPr>
          <w:rFonts w:eastAsia="Calibri"/>
        </w:rPr>
        <w:t>já dito</w:t>
      </w:r>
      <w:r w:rsidRPr="0006696D">
        <w:rPr>
          <w:rFonts w:eastAsia="Calibri"/>
        </w:rPr>
        <w:t>, ou mesmo algum não dito</w:t>
      </w:r>
      <w:r>
        <w:rPr>
          <w:rFonts w:eastAsia="Calibri"/>
        </w:rPr>
        <w:t xml:space="preserve"> </w:t>
      </w:r>
      <w:r w:rsidRPr="0006696D">
        <w:rPr>
          <w:rFonts w:eastAsia="Calibri"/>
        </w:rPr>
        <w:t xml:space="preserve">implícito na constituição de tais ou quais narrativas. </w:t>
      </w:r>
    </w:p>
    <w:p w14:paraId="4E9B93DE" w14:textId="51E4E2DC" w:rsidR="00286147" w:rsidRDefault="00600B30" w:rsidP="00286147">
      <w:pPr>
        <w:ind w:left="0" w:firstLine="709"/>
        <w:rPr>
          <w:rFonts w:eastAsia="Calibri"/>
        </w:rPr>
      </w:pPr>
      <w:r>
        <w:rPr>
          <w:rFonts w:eastAsia="Calibri"/>
        </w:rPr>
        <w:t>O</w:t>
      </w:r>
      <w:r w:rsidR="00286147" w:rsidRPr="0006696D">
        <w:rPr>
          <w:rFonts w:eastAsia="Calibri"/>
        </w:rPr>
        <w:t xml:space="preserve">peramos com uma noção de verdade que nos </w:t>
      </w:r>
      <w:r w:rsidR="00286147">
        <w:rPr>
          <w:rFonts w:eastAsia="Calibri"/>
        </w:rPr>
        <w:t xml:space="preserve">insta a especular sobre </w:t>
      </w:r>
      <w:r w:rsidR="00286147" w:rsidRPr="0006696D">
        <w:rPr>
          <w:rFonts w:eastAsia="Calibri"/>
        </w:rPr>
        <w:t>os efeitos produzidos pelas fricções dos discursos com os processos de subjetivação a que eles convocam. Inspirados no gesto analítico estabelecido por Foucault nos cursos ministrados no ocaso de sua vida (</w:t>
      </w:r>
      <w:r w:rsidR="00286147">
        <w:rPr>
          <w:rFonts w:eastAsia="Calibri"/>
        </w:rPr>
        <w:t>F</w:t>
      </w:r>
      <w:r>
        <w:rPr>
          <w:rFonts w:eastAsia="Calibri"/>
        </w:rPr>
        <w:t>oucault</w:t>
      </w:r>
      <w:r w:rsidR="00286147" w:rsidRPr="0006696D">
        <w:rPr>
          <w:rFonts w:eastAsia="Calibri"/>
        </w:rPr>
        <w:t xml:space="preserve">, 2010; </w:t>
      </w:r>
      <w:r w:rsidR="00286147">
        <w:rPr>
          <w:rFonts w:eastAsia="Calibri"/>
        </w:rPr>
        <w:t>F</w:t>
      </w:r>
      <w:r>
        <w:rPr>
          <w:rFonts w:eastAsia="Calibri"/>
        </w:rPr>
        <w:t>oucault</w:t>
      </w:r>
      <w:r w:rsidR="00286147" w:rsidRPr="0006696D">
        <w:rPr>
          <w:rFonts w:eastAsia="Calibri"/>
        </w:rPr>
        <w:t xml:space="preserve">, 2010a; </w:t>
      </w:r>
      <w:r w:rsidR="00286147">
        <w:rPr>
          <w:rFonts w:eastAsia="Calibri"/>
        </w:rPr>
        <w:t>F</w:t>
      </w:r>
      <w:r>
        <w:rPr>
          <w:rFonts w:eastAsia="Calibri"/>
        </w:rPr>
        <w:t>oucault</w:t>
      </w:r>
      <w:r w:rsidR="00286147" w:rsidRPr="0006696D">
        <w:rPr>
          <w:rFonts w:eastAsia="Calibri"/>
        </w:rPr>
        <w:t>, 2011</w:t>
      </w:r>
      <w:r w:rsidR="00286147">
        <w:rPr>
          <w:rFonts w:eastAsia="Calibri"/>
        </w:rPr>
        <w:t>a</w:t>
      </w:r>
      <w:r w:rsidR="00286147" w:rsidRPr="0006696D">
        <w:rPr>
          <w:rFonts w:eastAsia="Calibri"/>
        </w:rPr>
        <w:t xml:space="preserve">), </w:t>
      </w:r>
      <w:r w:rsidR="00286147">
        <w:rPr>
          <w:rFonts w:eastAsia="Calibri"/>
        </w:rPr>
        <w:t>contemplamos</w:t>
      </w:r>
      <w:r w:rsidR="00286147" w:rsidRPr="0006696D">
        <w:rPr>
          <w:rFonts w:eastAsia="Calibri"/>
        </w:rPr>
        <w:t xml:space="preserve"> os jogos de veridicção consubstanciados nas práticas discursivas da pedagogia moderna com o fito de </w:t>
      </w:r>
      <w:r w:rsidR="00286147">
        <w:rPr>
          <w:rFonts w:eastAsia="Calibri"/>
        </w:rPr>
        <w:t xml:space="preserve">os situar na esteira de </w:t>
      </w:r>
      <w:r w:rsidR="00286147" w:rsidRPr="0006696D">
        <w:rPr>
          <w:rFonts w:eastAsia="Calibri"/>
        </w:rPr>
        <w:t>uma longa história do</w:t>
      </w:r>
      <w:r w:rsidR="00286147">
        <w:rPr>
          <w:rFonts w:eastAsia="Calibri"/>
        </w:rPr>
        <w:t xml:space="preserve"> que se pode estimar como</w:t>
      </w:r>
      <w:r w:rsidR="00286147" w:rsidRPr="0006696D">
        <w:rPr>
          <w:rFonts w:eastAsia="Calibri"/>
        </w:rPr>
        <w:t xml:space="preserve"> </w:t>
      </w:r>
      <w:r w:rsidR="00286147" w:rsidRPr="0006696D">
        <w:rPr>
          <w:rFonts w:eastAsia="Calibri"/>
        </w:rPr>
        <w:lastRenderedPageBreak/>
        <w:t>“discurso</w:t>
      </w:r>
      <w:r w:rsidR="00286147">
        <w:rPr>
          <w:rFonts w:eastAsia="Calibri"/>
        </w:rPr>
        <w:t xml:space="preserve"> de</w:t>
      </w:r>
      <w:r w:rsidR="00286147" w:rsidRPr="0006696D">
        <w:rPr>
          <w:rFonts w:eastAsia="Calibri"/>
        </w:rPr>
        <w:t xml:space="preserve"> verdade que o sujeito</w:t>
      </w:r>
      <w:r w:rsidR="00286147">
        <w:rPr>
          <w:rFonts w:eastAsia="Calibri"/>
        </w:rPr>
        <w:t xml:space="preserve"> é capaz de dizer sobre si mesmo</w:t>
      </w:r>
      <w:r w:rsidR="00286147" w:rsidRPr="0006696D">
        <w:rPr>
          <w:rFonts w:eastAsia="Calibri"/>
        </w:rPr>
        <w:t>” (</w:t>
      </w:r>
      <w:r w:rsidR="00286147">
        <w:rPr>
          <w:rFonts w:eastAsia="Calibri"/>
        </w:rPr>
        <w:t>F</w:t>
      </w:r>
      <w:r>
        <w:rPr>
          <w:rFonts w:eastAsia="Calibri"/>
        </w:rPr>
        <w:t>oucault</w:t>
      </w:r>
      <w:r w:rsidR="00286147" w:rsidRPr="0006696D">
        <w:rPr>
          <w:rFonts w:eastAsia="Calibri"/>
        </w:rPr>
        <w:t>, 2011</w:t>
      </w:r>
      <w:r w:rsidR="00286147">
        <w:rPr>
          <w:rFonts w:eastAsia="Calibri"/>
        </w:rPr>
        <w:t>a</w:t>
      </w:r>
      <w:r w:rsidR="00286147" w:rsidRPr="0052063A">
        <w:rPr>
          <w:rFonts w:eastAsia="Calibri"/>
        </w:rPr>
        <w:t>, p. 5).</w:t>
      </w:r>
      <w:r w:rsidR="00286147">
        <w:rPr>
          <w:rFonts w:eastAsia="Calibri"/>
        </w:rPr>
        <w:t xml:space="preserve"> </w:t>
      </w:r>
    </w:p>
    <w:p w14:paraId="15AE2AD1" w14:textId="14EA3A7B" w:rsidR="00286147" w:rsidRDefault="00286147" w:rsidP="00286147">
      <w:pPr>
        <w:ind w:left="0" w:firstLine="709"/>
        <w:rPr>
          <w:rFonts w:eastAsia="Calibri"/>
        </w:rPr>
      </w:pPr>
      <w:r>
        <w:rPr>
          <w:rFonts w:eastAsia="Calibri"/>
        </w:rPr>
        <w:t>Evitando</w:t>
      </w:r>
      <w:r w:rsidRPr="0006696D">
        <w:rPr>
          <w:rFonts w:eastAsia="Calibri"/>
        </w:rPr>
        <w:t xml:space="preserve"> </w:t>
      </w:r>
      <w:r>
        <w:rPr>
          <w:rFonts w:eastAsia="Calibri"/>
        </w:rPr>
        <w:t>analisar os discursos como um agregado de</w:t>
      </w:r>
      <w:r w:rsidRPr="0006696D">
        <w:rPr>
          <w:rFonts w:eastAsia="Calibri"/>
        </w:rPr>
        <w:t xml:space="preserve"> representações produzidas pelos sujeitos em seus embates com a re</w:t>
      </w:r>
      <w:r>
        <w:rPr>
          <w:rFonts w:eastAsia="Calibri"/>
        </w:rPr>
        <w:t xml:space="preserve">alidade, propomo-nos a visualizar os educandos modernos na condição simultânea de artífices e artefatos de si mesmos, cujas ferramentas são forjadas no encontro de cada qual dos indivíduos com as verdades estabelecidas pelos saberes </w:t>
      </w:r>
      <w:proofErr w:type="spellStart"/>
      <w:r>
        <w:rPr>
          <w:rFonts w:eastAsia="Calibri"/>
        </w:rPr>
        <w:t>biopsicológicos</w:t>
      </w:r>
      <w:proofErr w:type="spellEnd"/>
      <w:r>
        <w:rPr>
          <w:rFonts w:eastAsia="Calibri"/>
        </w:rPr>
        <w:t xml:space="preserve">. </w:t>
      </w:r>
    </w:p>
    <w:p w14:paraId="55AD46BA" w14:textId="772A8ABB" w:rsidR="00286147" w:rsidRPr="0006696D" w:rsidRDefault="00286147" w:rsidP="00286147">
      <w:pPr>
        <w:ind w:left="0" w:firstLine="709"/>
        <w:rPr>
          <w:rFonts w:eastAsia="Calibri"/>
        </w:rPr>
      </w:pPr>
      <w:r>
        <w:rPr>
          <w:rFonts w:eastAsia="Calibri"/>
        </w:rPr>
        <w:t>Desta feita</w:t>
      </w:r>
      <w:r w:rsidRPr="0006696D">
        <w:rPr>
          <w:rFonts w:eastAsia="Calibri"/>
        </w:rPr>
        <w:t xml:space="preserve">, passamos a considerar que “só há conhecimento na medida em que, entre o homem e o que ele conhece, se estabelece, se trama algo como uma luta singular, um </w:t>
      </w:r>
      <w:r w:rsidRPr="008F60F3">
        <w:rPr>
          <w:rFonts w:eastAsia="Calibri"/>
          <w:i/>
        </w:rPr>
        <w:t>tête-à-tête</w:t>
      </w:r>
      <w:r w:rsidRPr="0006696D">
        <w:rPr>
          <w:rFonts w:eastAsia="Calibri"/>
        </w:rPr>
        <w:t>, um duelo” (</w:t>
      </w:r>
      <w:r>
        <w:rPr>
          <w:rFonts w:eastAsia="Calibri"/>
        </w:rPr>
        <w:t>F</w:t>
      </w:r>
      <w:r w:rsidR="00600B30">
        <w:rPr>
          <w:rFonts w:eastAsia="Calibri"/>
        </w:rPr>
        <w:t>oucault</w:t>
      </w:r>
      <w:r w:rsidRPr="0006696D">
        <w:rPr>
          <w:rFonts w:eastAsia="Calibri"/>
        </w:rPr>
        <w:t xml:space="preserve">, 2001, p. 26). </w:t>
      </w:r>
    </w:p>
    <w:p w14:paraId="737F2D40" w14:textId="5D46168B" w:rsidR="00286147" w:rsidRDefault="00286147" w:rsidP="00286147">
      <w:pPr>
        <w:ind w:left="0" w:firstLine="709"/>
        <w:rPr>
          <w:rFonts w:eastAsia="Calibri"/>
        </w:rPr>
      </w:pPr>
      <w:r w:rsidRPr="0006696D">
        <w:rPr>
          <w:rFonts w:eastAsia="Calibri"/>
        </w:rPr>
        <w:t>Das diferentes maneiras pelas quai</w:t>
      </w:r>
      <w:r>
        <w:rPr>
          <w:rFonts w:eastAsia="Calibri"/>
        </w:rPr>
        <w:t xml:space="preserve">s a </w:t>
      </w:r>
      <w:r w:rsidR="00600B30">
        <w:rPr>
          <w:rFonts w:eastAsia="Calibri"/>
        </w:rPr>
        <w:t xml:space="preserve">experiência moderna se relacionou com </w:t>
      </w:r>
      <w:r>
        <w:rPr>
          <w:rFonts w:eastAsia="Calibri"/>
        </w:rPr>
        <w:t>o</w:t>
      </w:r>
      <w:r w:rsidRPr="0006696D">
        <w:rPr>
          <w:rFonts w:eastAsia="Calibri"/>
        </w:rPr>
        <w:t xml:space="preserve"> </w:t>
      </w:r>
      <w:r>
        <w:rPr>
          <w:rFonts w:eastAsia="Calibri"/>
        </w:rPr>
        <w:t>embate</w:t>
      </w:r>
      <w:r w:rsidRPr="0006696D">
        <w:rPr>
          <w:rFonts w:eastAsia="Calibri"/>
        </w:rPr>
        <w:t xml:space="preserve"> de cada indivíduo com os discursos que se lhe ofereciam, recortamos</w:t>
      </w:r>
      <w:r>
        <w:rPr>
          <w:rFonts w:eastAsia="Calibri"/>
        </w:rPr>
        <w:t xml:space="preserve"> as práticas discursivas </w:t>
      </w:r>
      <w:proofErr w:type="spellStart"/>
      <w:r>
        <w:rPr>
          <w:rFonts w:eastAsia="Calibri"/>
        </w:rPr>
        <w:t>escolanovistas</w:t>
      </w:r>
      <w:proofErr w:type="spellEnd"/>
      <w:r w:rsidRPr="0006696D">
        <w:rPr>
          <w:rFonts w:eastAsia="Calibri"/>
        </w:rPr>
        <w:t xml:space="preserve"> </w:t>
      </w:r>
      <w:r>
        <w:rPr>
          <w:rFonts w:eastAsia="Calibri"/>
        </w:rPr>
        <w:t xml:space="preserve">como um </w:t>
      </w:r>
      <w:r w:rsidRPr="0006696D">
        <w:rPr>
          <w:rFonts w:eastAsia="Calibri"/>
        </w:rPr>
        <w:t>momento</w:t>
      </w:r>
      <w:r>
        <w:rPr>
          <w:rFonts w:eastAsia="Calibri"/>
        </w:rPr>
        <w:t xml:space="preserve">-chave </w:t>
      </w:r>
      <w:r w:rsidRPr="0006696D">
        <w:rPr>
          <w:rFonts w:eastAsia="Calibri"/>
        </w:rPr>
        <w:t xml:space="preserve">em que elas </w:t>
      </w:r>
      <w:r>
        <w:rPr>
          <w:rFonts w:eastAsia="Calibri"/>
        </w:rPr>
        <w:t>tomaram assento n</w:t>
      </w:r>
      <w:r w:rsidRPr="0006696D">
        <w:rPr>
          <w:rFonts w:eastAsia="Calibri"/>
        </w:rPr>
        <w:t xml:space="preserve">os jogos de veridicção </w:t>
      </w:r>
      <w:r>
        <w:rPr>
          <w:rFonts w:eastAsia="Calibri"/>
        </w:rPr>
        <w:t>empreendidos no</w:t>
      </w:r>
      <w:r w:rsidRPr="0006696D">
        <w:rPr>
          <w:rFonts w:eastAsia="Calibri"/>
        </w:rPr>
        <w:t xml:space="preserve"> encontro dos procedimentos pedagógicos com a vida orgânica dos educandos.</w:t>
      </w:r>
      <w:r>
        <w:rPr>
          <w:rFonts w:eastAsia="Calibri"/>
        </w:rPr>
        <w:t xml:space="preserve">  </w:t>
      </w:r>
    </w:p>
    <w:p w14:paraId="70F7EEBA" w14:textId="77777777" w:rsidR="00286147" w:rsidRDefault="00286147" w:rsidP="00286147">
      <w:pPr>
        <w:ind w:left="0" w:firstLine="709"/>
        <w:rPr>
          <w:rFonts w:eastAsia="Calibri"/>
        </w:rPr>
      </w:pPr>
    </w:p>
    <w:p w14:paraId="728E46C9" w14:textId="77777777" w:rsidR="00286147" w:rsidRDefault="00286147" w:rsidP="00286147">
      <w:pPr>
        <w:ind w:left="0" w:firstLine="0"/>
        <w:outlineLvl w:val="0"/>
        <w:rPr>
          <w:rFonts w:eastAsia="Calibri"/>
          <w:b/>
        </w:rPr>
      </w:pPr>
      <w:r>
        <w:rPr>
          <w:rFonts w:eastAsia="Calibri"/>
          <w:b/>
        </w:rPr>
        <w:t xml:space="preserve">A psicopedagogia </w:t>
      </w:r>
      <w:proofErr w:type="spellStart"/>
      <w:r>
        <w:rPr>
          <w:rFonts w:eastAsia="Calibri"/>
          <w:b/>
        </w:rPr>
        <w:t>escolanovista</w:t>
      </w:r>
      <w:proofErr w:type="spellEnd"/>
      <w:r w:rsidR="00AA5CC7">
        <w:rPr>
          <w:rFonts w:eastAsia="Calibri"/>
          <w:b/>
        </w:rPr>
        <w:t xml:space="preserve"> em perspectiva</w:t>
      </w:r>
    </w:p>
    <w:p w14:paraId="12A33927" w14:textId="60F078FC" w:rsidR="00F734E5" w:rsidRDefault="00286147" w:rsidP="00286147">
      <w:pPr>
        <w:ind w:left="0" w:firstLine="709"/>
      </w:pPr>
      <w:r>
        <w:t xml:space="preserve">Volumoso é o universo de documentos com o qual se depara quando se investiga o intercâmbio moderno da saúde com a educação. Mediante tal massa documental, ativemo-nos a dois grupos de alocuções cujas produção e circulação se mostraram férteis para aventarmos a contingência e a maleabilidade dos discursos pedagógicos lastreados por condicionantes biológicos. Para tanto, tomamos enunciados distantes no tempo em mais de seis décadas, ambicionando perspectivar o processo de criação e crítica de elementos que se tornaram recorrentes no processo educativo moderno. </w:t>
      </w:r>
    </w:p>
    <w:p w14:paraId="1AD439AE" w14:textId="77777777" w:rsidR="00286147" w:rsidRDefault="00286147" w:rsidP="00286147">
      <w:pPr>
        <w:ind w:left="0" w:firstLine="709"/>
      </w:pPr>
      <w:r>
        <w:t xml:space="preserve">O primeiro deles – atinente às décadas de 1920 e 1930 – teve como aguilhão a atuação político-pedagógica de Lourenço Filho, personagem apresentado pela historiografia da educação brasileira como fulcral para a formulação do viés </w:t>
      </w:r>
      <w:proofErr w:type="spellStart"/>
      <w:r>
        <w:t>biopsicológico</w:t>
      </w:r>
      <w:proofErr w:type="spellEnd"/>
      <w:r>
        <w:t xml:space="preserve"> na abordagem do aprendizado escolar. O segundo apanhado de enunciados foi constituído pelo agrupamento de artigos publicados em periódicos acadêmicos educacionais pós-1996, tomando como descritor o intercâmbio de noções como </w:t>
      </w:r>
      <w:r w:rsidRPr="00880A4D">
        <w:rPr>
          <w:i/>
        </w:rPr>
        <w:t>Escola Nova</w:t>
      </w:r>
      <w:r w:rsidRPr="00880A4D">
        <w:t xml:space="preserve">, </w:t>
      </w:r>
      <w:r w:rsidRPr="00880A4D">
        <w:rPr>
          <w:i/>
        </w:rPr>
        <w:t>higiene</w:t>
      </w:r>
      <w:r w:rsidRPr="00880A4D">
        <w:t xml:space="preserve">, </w:t>
      </w:r>
      <w:r w:rsidRPr="00880A4D">
        <w:rPr>
          <w:i/>
        </w:rPr>
        <w:t>medicina</w:t>
      </w:r>
      <w:r w:rsidRPr="00880A4D">
        <w:t xml:space="preserve">, </w:t>
      </w:r>
      <w:r w:rsidRPr="00880A4D">
        <w:rPr>
          <w:i/>
        </w:rPr>
        <w:t>saúde</w:t>
      </w:r>
      <w:r w:rsidRPr="00880A4D">
        <w:t xml:space="preserve">, </w:t>
      </w:r>
      <w:r w:rsidRPr="00880A4D">
        <w:rPr>
          <w:i/>
        </w:rPr>
        <w:t>clínica</w:t>
      </w:r>
      <w:r w:rsidRPr="00880A4D">
        <w:t xml:space="preserve"> e </w:t>
      </w:r>
      <w:r w:rsidRPr="00880A4D">
        <w:rPr>
          <w:i/>
        </w:rPr>
        <w:t>psicologia</w:t>
      </w:r>
      <w:r>
        <w:t xml:space="preserve">, presente em análises dedicadas às conexões entre saúde e educação na modernidade escolar brasileira.  </w:t>
      </w:r>
    </w:p>
    <w:p w14:paraId="5AB577A4" w14:textId="2797D0D7" w:rsidR="00286147" w:rsidRDefault="00286147" w:rsidP="00286147">
      <w:pPr>
        <w:ind w:left="0" w:firstLine="709"/>
      </w:pPr>
      <w:r>
        <w:t xml:space="preserve">Tratemos do primeiro corpo enunciativo. Ele referencia-se no trabalho de Lourenço Filho, eminente pedagogo, bacharel em direito, médico e burocrata nos tempos </w:t>
      </w:r>
      <w:r>
        <w:lastRenderedPageBreak/>
        <w:t xml:space="preserve">de Getúlio Vargas. Sua atuação na instalação da escola moderna no Brasil foi intensa e profícua. De </w:t>
      </w:r>
      <w:r w:rsidR="00AA1E2C">
        <w:t>uma</w:t>
      </w:r>
      <w:r>
        <w:t xml:space="preserve"> vida dedicada à educação, recortamos o protagonismo na edição da Coleção </w:t>
      </w:r>
      <w:r>
        <w:rPr>
          <w:i/>
        </w:rPr>
        <w:t>Bibliotheca de Educação</w:t>
      </w:r>
      <w:r>
        <w:t xml:space="preserve">. Esta, publicada entre 1927 e 1979, teve sua </w:t>
      </w:r>
      <w:r w:rsidRPr="00DF6F02">
        <w:t>fase áurea</w:t>
      </w:r>
      <w:r>
        <w:t xml:space="preserve"> nas décadas de 1920 e 1930 (</w:t>
      </w:r>
      <w:proofErr w:type="spellStart"/>
      <w:r>
        <w:t>M</w:t>
      </w:r>
      <w:r w:rsidR="00AA1E2C">
        <w:t>onarcha</w:t>
      </w:r>
      <w:proofErr w:type="spellEnd"/>
      <w:r>
        <w:t>, 1997), quando expoentes do campo educacional, psicológico, jurídico e sociológico redigiram volumes organizados com fito de estabelecer as “</w:t>
      </w:r>
      <w:r w:rsidRPr="00162B0D">
        <w:t xml:space="preserve">bases </w:t>
      </w:r>
      <w:proofErr w:type="spellStart"/>
      <w:r w:rsidRPr="00162B0D">
        <w:t>scientificas</w:t>
      </w:r>
      <w:proofErr w:type="spellEnd"/>
      <w:r w:rsidRPr="00162B0D">
        <w:t xml:space="preserve"> do ensino, já do ponto de vista genético </w:t>
      </w:r>
      <w:proofErr w:type="spellStart"/>
      <w:r w:rsidRPr="00162B0D">
        <w:t>funccional</w:t>
      </w:r>
      <w:proofErr w:type="spellEnd"/>
      <w:r w:rsidRPr="00162B0D">
        <w:t xml:space="preserve"> da sua </w:t>
      </w:r>
      <w:proofErr w:type="spellStart"/>
      <w:r w:rsidRPr="00162B0D">
        <w:t>organisação</w:t>
      </w:r>
      <w:proofErr w:type="spellEnd"/>
      <w:r w:rsidRPr="00162B0D">
        <w:t>, já do ponto de vista da finalidade social e moral a que deve tender a elevação do homem, como cidadão e como homem</w:t>
      </w:r>
      <w:r>
        <w:t>” (L</w:t>
      </w:r>
      <w:r w:rsidR="00AA1E2C">
        <w:t xml:space="preserve">ourenço </w:t>
      </w:r>
      <w:r>
        <w:t>F</w:t>
      </w:r>
      <w:r w:rsidR="00AA1E2C">
        <w:t>ilho,</w:t>
      </w:r>
      <w:r>
        <w:t xml:space="preserve"> 1927, p. 4)</w:t>
      </w:r>
      <w:r w:rsidRPr="00162B0D">
        <w:t>.</w:t>
      </w:r>
    </w:p>
    <w:p w14:paraId="7EBBA797" w14:textId="61B6C8C5" w:rsidR="00286147" w:rsidRDefault="00286147" w:rsidP="00286147">
      <w:pPr>
        <w:ind w:left="0" w:firstLine="709"/>
      </w:pPr>
      <w:r>
        <w:t xml:space="preserve">Dita </w:t>
      </w:r>
      <w:r>
        <w:rPr>
          <w:i/>
        </w:rPr>
        <w:t>elevação do homem</w:t>
      </w:r>
      <w:r>
        <w:t xml:space="preserve"> levou à reunião de obras nas quais uma </w:t>
      </w:r>
      <w:r w:rsidRPr="007C745C">
        <w:rPr>
          <w:i/>
        </w:rPr>
        <w:t>educação moral</w:t>
      </w:r>
      <w:r>
        <w:t xml:space="preserve"> (D</w:t>
      </w:r>
      <w:r w:rsidR="00AA1E2C">
        <w:t>oria</w:t>
      </w:r>
      <w:r>
        <w:t>, 1928; D</w:t>
      </w:r>
      <w:r w:rsidR="00AA1E2C">
        <w:t>urkheim</w:t>
      </w:r>
      <w:r>
        <w:t xml:space="preserve">, 1929) combinar-se-ia a um ensino </w:t>
      </w:r>
      <w:r w:rsidRPr="007C745C">
        <w:rPr>
          <w:i/>
        </w:rPr>
        <w:t>sob medida</w:t>
      </w:r>
      <w:r>
        <w:t xml:space="preserve"> (</w:t>
      </w:r>
      <w:proofErr w:type="spellStart"/>
      <w:r>
        <w:t>C</w:t>
      </w:r>
      <w:r w:rsidR="00AA1E2C">
        <w:t>laparède</w:t>
      </w:r>
      <w:proofErr w:type="spellEnd"/>
      <w:r>
        <w:t xml:space="preserve">, 1928), cuja operação </w:t>
      </w:r>
      <w:r w:rsidRPr="007C745C">
        <w:rPr>
          <w:i/>
        </w:rPr>
        <w:t>de dentro para fora</w:t>
      </w:r>
      <w:r>
        <w:t xml:space="preserve"> (</w:t>
      </w:r>
      <w:proofErr w:type="spellStart"/>
      <w:r>
        <w:t>F</w:t>
      </w:r>
      <w:r w:rsidR="00AA1E2C">
        <w:t>errière</w:t>
      </w:r>
      <w:proofErr w:type="spellEnd"/>
      <w:r>
        <w:t xml:space="preserve">, 1929), por sua vez, produziria uma escolarização </w:t>
      </w:r>
      <w:r w:rsidRPr="007C745C">
        <w:rPr>
          <w:i/>
        </w:rPr>
        <w:t>interessante</w:t>
      </w:r>
      <w:r>
        <w:t xml:space="preserve"> (D</w:t>
      </w:r>
      <w:r w:rsidR="00AA1E2C">
        <w:t>ewey, 1952</w:t>
      </w:r>
      <w:r>
        <w:t>; M</w:t>
      </w:r>
      <w:r w:rsidR="003D4406">
        <w:t>arques</w:t>
      </w:r>
      <w:r>
        <w:t xml:space="preserve">, 1936) e </w:t>
      </w:r>
      <w:r w:rsidRPr="007C745C">
        <w:rPr>
          <w:i/>
        </w:rPr>
        <w:t>útil</w:t>
      </w:r>
      <w:r>
        <w:t xml:space="preserve"> (</w:t>
      </w:r>
      <w:proofErr w:type="spellStart"/>
      <w:r>
        <w:t>C</w:t>
      </w:r>
      <w:r w:rsidR="003D4406">
        <w:t>resson</w:t>
      </w:r>
      <w:proofErr w:type="spellEnd"/>
      <w:r>
        <w:t xml:space="preserve">, 1931). Assim, vimos desfilar nas páginas dos 25 volumes da </w:t>
      </w:r>
      <w:r w:rsidRPr="0025526B">
        <w:rPr>
          <w:i/>
        </w:rPr>
        <w:t>Bibliotheca</w:t>
      </w:r>
      <w:r>
        <w:t xml:space="preserve"> conexões discursivas cujo intercâmbio teria frequentado os projetos, ao mesmo tempo, emancipatórios e saneadores do pensamento educacional moderno. </w:t>
      </w:r>
    </w:p>
    <w:p w14:paraId="001943F8" w14:textId="77777777" w:rsidR="00286147" w:rsidRDefault="00286147" w:rsidP="00286147">
      <w:pPr>
        <w:ind w:left="0" w:firstLine="709"/>
      </w:pPr>
      <w:r>
        <w:t xml:space="preserve">Na referida coleção, observa-se a preocupação constante dos pensadores com o estabelecimento de métodos para cuidar da vontade nos escolares. Tal atitude, na quase totalidade dos casos, relacionou-se com a implantação de uma educação de fato renovada, porque </w:t>
      </w:r>
      <w:r w:rsidRPr="00151459">
        <w:rPr>
          <w:i/>
        </w:rPr>
        <w:t xml:space="preserve">interessante, ativa </w:t>
      </w:r>
      <w:r w:rsidRPr="003425F0">
        <w:t>e</w:t>
      </w:r>
      <w:r w:rsidRPr="00151459">
        <w:rPr>
          <w:i/>
        </w:rPr>
        <w:t xml:space="preserve"> democrática</w:t>
      </w:r>
      <w:r>
        <w:t xml:space="preserve">. </w:t>
      </w:r>
      <w:r>
        <w:tab/>
      </w:r>
    </w:p>
    <w:p w14:paraId="64513B29" w14:textId="5F3A6DB0" w:rsidR="00286147" w:rsidRDefault="00286147" w:rsidP="00286147">
      <w:pPr>
        <w:ind w:left="0" w:firstLine="709"/>
      </w:pPr>
      <w:r>
        <w:t>Conectando noções como vontade, individualidade e sociabilidade, sobreditos autores trataram-nas como propriedades naturais do gênero humano. Assim fazendo, propuseram que, pelo fato de a vida social ser indiscernível da individualidade psíquica (</w:t>
      </w:r>
      <w:proofErr w:type="spellStart"/>
      <w:r>
        <w:t>C</w:t>
      </w:r>
      <w:r w:rsidR="003D4406">
        <w:t>laparède</w:t>
      </w:r>
      <w:proofErr w:type="spellEnd"/>
      <w:r>
        <w:t xml:space="preserve">, 1928), à escola caberia a tarefa de estimular o aluno a assumir uma </w:t>
      </w:r>
      <w:r>
        <w:rPr>
          <w:i/>
        </w:rPr>
        <w:t xml:space="preserve">responsabilidade </w:t>
      </w:r>
      <w:proofErr w:type="spellStart"/>
      <w:r>
        <w:rPr>
          <w:i/>
        </w:rPr>
        <w:t>physioló</w:t>
      </w:r>
      <w:r w:rsidRPr="00B664DB">
        <w:rPr>
          <w:i/>
        </w:rPr>
        <w:t>gica</w:t>
      </w:r>
      <w:proofErr w:type="spellEnd"/>
      <w:r>
        <w:t xml:space="preserve"> (D</w:t>
      </w:r>
      <w:r w:rsidR="003D4406">
        <w:t>oria</w:t>
      </w:r>
      <w:r>
        <w:t xml:space="preserve">, 1928), donde a inteligência comandaria </w:t>
      </w:r>
      <w:proofErr w:type="gramStart"/>
      <w:r>
        <w:t>a</w:t>
      </w:r>
      <w:proofErr w:type="gramEnd"/>
      <w:r>
        <w:t xml:space="preserve"> vontade e prepararia o educando para uma vida social cooperativa. Nesse estrato do escolanovismo, a educação deveria assumir o encargo de encaminhar a expressão volitiva dos educandos para que sua capacidade de raciocínio fosse capaz de produzir um desenvolvimento </w:t>
      </w:r>
      <w:r w:rsidRPr="00151459">
        <w:rPr>
          <w:i/>
        </w:rPr>
        <w:t>sadio</w:t>
      </w:r>
      <w:r>
        <w:t xml:space="preserve"> (</w:t>
      </w:r>
      <w:proofErr w:type="spellStart"/>
      <w:r w:rsidRPr="00FB2906">
        <w:t>F</w:t>
      </w:r>
      <w:r w:rsidR="007107B3" w:rsidRPr="00FB2906">
        <w:t>err</w:t>
      </w:r>
      <w:r w:rsidR="003D4406" w:rsidRPr="00FB2906">
        <w:t>ière</w:t>
      </w:r>
      <w:bookmarkStart w:id="0" w:name="_GoBack"/>
      <w:bookmarkEnd w:id="0"/>
      <w:proofErr w:type="spellEnd"/>
      <w:r>
        <w:t>, 1929), criando as condições para o infante orientar seu comportamento em direção àquele esperado para sua idade.</w:t>
      </w:r>
    </w:p>
    <w:p w14:paraId="1B578B56" w14:textId="77777777" w:rsidR="00286147" w:rsidRDefault="00286147" w:rsidP="00286147">
      <w:pPr>
        <w:ind w:left="0" w:firstLine="709"/>
      </w:pPr>
      <w:r>
        <w:t xml:space="preserve">Tratava-se, em suma, de despertar o natural interesse como requisito para desenvolver supostos mecanismos fisiológicos da inteligência, cuja ativação orientaria o educando para um convívio salutar: eis uma preocupação que raramente esteve ausente dos debates educacionais. </w:t>
      </w:r>
    </w:p>
    <w:p w14:paraId="08891187" w14:textId="77777777" w:rsidR="00F53527" w:rsidRDefault="00286147" w:rsidP="00286147">
      <w:pPr>
        <w:ind w:left="0" w:firstLine="709"/>
      </w:pPr>
      <w:r>
        <w:lastRenderedPageBreak/>
        <w:t xml:space="preserve">Ademais, observamos na referida amostra documental a forja da interdependência entre inteligência e aprendizado, de modo coerente com uma mirada cientificista para a natureza humana e para o ato educativo. Nessa perspectiva, vasculhando a coleção </w:t>
      </w:r>
      <w:r w:rsidRPr="000A22E3">
        <w:rPr>
          <w:i/>
        </w:rPr>
        <w:t>Bibliotheca de Educação</w:t>
      </w:r>
      <w:r>
        <w:t xml:space="preserve">, constatamos a reunião de autores considerados clássicos pela historiografia por instituir aquilo que até hoje é definido como da ordem dos processos psíquicos da cognição. </w:t>
      </w:r>
    </w:p>
    <w:p w14:paraId="0D720CC3" w14:textId="49A46BE1" w:rsidR="00286147" w:rsidRDefault="00AA5CC7" w:rsidP="00286147">
      <w:pPr>
        <w:ind w:left="0" w:firstLine="709"/>
      </w:pPr>
      <w:r>
        <w:t>E</w:t>
      </w:r>
      <w:r w:rsidR="00F53527">
        <w:t xml:space="preserve">ntre as capacidades necessárias ao aprendizado, a inteligência configurou-se como fundamental. </w:t>
      </w:r>
      <w:r w:rsidR="00286147">
        <w:t>Para estabelec</w:t>
      </w:r>
      <w:r w:rsidR="00F53527">
        <w:t>er seu</w:t>
      </w:r>
      <w:r>
        <w:t>s</w:t>
      </w:r>
      <w:r w:rsidR="00F53527">
        <w:t xml:space="preserve"> mecanismo</w:t>
      </w:r>
      <w:r>
        <w:t>s</w:t>
      </w:r>
      <w:r w:rsidR="00286147">
        <w:t xml:space="preserve">, </w:t>
      </w:r>
      <w:r w:rsidR="00F53527">
        <w:t>i</w:t>
      </w:r>
      <w:r w:rsidR="00286147">
        <w:t xml:space="preserve">nvestigadores </w:t>
      </w:r>
      <w:r w:rsidR="00AE5370">
        <w:t xml:space="preserve">associados a </w:t>
      </w:r>
      <w:r w:rsidR="00286147">
        <w:t xml:space="preserve">laboratórios de psicologia experimental </w:t>
      </w:r>
      <w:r w:rsidR="00AE5370">
        <w:t>dedicaram-se a</w:t>
      </w:r>
      <w:r w:rsidR="00286147">
        <w:t xml:space="preserve"> medir gestos que os levariam a descrever </w:t>
      </w:r>
      <w:r w:rsidR="00AE5370">
        <w:t>a cognição</w:t>
      </w:r>
      <w:r w:rsidR="00286147">
        <w:t xml:space="preserve"> a partir da noção de desenvolvimento da inteligência.</w:t>
      </w:r>
      <w:r w:rsidR="00F734E5">
        <w:t xml:space="preserve"> Com tal intuito</w:t>
      </w:r>
      <w:r>
        <w:t>,</w:t>
      </w:r>
      <w:r w:rsidR="00F734E5">
        <w:t xml:space="preserve"> desfilaram pela referida coleção,</w:t>
      </w:r>
      <w:r w:rsidR="00F53527">
        <w:t xml:space="preserve"> dentre outros, </w:t>
      </w:r>
      <w:r w:rsidR="00F734E5">
        <w:t>a dupla Binet/Simon (1929), estabelecendo provas para aferir o coeficiente de inteligência</w:t>
      </w:r>
      <w:r>
        <w:t>,</w:t>
      </w:r>
      <w:r w:rsidR="00354C72">
        <w:t xml:space="preserve"> </w:t>
      </w:r>
      <w:proofErr w:type="spellStart"/>
      <w:r w:rsidR="00354C72">
        <w:t>Pié</w:t>
      </w:r>
      <w:r w:rsidR="00F734E5">
        <w:t>ron</w:t>
      </w:r>
      <w:proofErr w:type="spellEnd"/>
      <w:r w:rsidR="00F734E5">
        <w:t xml:space="preserve"> (</w:t>
      </w:r>
      <w:r w:rsidR="00F53527">
        <w:t>1927) aplicando a psicofísica para estabelecer padrões normais de reações mentais diante de estímulos controlados</w:t>
      </w:r>
      <w:r>
        <w:t xml:space="preserve">, bem como </w:t>
      </w:r>
      <w:r w:rsidR="00F53527">
        <w:t>Lourenço Filho (</w:t>
      </w:r>
      <w:r w:rsidR="002A56C5">
        <w:t>193</w:t>
      </w:r>
      <w:r w:rsidR="00F53527">
        <w:t>7) confeccionando provas para aferir a maturidade necessária ao início da alfabetização.</w:t>
      </w:r>
      <w:r w:rsidR="00F734E5">
        <w:t xml:space="preserve">  </w:t>
      </w:r>
    </w:p>
    <w:p w14:paraId="14E98D97" w14:textId="125F7E7D" w:rsidR="00286147" w:rsidRDefault="00286147" w:rsidP="00286147">
      <w:pPr>
        <w:ind w:left="0" w:firstLine="709"/>
      </w:pPr>
      <w:r>
        <w:t>Destarte, a tomar pela perspectiva dos referidos psicólogos experimentais, o aprendizado seria o produto de processos mentais cuja ativação seria disparada por gestos requisitados pelo ambiente social no qual o par avaliador/avaliado estavam inseridos.</w:t>
      </w:r>
      <w:r w:rsidR="00AA1E2C">
        <w:t xml:space="preserve"> S</w:t>
      </w:r>
      <w:r>
        <w:t xml:space="preserve">egundo essa lógica discursiva, o meio estaria incorporado à fisiologia cerebral, e o funcionamento adequado desta dependeria tanto da correta estimulação realizada no ambiente externo, quanto do equilibrado desenvolvimento das estruturas internas.   </w:t>
      </w:r>
    </w:p>
    <w:p w14:paraId="5EE99E90" w14:textId="77777777" w:rsidR="00286147" w:rsidRDefault="00286147" w:rsidP="00286147">
      <w:pPr>
        <w:ind w:left="0" w:firstLine="709"/>
      </w:pPr>
      <w:r>
        <w:t xml:space="preserve">Portanto, inerentemente a tal lógica, estabeleceu-se a noção de desenvolvimento da inteligência como um dos elementos visíveis e, portanto, modificáveis da ação cognitiva. </w:t>
      </w:r>
    </w:p>
    <w:p w14:paraId="4374E9CE" w14:textId="63C62D1B" w:rsidR="00286147" w:rsidRDefault="00286147" w:rsidP="00286147">
      <w:pPr>
        <w:ind w:left="0" w:firstLine="709"/>
      </w:pPr>
      <w:r>
        <w:t xml:space="preserve">Nos dizeres abrigados na </w:t>
      </w:r>
      <w:r w:rsidRPr="000B0F04">
        <w:rPr>
          <w:i/>
        </w:rPr>
        <w:t>Bibliotheca de Educação</w:t>
      </w:r>
      <w:r>
        <w:t>, a natureza em desenvolvimento dos infantes teria por base estruturas biológicas (D</w:t>
      </w:r>
      <w:r w:rsidR="00933A60">
        <w:t>omingues</w:t>
      </w:r>
      <w:r>
        <w:t>, 1929), as quais proviriam da herança genética (</w:t>
      </w:r>
      <w:proofErr w:type="spellStart"/>
      <w:r>
        <w:t>G</w:t>
      </w:r>
      <w:r w:rsidR="00933A60">
        <w:t>eenen</w:t>
      </w:r>
      <w:proofErr w:type="spellEnd"/>
      <w:r>
        <w:t>, 1929) e se transformariam conforme a sucessão das idades. Considerando que os processos mentais se expandiam ao longo do tempo (P</w:t>
      </w:r>
      <w:r w:rsidR="00933A60">
        <w:t>roença</w:t>
      </w:r>
      <w:r>
        <w:t>, 1928), os autores da referida coleção sugeriam recorrentemente que à escola cabia a tarefa de preservar a liberdade dos alunos para que dita progressão fisiológica caminhasse equilibradamente em direção à condição adulta.</w:t>
      </w:r>
    </w:p>
    <w:p w14:paraId="773A6876" w14:textId="67C5D058" w:rsidR="00286147" w:rsidRDefault="00286147" w:rsidP="00286147">
      <w:pPr>
        <w:ind w:left="0" w:firstLine="709"/>
      </w:pPr>
      <w:r>
        <w:t xml:space="preserve">Por conseguinte, restava aos professores a tarefa de adequar suas demandas às diferentes capacidades de seus educandos. Propunha-se então que o educador atuasse como mantenedor do entusiasmo, da iniciativa e do interesse, a fim de que a </w:t>
      </w:r>
      <w:r>
        <w:lastRenderedPageBreak/>
        <w:t>potencialidade natural dos indivíduos se manifestasse de dentro para fora e em sua plenitude (</w:t>
      </w:r>
      <w:proofErr w:type="spellStart"/>
      <w:r>
        <w:t>F</w:t>
      </w:r>
      <w:r w:rsidR="00933A60">
        <w:t>errière</w:t>
      </w:r>
      <w:proofErr w:type="spellEnd"/>
      <w:r>
        <w:t>, 1929).</w:t>
      </w:r>
    </w:p>
    <w:p w14:paraId="16C674E6" w14:textId="7D4104E1" w:rsidR="00286147" w:rsidRDefault="00286147" w:rsidP="00286147">
      <w:pPr>
        <w:ind w:left="0" w:firstLine="709"/>
      </w:pPr>
      <w:r>
        <w:t>Nesse mesmo diapasão, defendiam os companheiros de Lourenço Filho que a educação deveria centrar seus métodos na promoção da liberdade. Livres deveriam ser as brincadeiras e o convívio social; até a escolha dos componentes curriculares deveria ser orientada para a promoção da autonomia do educando. Propalava-se que uma escola livre permitiria o desenvolvimento, em todos os estudantes, das capacidades cientificamente verificáveis e, portanto, naturais (D</w:t>
      </w:r>
      <w:r w:rsidR="00933A60">
        <w:t>ewey</w:t>
      </w:r>
      <w:r>
        <w:t>,1952).</w:t>
      </w:r>
    </w:p>
    <w:p w14:paraId="700A14EB" w14:textId="27D8C1AF" w:rsidR="00286147" w:rsidRDefault="00286147" w:rsidP="00286147">
      <w:pPr>
        <w:ind w:left="0" w:firstLine="709"/>
      </w:pPr>
      <w:r>
        <w:t>Uma vez estando em idade adequada para a escolarização, o desenvolvimento dos infantes continuaria em direção à maximização da inteligência, e esta permitiria uma socialização equilibrada, cujo apogeu, conforme alguns dos autores da coleção, levaria ao pleno exercício da democracia (D</w:t>
      </w:r>
      <w:r w:rsidR="00933A60">
        <w:t xml:space="preserve">ewey, </w:t>
      </w:r>
      <w:r>
        <w:t xml:space="preserve">1952; </w:t>
      </w:r>
      <w:proofErr w:type="spellStart"/>
      <w:r>
        <w:t>L</w:t>
      </w:r>
      <w:r w:rsidR="00933A60">
        <w:t>uzuriaga</w:t>
      </w:r>
      <w:proofErr w:type="spellEnd"/>
      <w:r>
        <w:t xml:space="preserve">, 1934; </w:t>
      </w:r>
      <w:proofErr w:type="spellStart"/>
      <w:r>
        <w:t>K</w:t>
      </w:r>
      <w:r w:rsidR="00933A60">
        <w:t>ilpatrick</w:t>
      </w:r>
      <w:proofErr w:type="spellEnd"/>
      <w:r>
        <w:t xml:space="preserve">, 1933). Assim, localizamos aí um axioma profundamente arraigado na educação moderna, expresso pela tríade inteligência-sociabilidade-desenvolvimento, cujo encadeamento levaria à </w:t>
      </w:r>
      <w:r w:rsidR="00AA1E2C">
        <w:t>emancipação do humano</w:t>
      </w:r>
      <w:r>
        <w:t>.</w:t>
      </w:r>
    </w:p>
    <w:p w14:paraId="4DD15CDA" w14:textId="77777777" w:rsidR="00286147" w:rsidRDefault="00286147" w:rsidP="00286147">
      <w:pPr>
        <w:ind w:left="0" w:firstLine="709"/>
      </w:pPr>
      <w:r>
        <w:t xml:space="preserve">Destarte, atendo-nos à produção da </w:t>
      </w:r>
      <w:r w:rsidRPr="00396DD2">
        <w:rPr>
          <w:i/>
        </w:rPr>
        <w:t>Bibliotheca de Educação</w:t>
      </w:r>
      <w:r>
        <w:t xml:space="preserve">, diríamos que um influente segmento do escolanovismo brasileiro operou com uma noção de natureza humana segundo a qual as alocuções fisiológicas estariam intimamente conectadas a instâncias anímicas e sociais. Atribuímos a essa conexão o cerne daquilo que doravante se autoproclamaria como concepção moderna de escola. Ainda sugerimos que, quando o comportamento dos escolares foi definitivamente decomposto em processos </w:t>
      </w:r>
      <w:proofErr w:type="spellStart"/>
      <w:r>
        <w:t>biopsicológicos</w:t>
      </w:r>
      <w:proofErr w:type="spellEnd"/>
      <w:r>
        <w:t xml:space="preserve">, todas as suas ações ganharam previsibilidade, quer por se fixarem na determinação genética da carne, quer por expressarem almas idiossincráticas. Portanto, fossem cativos de suas tendências hereditárias, fossem confinados aos ditames sociais, os alunos modernos deveriam ser instigados a desenvolver suas individualidades livremente e, assim fazendo, realizar a plenitude de sua natureza </w:t>
      </w:r>
      <w:proofErr w:type="spellStart"/>
      <w:r>
        <w:t>biopsicológica</w:t>
      </w:r>
      <w:proofErr w:type="spellEnd"/>
      <w:r>
        <w:t>.</w:t>
      </w:r>
    </w:p>
    <w:p w14:paraId="73E3FD2B" w14:textId="77777777" w:rsidR="00286147" w:rsidRDefault="00286147" w:rsidP="00286147">
      <w:pPr>
        <w:ind w:left="0" w:firstLine="709"/>
      </w:pPr>
      <w:r>
        <w:t xml:space="preserve">Poucos educadores modernos discordariam da crença na expansão insondável dos limites </w:t>
      </w:r>
      <w:proofErr w:type="spellStart"/>
      <w:r>
        <w:t>biopsíquicos</w:t>
      </w:r>
      <w:proofErr w:type="spellEnd"/>
      <w:r>
        <w:t xml:space="preserve"> impulsionados por determinados arranjos da sociabilidade humana. Entretanto, aventamos que tal certeza traria, como oposto complementar à potência para o desenvolvimento, a percepção da permanente incompletude do ser produzida pelos enunciados </w:t>
      </w:r>
      <w:proofErr w:type="spellStart"/>
      <w:r>
        <w:t>biopsicologicamente</w:t>
      </w:r>
      <w:proofErr w:type="spellEnd"/>
      <w:r>
        <w:t xml:space="preserve"> fundamentados. </w:t>
      </w:r>
    </w:p>
    <w:p w14:paraId="0C7462FE" w14:textId="77777777" w:rsidR="00286147" w:rsidRDefault="00286147" w:rsidP="00286147">
      <w:pPr>
        <w:ind w:left="0" w:firstLine="709"/>
      </w:pPr>
      <w:r>
        <w:t xml:space="preserve">Extrai-se desse ponto de vista acerca do escolanovismo o fato de que, ao amalgamar sociabilidade, inteligência e desenvolvimento, tal movimento pedagógico permitiu, de uma vez por todas, que a educação produzisse uma utópica noção de </w:t>
      </w:r>
      <w:r>
        <w:lastRenderedPageBreak/>
        <w:t xml:space="preserve">humanidade e, ao mesmo tempo, demandasse um ambiente propício a toda sorte de compensações, cuidados e terapêuticas aplicáveis tanto aos alunos regulares quanto aos </w:t>
      </w:r>
      <w:r w:rsidRPr="00EA57BF">
        <w:rPr>
          <w:i/>
        </w:rPr>
        <w:t>anormais</w:t>
      </w:r>
      <w:r>
        <w:t>, ambos visualizados como entes em perene processo de desenvolvimento.</w:t>
      </w:r>
    </w:p>
    <w:p w14:paraId="6806743A" w14:textId="77777777" w:rsidR="00286147" w:rsidRDefault="00286147" w:rsidP="00286147">
      <w:pPr>
        <w:ind w:left="0" w:firstLine="709"/>
      </w:pPr>
    </w:p>
    <w:p w14:paraId="5AA5B99F" w14:textId="77777777" w:rsidR="00286147" w:rsidRPr="00BF7E37" w:rsidRDefault="00286147" w:rsidP="00286147">
      <w:pPr>
        <w:ind w:left="0" w:firstLine="0"/>
        <w:outlineLvl w:val="0"/>
        <w:rPr>
          <w:b/>
        </w:rPr>
      </w:pPr>
      <w:r>
        <w:rPr>
          <w:b/>
        </w:rPr>
        <w:t>Saúde e educação nos discursos acadêmicos contemporâneos</w:t>
      </w:r>
    </w:p>
    <w:p w14:paraId="22CEFFD3" w14:textId="77777777" w:rsidR="00286147" w:rsidRDefault="00286147" w:rsidP="00286147">
      <w:pPr>
        <w:ind w:left="0" w:firstLine="709"/>
      </w:pPr>
      <w:r>
        <w:t xml:space="preserve">Supondo que a ligação entre educação e saúde, desde a década de 1920 no Brasil, teria atrelado a definição de processos cognitivos à noção de desenvolvimento e, por conseguinte, à de </w:t>
      </w:r>
      <w:r w:rsidRPr="00350329">
        <w:rPr>
          <w:i/>
        </w:rPr>
        <w:t>déficit</w:t>
      </w:r>
      <w:r>
        <w:t>, recolhemos um extrato do pensamento educacional contemporâneo para sopesar se tal base ter-se-ia mantido ou deslocado para outras conexões, quando autores contemporâneos se dedicaram a pensar o cientificismo atribuído à Escola Nova.</w:t>
      </w:r>
    </w:p>
    <w:p w14:paraId="7A390D2D" w14:textId="77777777" w:rsidR="00286147" w:rsidRDefault="00286147" w:rsidP="00286147">
      <w:pPr>
        <w:ind w:left="0" w:firstLine="709"/>
      </w:pPr>
      <w:r>
        <w:t xml:space="preserve">É notável que tal apanhado contempla repetidas </w:t>
      </w:r>
      <w:r w:rsidRPr="008A4A8F">
        <w:t xml:space="preserve">condenações </w:t>
      </w:r>
      <w:r>
        <w:t xml:space="preserve">ora </w:t>
      </w:r>
      <w:r w:rsidRPr="008A4A8F">
        <w:t xml:space="preserve">aos testes psicológicos, </w:t>
      </w:r>
      <w:r>
        <w:t xml:space="preserve">ora </w:t>
      </w:r>
      <w:r w:rsidRPr="008A4A8F">
        <w:t>às políticas norma</w:t>
      </w:r>
      <w:r>
        <w:t>l</w:t>
      </w:r>
      <w:r w:rsidRPr="008A4A8F">
        <w:t xml:space="preserve">izadoras, </w:t>
      </w:r>
      <w:r>
        <w:t xml:space="preserve">ora ao jogo dominação/resistência, ora ainda às distorções e representações elitistas. Tais contestações, em sua ampla maioria, opõem-se ao caráter quantitativo das avaliações, associando-as a projetos nacionais ancorados em erros, desvios e omissões, ou seja, em negatividades. No entanto, não nos preocuparemos em abordar aquilo que tais análises negam, preferindo nos atermos à produtividade discursiva da própria instância da crítica, o que nos permitiria descrever as proveniências e as recorrências – criadas no momento </w:t>
      </w:r>
      <w:proofErr w:type="spellStart"/>
      <w:r>
        <w:t>escolanovista</w:t>
      </w:r>
      <w:proofErr w:type="spellEnd"/>
      <w:r>
        <w:t xml:space="preserve"> e perpetuadas no presente – das noções efetivamente constituídas no encontro da educação com a saúde na discursividade pedagógica moderna. </w:t>
      </w:r>
    </w:p>
    <w:p w14:paraId="62D526FF" w14:textId="041E5FDB" w:rsidR="00797C3D" w:rsidRDefault="00286147" w:rsidP="00286147">
      <w:pPr>
        <w:ind w:left="0" w:firstLine="709"/>
      </w:pPr>
      <w:r>
        <w:t xml:space="preserve">Para tanto, </w:t>
      </w:r>
      <w:r w:rsidRPr="00AE713C">
        <w:t>compilamos 56 artigos científicos publicados em periódicos</w:t>
      </w:r>
      <w:r>
        <w:t xml:space="preserve"> educacionais entre 1993 e 2013</w:t>
      </w:r>
      <w:r w:rsidR="00797C3D">
        <w:t xml:space="preserve">. </w:t>
      </w:r>
      <w:r w:rsidR="00797C3D" w:rsidRPr="00797C3D">
        <w:t xml:space="preserve">Trata-se de publicações próprias do campo pedagógico selecionadas com base nos critérios estabelecidos pelo Sistema QUALIS da Coordenação de Aperfeiçoamento de Pessoal de Nível Superior (CAPES). Tendo tais critérios em vista, selecionamos 18 periódicos avaliados como A1 e A2, o que atestaria a circulação e a atribuída qualidade das publicações, bem como garantiria que os artigos selecionados apresentassem hipóteses chanceladas, praticadas e reconhecidas nos meios acadêmicos. São eles: </w:t>
      </w:r>
      <w:r w:rsidR="00797C3D" w:rsidRPr="002739A0">
        <w:rPr>
          <w:i/>
        </w:rPr>
        <w:t>Cadernos CEDES, Cadernos de Pesquisa, Currículo sem Fronteiras, Educação em Questão, Educação em Revista, Educação e Pesquisa, Educação Temática Digital, Educar em Revista, Educação &amp; Realidade, Educação &amp; Sociedade, Perspectiva, Práxis Educativa, Pro-Posições, Revista Brasileira de Educação, Revista Brasileira de Estudos Pedagógicos, Revista Brasileira de História da Educação, Revista de Educação Pública e Revista Educação (PUCRS)</w:t>
      </w:r>
      <w:r w:rsidR="00797C3D" w:rsidRPr="00797C3D">
        <w:t>.</w:t>
      </w:r>
      <w:r>
        <w:t xml:space="preserve"> </w:t>
      </w:r>
    </w:p>
    <w:p w14:paraId="79BB7B25" w14:textId="42E032E0" w:rsidR="00286147" w:rsidRDefault="00797C3D" w:rsidP="00797C3D">
      <w:pPr>
        <w:ind w:left="0" w:firstLine="709"/>
      </w:pPr>
      <w:r>
        <w:lastRenderedPageBreak/>
        <w:t xml:space="preserve">O rastreamento dos textos deu-se a </w:t>
      </w:r>
      <w:r w:rsidR="00286147">
        <w:t xml:space="preserve">partir das seguintes palavras-chave: </w:t>
      </w:r>
      <w:r w:rsidR="00286147">
        <w:rPr>
          <w:i/>
        </w:rPr>
        <w:t xml:space="preserve">Escola Nova, </w:t>
      </w:r>
      <w:r w:rsidR="00286147" w:rsidRPr="00B62FF6">
        <w:rPr>
          <w:i/>
        </w:rPr>
        <w:t>higiene</w:t>
      </w:r>
      <w:r w:rsidR="00286147" w:rsidRPr="00B62FF6">
        <w:t xml:space="preserve">, </w:t>
      </w:r>
      <w:r w:rsidR="00286147" w:rsidRPr="00B62FF6">
        <w:rPr>
          <w:i/>
        </w:rPr>
        <w:t>medicina</w:t>
      </w:r>
      <w:r w:rsidR="00286147" w:rsidRPr="00B62FF6">
        <w:t xml:space="preserve">, </w:t>
      </w:r>
      <w:r w:rsidR="00286147" w:rsidRPr="00B62FF6">
        <w:rPr>
          <w:i/>
        </w:rPr>
        <w:t>saúde</w:t>
      </w:r>
      <w:r w:rsidR="00286147" w:rsidRPr="00B62FF6">
        <w:t xml:space="preserve">, </w:t>
      </w:r>
      <w:r w:rsidR="00286147" w:rsidRPr="00B62FF6">
        <w:rPr>
          <w:i/>
        </w:rPr>
        <w:t>clínica</w:t>
      </w:r>
      <w:r w:rsidR="00286147" w:rsidRPr="00B62FF6">
        <w:t xml:space="preserve"> e </w:t>
      </w:r>
      <w:r w:rsidR="00286147" w:rsidRPr="00B62FF6">
        <w:rPr>
          <w:i/>
        </w:rPr>
        <w:t>psicologia</w:t>
      </w:r>
      <w:r w:rsidR="00286147">
        <w:t xml:space="preserve">. A escolha de tais termos sucedeu uma triagem inicial em que os vínculos de sentido estabelecidos por eles apresentaram-se como campo fértil para analisarmos os efeitos da fricção do discurso </w:t>
      </w:r>
      <w:proofErr w:type="spellStart"/>
      <w:r w:rsidR="00286147">
        <w:t>escolanovista</w:t>
      </w:r>
      <w:proofErr w:type="spellEnd"/>
      <w:r w:rsidR="00286147">
        <w:t xml:space="preserve"> com as ciências da cognição, particularmente quando referido saber foi revisitado pela intelectualidade pedagógica do presente.</w:t>
      </w:r>
    </w:p>
    <w:p w14:paraId="287027C3" w14:textId="18C630CD" w:rsidR="00286147" w:rsidRDefault="00286147" w:rsidP="00286147">
      <w:pPr>
        <w:ind w:left="0" w:firstLine="709"/>
      </w:pPr>
      <w:r>
        <w:t xml:space="preserve">Um </w:t>
      </w:r>
      <w:r w:rsidR="00AE5370">
        <w:t>significativo</w:t>
      </w:r>
      <w:r>
        <w:t xml:space="preserve"> </w:t>
      </w:r>
      <w:r w:rsidR="00AE5370">
        <w:t xml:space="preserve">número </w:t>
      </w:r>
      <w:r>
        <w:t xml:space="preserve">de artigos abordou a discursividade acerca do escolanovismo de modo paradoxal. Por um lado, criticou o caráter burguês do movimento, sugerindo distorções e manipulações, tanto nas práticas discursivas de seus principais autores quanto na historiografia dedicada a enaltecê-la. Por outro lado, releu tais obras e interpretou ditas análises com fito de situar na exterioridade delas – constituída pela época em que a urbanização e a industrialização despontaram nas grandes cidades brasileiras – as condições de possibilidade para a emergência de modos democráticos de convívio. </w:t>
      </w:r>
    </w:p>
    <w:p w14:paraId="71B23E47" w14:textId="42112FFF" w:rsidR="00286147" w:rsidRDefault="00286147" w:rsidP="00286147">
      <w:pPr>
        <w:ind w:left="0" w:firstLine="709"/>
      </w:pPr>
      <w:r>
        <w:t>Tais autores, cujo destaque é aqui conferido a Marcus Vinicius da Cunha</w:t>
      </w:r>
      <w:r w:rsidR="00AE5370">
        <w:t xml:space="preserve"> (</w:t>
      </w:r>
      <w:r w:rsidR="002739A0">
        <w:t xml:space="preserve">1996, </w:t>
      </w:r>
      <w:r w:rsidR="00BF36F3">
        <w:t>1999</w:t>
      </w:r>
      <w:r w:rsidR="00FA1C65">
        <w:t>)</w:t>
      </w:r>
      <w:r>
        <w:t xml:space="preserve">, consideram que a busca pela racionalização do sistema educacional e, por conseguinte, a ânsia pela eficácia de suas práticas, envergaram a cientificidade contida no discurso </w:t>
      </w:r>
      <w:proofErr w:type="spellStart"/>
      <w:r>
        <w:t>escolanovista</w:t>
      </w:r>
      <w:proofErr w:type="spellEnd"/>
      <w:r>
        <w:t xml:space="preserve"> em direção a um uso sobejamente instrumental dos procedimentos por ele produzidos. Partindo desse suposto desvio de rota, Cunha propõe-se a revisitar o pensamento de John Dewey</w:t>
      </w:r>
      <w:r w:rsidR="00FA1C65">
        <w:t xml:space="preserve"> – em sua apropriação de Anísio Teixeira, divulgador </w:t>
      </w:r>
      <w:r w:rsidR="00AA5CC7">
        <w:t xml:space="preserve">daquele </w:t>
      </w:r>
      <w:r w:rsidR="00FA1C65">
        <w:t xml:space="preserve">no Brasil – </w:t>
      </w:r>
      <w:r>
        <w:t xml:space="preserve">com objetivo de </w:t>
      </w:r>
      <w:r w:rsidR="00EA44C2">
        <w:t xml:space="preserve">estabelecer o </w:t>
      </w:r>
      <w:r w:rsidR="00AA5CC7">
        <w:t xml:space="preserve">autor </w:t>
      </w:r>
      <w:r w:rsidR="00EA44C2">
        <w:t>estadunidense como referência diametralmente oposta a Lourenço Filho e à perspectiva psicométrica</w:t>
      </w:r>
      <w:r>
        <w:t xml:space="preserve">. </w:t>
      </w:r>
    </w:p>
    <w:p w14:paraId="0FBD0D8C" w14:textId="22AC0D5C" w:rsidR="00286147" w:rsidRDefault="00EA44C2" w:rsidP="00286147">
      <w:pPr>
        <w:ind w:left="0" w:firstLine="709"/>
      </w:pPr>
      <w:r>
        <w:t>C</w:t>
      </w:r>
      <w:r w:rsidR="00286147">
        <w:t xml:space="preserve">orrigindo os excessos de Lourenço Filho e mantendo a associação do aprendizado à maturação dos processos mentais, </w:t>
      </w:r>
      <w:r>
        <w:t xml:space="preserve">a leitura de </w:t>
      </w:r>
      <w:r w:rsidR="00286147">
        <w:t>Cunha</w:t>
      </w:r>
      <w:r>
        <w:t xml:space="preserve"> a respeito das teorizações de Dewey</w:t>
      </w:r>
      <w:r w:rsidR="00AA5CC7">
        <w:t xml:space="preserve"> </w:t>
      </w:r>
      <w:r w:rsidR="00FA1C65">
        <w:t>permitiu</w:t>
      </w:r>
      <w:r w:rsidR="00AA5CC7">
        <w:t xml:space="preserve">-lhe </w:t>
      </w:r>
      <w:r w:rsidR="00FA1C65">
        <w:t xml:space="preserve">estabelecer que </w:t>
      </w:r>
      <w:r w:rsidR="00286147">
        <w:t xml:space="preserve">somente se realizaria a cognição quando ocorresse uma operação íntima na subjetividade dos educandos, qual seja: a conquista da racionalidade no embate social. </w:t>
      </w:r>
    </w:p>
    <w:p w14:paraId="1AEF54DA" w14:textId="7A2E1AF5" w:rsidR="00286147" w:rsidRDefault="00286147" w:rsidP="00286147">
      <w:pPr>
        <w:ind w:left="0" w:firstLine="709"/>
      </w:pPr>
      <w:r>
        <w:t xml:space="preserve">Ao sugerir que a substituição das teses de Lourenço Filho pelas de Anísio Teixeira e Dewey promoveria a plenitude do gesto educativo – expresso pela máxima do perpétuo </w:t>
      </w:r>
      <w:r>
        <w:rPr>
          <w:i/>
        </w:rPr>
        <w:t>aprender a aprender</w:t>
      </w:r>
      <w:r>
        <w:t xml:space="preserve"> –, Cunha insinua uma mirada que define o estilo de vida democrático como ponto culminante do processo de desenvolvimento das habilidades cognitivas dos educandos</w:t>
      </w:r>
      <w:r w:rsidR="00736478">
        <w:t xml:space="preserve"> (</w:t>
      </w:r>
      <w:proofErr w:type="spellStart"/>
      <w:r w:rsidR="00736478">
        <w:t>Bortolotti</w:t>
      </w:r>
      <w:proofErr w:type="spellEnd"/>
      <w:r w:rsidR="00736478">
        <w:t>, &amp; Cunha, 2013)</w:t>
      </w:r>
      <w:r>
        <w:t xml:space="preserve">. A escola observada sob esse ponto de vista seria o ambiente em que se deveria favorecer o pleno desenvolvimento psíquico, desde que a vivência ali partilhada fosse organizada o bastante para considerar os interesses, estimular </w:t>
      </w:r>
      <w:r>
        <w:lastRenderedPageBreak/>
        <w:t>as capacidades e, por fim, promover o livre exercício da razão. Cunha, ao criticar o psicologismo como limitador da educação democrática, distancia-se do que ele considera o formalismo propugnado por Lourenço Filho. No entanto, condiciona a conquista da democracia à necessidade de potencializar a razão e as capacidades por meio do estímulo ao interesse dos educandos.</w:t>
      </w:r>
    </w:p>
    <w:p w14:paraId="05F3F315" w14:textId="77777777" w:rsidR="00286147" w:rsidRDefault="00286147" w:rsidP="00286147">
      <w:pPr>
        <w:ind w:left="0" w:firstLine="709"/>
      </w:pPr>
      <w:r>
        <w:t>A presença do meio como constituinte de uma estrutura psíquica, cujo desequilíbrio levaria à inapetência cognitiva, também foi destacada por autores que se preocuparam em ponderar os efeitos das práticas discursivas egressas da psicanálise na composição dos procedimentos adotados pela Escola Nova.</w:t>
      </w:r>
    </w:p>
    <w:p w14:paraId="7AC120DA" w14:textId="4F09C17B" w:rsidR="00286147" w:rsidRDefault="00286147" w:rsidP="00286147">
      <w:pPr>
        <w:ind w:left="0" w:firstLine="709"/>
      </w:pPr>
      <w:r>
        <w:t>Tal foi o caminho adotado por Ronaldo Aurélio Gimenes Garcia em artigo dedicado a analisar as contribuições de Arthur Ramos e Anísio Teixeira na luta de ambos para “diminuir as diferenças sociais e desenvolver de fato uma prática democrática” (G</w:t>
      </w:r>
      <w:r w:rsidR="00BF36F3">
        <w:t>arcia</w:t>
      </w:r>
      <w:r>
        <w:t>, 2006, p. 66).</w:t>
      </w:r>
    </w:p>
    <w:p w14:paraId="5E163C30" w14:textId="77777777" w:rsidR="00286147" w:rsidRDefault="00286147" w:rsidP="00286147">
      <w:pPr>
        <w:ind w:left="0" w:firstLine="709"/>
      </w:pPr>
      <w:r>
        <w:t xml:space="preserve">Segundo Garcia (2006), Arthur Ramos teria sido peça-chave na defesa de uma escola democrática, pois teria se posicionado contra a normalização escolar. Ramos, na leitura de Garcia, distinguira os termos </w:t>
      </w:r>
      <w:r>
        <w:rPr>
          <w:i/>
        </w:rPr>
        <w:t xml:space="preserve">anormal </w:t>
      </w:r>
      <w:r>
        <w:t xml:space="preserve">de </w:t>
      </w:r>
      <w:r>
        <w:rPr>
          <w:i/>
        </w:rPr>
        <w:t>problemático</w:t>
      </w:r>
      <w:r>
        <w:t xml:space="preserve"> e, por conseguinte, diferira aqueles que possuíam dificuldades escolares em dois grupos: de um lado, estariam os anormais, cuja inadequação escolar proviria de fatores constitucionais e biológicos; de outro, localizar-se-iam os problemáticos – em completa maioria – cuja inadequação originar-se-ia de fatores sociais, basicamente de matriz familiar.</w:t>
      </w:r>
    </w:p>
    <w:p w14:paraId="160FD3FC" w14:textId="2EF2B23C" w:rsidR="00286147" w:rsidRDefault="00286147" w:rsidP="00286147">
      <w:pPr>
        <w:ind w:left="0" w:firstLine="709"/>
      </w:pPr>
      <w:r>
        <w:t xml:space="preserve">Para fundamentar seu entusiasmo pelas ideias de Ramos, Garcia (2006, p. 73) valoriza o fato de o </w:t>
      </w:r>
      <w:proofErr w:type="spellStart"/>
      <w:r>
        <w:t>escolanovista</w:t>
      </w:r>
      <w:proofErr w:type="spellEnd"/>
      <w:r>
        <w:t xml:space="preserve"> estabelecer que “o</w:t>
      </w:r>
      <w:r w:rsidRPr="006C5C50">
        <w:t xml:space="preserve"> termo problema está muito mais relacionado com as condições sociais que o menor vive e que dificulta a sua capacidade de atenção e aprendizagem</w:t>
      </w:r>
      <w:r>
        <w:t>”. Ou seja, mesmo minimizando os fatores biológicos diante dos fatores psicossociais, Ramos, tal como o lê Garcia, teria possibilitado compreender a aprendizagem em razão da atenção, e esta como capacidade natural estimulada pelo contato da interioridade do indivíduo com suas experiências. Portanto, o meio seria, nessa interpretação, elevado à condição de fator constitucional do aprendizado. Ademais, Garcia chega a atribuir a Arthur Ramos a ideia de “</w:t>
      </w:r>
      <w:r w:rsidRPr="006C5C50">
        <w:t>que o meio é o elemento decisivo, que molda o comportamento das pessoas, portanto elas não podem ser responsáveis diretas, no caso os estudantes desajustados, pelas suas atitudes pouco aceitávei</w:t>
      </w:r>
      <w:r>
        <w:t>s” (G</w:t>
      </w:r>
      <w:r w:rsidR="00BF36F3">
        <w:t>arcia</w:t>
      </w:r>
      <w:r>
        <w:t>, 2006, p. 73)</w:t>
      </w:r>
    </w:p>
    <w:p w14:paraId="78441627" w14:textId="77777777" w:rsidR="00286147" w:rsidRDefault="00286147" w:rsidP="00286147">
      <w:pPr>
        <w:ind w:left="0" w:firstLine="709"/>
      </w:pPr>
      <w:r>
        <w:t xml:space="preserve">Adotando prisma semelhante, Fabíola </w:t>
      </w:r>
      <w:proofErr w:type="spellStart"/>
      <w:r>
        <w:t>Sircilli</w:t>
      </w:r>
      <w:proofErr w:type="spellEnd"/>
      <w:r>
        <w:t xml:space="preserve"> (2005) dedicou-se a historiar a participação da dupla formada por Anísio Teixeira e Arthur Ramos no embate contra a </w:t>
      </w:r>
      <w:r>
        <w:lastRenderedPageBreak/>
        <w:t xml:space="preserve">supremacia dos testes psicológicos usados na detecção dos problemas de aprendizagem. Segundo a autora, ditas testagens teriam sucumbido à padronização, e sua hegemonia teria sido marcada pela atuação de Lourenço Filho no movimento </w:t>
      </w:r>
      <w:proofErr w:type="spellStart"/>
      <w:r>
        <w:t>escolanovista</w:t>
      </w:r>
      <w:proofErr w:type="spellEnd"/>
      <w:r>
        <w:t>.</w:t>
      </w:r>
    </w:p>
    <w:p w14:paraId="57131F24" w14:textId="451E3183" w:rsidR="00286147" w:rsidRDefault="00286147" w:rsidP="00286147">
      <w:pPr>
        <w:ind w:left="0" w:firstLine="709"/>
      </w:pPr>
      <w:r>
        <w:t xml:space="preserve">Em sua análise, </w:t>
      </w:r>
      <w:proofErr w:type="spellStart"/>
      <w:r>
        <w:t>Sircilli</w:t>
      </w:r>
      <w:proofErr w:type="spellEnd"/>
      <w:r>
        <w:t xml:space="preserve"> contrapõe-se aos princípios educacionais difundidos por Lourenço Filho em razão de eles terem incorporado um suposto </w:t>
      </w:r>
      <w:r>
        <w:rPr>
          <w:i/>
        </w:rPr>
        <w:t>método taylorista</w:t>
      </w:r>
      <w:r>
        <w:t xml:space="preserve"> destinado a “controlar o trabalho dos professores” (</w:t>
      </w:r>
      <w:proofErr w:type="spellStart"/>
      <w:r>
        <w:t>S</w:t>
      </w:r>
      <w:r w:rsidR="0089508A">
        <w:t>ircilli</w:t>
      </w:r>
      <w:proofErr w:type="spellEnd"/>
      <w:r>
        <w:t>, 2005, p. 188). Tal método justificaria o uso maciço dos testes psicológicos, pois, segundo a autora, este recurso prestava-se à racionalização do trabalho docente, procedendo à “subordinação do indivíduo às ordenações sociais” (</w:t>
      </w:r>
      <w:proofErr w:type="spellStart"/>
      <w:r>
        <w:t>S</w:t>
      </w:r>
      <w:r w:rsidR="0089508A">
        <w:t>ircilli</w:t>
      </w:r>
      <w:proofErr w:type="spellEnd"/>
      <w:r>
        <w:t xml:space="preserve">, 2005, p.188). Destarte, na leitura de </w:t>
      </w:r>
      <w:proofErr w:type="spellStart"/>
      <w:r>
        <w:t>Sircilli</w:t>
      </w:r>
      <w:proofErr w:type="spellEnd"/>
      <w:r>
        <w:t>, o meio para Lourenço Filho deveria impedir a prevalência do individualismo, estabelecendo, concomitantemente, tanto critérios padronizados de conduta quanto seres anormais, segundo esses critérios.</w:t>
      </w:r>
    </w:p>
    <w:p w14:paraId="139E7C4D" w14:textId="2AC81046" w:rsidR="00286147" w:rsidRDefault="00286147" w:rsidP="00286147">
      <w:pPr>
        <w:ind w:left="0" w:firstLine="709"/>
      </w:pPr>
      <w:r>
        <w:t xml:space="preserve">O recurso à psicanálise, na opinião de </w:t>
      </w:r>
      <w:proofErr w:type="spellStart"/>
      <w:r>
        <w:t>Sircilli</w:t>
      </w:r>
      <w:proofErr w:type="spellEnd"/>
      <w:r>
        <w:t>, teria permitido modificar o modo como os educadores avaliavam as relações entre o meio social e a composição dos problemas de aprendizado. Se, para ditos tayloristas, o meio era fator de homogeneização, para os higienistas, liderados por Arthur Ramos, o meio era o espaço de expressão das “particularidades e necessidades especiais” (</w:t>
      </w:r>
      <w:proofErr w:type="spellStart"/>
      <w:r>
        <w:t>S</w:t>
      </w:r>
      <w:r w:rsidR="0089508A">
        <w:t>ircilli</w:t>
      </w:r>
      <w:proofErr w:type="spellEnd"/>
      <w:r>
        <w:t>, 2005, p. 189).  Conclui a autora que a grande contribuição da Higiene Mental para o encaminhamento dos alunos com dificuldades escolares foi que “Ramos considerava que essas crianças haviam sido ‘</w:t>
      </w:r>
      <w:proofErr w:type="spellStart"/>
      <w:r>
        <w:t>anormalizadas</w:t>
      </w:r>
      <w:proofErr w:type="spellEnd"/>
      <w:r>
        <w:t>’ por seu meio, a partir do ponto de vista do adulto, numa atitude inconscientemente sádica de pais e educadores” (</w:t>
      </w:r>
      <w:proofErr w:type="spellStart"/>
      <w:r>
        <w:t>S</w:t>
      </w:r>
      <w:r w:rsidR="0089508A">
        <w:t>ircilli</w:t>
      </w:r>
      <w:proofErr w:type="spellEnd"/>
      <w:r>
        <w:t>, 2005, p. 191).</w:t>
      </w:r>
    </w:p>
    <w:p w14:paraId="42134FBE" w14:textId="77777777" w:rsidR="00286147" w:rsidRDefault="00286147" w:rsidP="00286147">
      <w:pPr>
        <w:ind w:left="0" w:firstLine="709"/>
      </w:pPr>
      <w:r>
        <w:t xml:space="preserve">Portanto, na visão da autora, assim como na análise de Garcia (2006), um importante legado da Escola Nova poderia ser expresso pelo princípio segundo o qual para modificar o indivíduo dever-se-ia interferir no meio em que ele vive, uma vez que a anormalidade seria provocada por uma incorreta condução das experiências familiares desde a infância. </w:t>
      </w:r>
    </w:p>
    <w:p w14:paraId="79E70795" w14:textId="77777777" w:rsidR="00286147" w:rsidRDefault="00286147" w:rsidP="00286147">
      <w:pPr>
        <w:ind w:left="0" w:firstLine="709"/>
      </w:pPr>
      <w:r>
        <w:t xml:space="preserve">A influência da constelação familiar e social no processo de aprendizagem também foi assunto para o artigo de Francisco Moura e Talitha </w:t>
      </w:r>
      <w:proofErr w:type="spellStart"/>
      <w:r>
        <w:t>Elen</w:t>
      </w:r>
      <w:proofErr w:type="spellEnd"/>
      <w:r>
        <w:t xml:space="preserve"> Silva (</w:t>
      </w:r>
      <w:r w:rsidRPr="00D63B09">
        <w:t>2009)</w:t>
      </w:r>
      <w:r>
        <w:t xml:space="preserve">. Segundo os autores, a Escola Nova, ao deslocar o centro das preocupações educacionais do conteúdo a ser ensinado para a subjetividade do aluno, teria criado as condições para a introdução da psicanálise no interior das práticas escolares. </w:t>
      </w:r>
    </w:p>
    <w:p w14:paraId="2F1ADDFC" w14:textId="28408A3D" w:rsidR="00286147" w:rsidRDefault="00286147" w:rsidP="00286147">
      <w:pPr>
        <w:ind w:left="0" w:firstLine="709"/>
      </w:pPr>
      <w:r>
        <w:t xml:space="preserve">Tal centralidade do educando teria possibilitado que a escola se tornasse fundamental para a emergência de uma educação, de fato, clínica. Desse modo, considerando que “a instituição escola e, principalmente, o professor e os colegas de </w:t>
      </w:r>
      <w:r>
        <w:lastRenderedPageBreak/>
        <w:t>classe são personagens substitutos da ‘órbita familiar’ em que a criança passará a depositar resíduos de situações incompletas” (M</w:t>
      </w:r>
      <w:r w:rsidR="0089508A">
        <w:t xml:space="preserve">oura, &amp; </w:t>
      </w:r>
      <w:r>
        <w:t>S</w:t>
      </w:r>
      <w:r w:rsidR="0089508A">
        <w:t>ilva</w:t>
      </w:r>
      <w:r>
        <w:t>, 2009, p. 268), os autores situam aí o espaço no qual os educadores deveriam interferir para estabelecerem uma escola clínica em que se realizaria a integralidade do sujeito “implícito por detrás de cada indivíduo” (M</w:t>
      </w:r>
      <w:r w:rsidR="0089508A">
        <w:t>oura, &amp;</w:t>
      </w:r>
      <w:r>
        <w:t xml:space="preserve"> S</w:t>
      </w:r>
      <w:r w:rsidR="0089508A">
        <w:t>ilva</w:t>
      </w:r>
      <w:r>
        <w:t>, 2009, p. 267). O auge de tal processo seria atingido, segundo os autores, quando se conseguisse “despertar o desejo pelo saber do aprendiz” (M</w:t>
      </w:r>
      <w:r w:rsidR="0089508A">
        <w:t xml:space="preserve">oura, &amp; </w:t>
      </w:r>
      <w:r>
        <w:t>S</w:t>
      </w:r>
      <w:r w:rsidR="0089508A">
        <w:t>ilva</w:t>
      </w:r>
      <w:r>
        <w:t>, 2009, p. 269).</w:t>
      </w:r>
    </w:p>
    <w:p w14:paraId="34C2D3F4" w14:textId="39DB5BA0" w:rsidR="00286147" w:rsidRDefault="00286147" w:rsidP="00286147">
      <w:pPr>
        <w:ind w:left="0" w:firstLine="709"/>
      </w:pPr>
      <w:r>
        <w:t>Edna Silva (1998), também convicta do caráter clínico do ambiente escolar, estudou-o nos termos do papel desempenhado pela sexualidade na “construção racional e emocionalmente equilibrada e emancipadora do indivíduo” (</w:t>
      </w:r>
      <w:r w:rsidR="0089508A">
        <w:t xml:space="preserve">Silva, 1998, </w:t>
      </w:r>
      <w:r>
        <w:t>p. 131). Para tanto, a autora entabulou uma discussão na qual defende a aliança da medicina com a pedagogia com vistas a viabilizar a “formação do cidadão” (S</w:t>
      </w:r>
      <w:r w:rsidR="0089508A">
        <w:t>ilva</w:t>
      </w:r>
      <w:r>
        <w:t xml:space="preserve">, 1998, p. 129). Tal missão médico-pedagógica, segundo a autora, seria concretizada quanto ditos saberes amalgamados atuassem decididamente contra uma suposta tradição científica que, desde tempos pregressos, tratou os fatores biológicos como determinantes com relação à construção da subjetividade. </w:t>
      </w:r>
    </w:p>
    <w:p w14:paraId="057545C1" w14:textId="60EB2254" w:rsidR="00286147" w:rsidRDefault="0089508A" w:rsidP="0089508A">
      <w:pPr>
        <w:ind w:left="0" w:firstLine="709"/>
        <w:rPr>
          <w:sz w:val="22"/>
          <w:szCs w:val="22"/>
        </w:rPr>
      </w:pPr>
      <w:r>
        <w:t>Outro grupo de autores perspectivou</w:t>
      </w:r>
      <w:r w:rsidR="00286147">
        <w:t xml:space="preserve"> os enunciados produzidos no intercâmbio entre medicina e educação durante o movimento da Escola Nova como representações da realidade. Nessa outra abordagem, tais enunciados seriam forjados a partir de um grande projeto para a </w:t>
      </w:r>
      <w:r w:rsidR="00286147">
        <w:rPr>
          <w:i/>
        </w:rPr>
        <w:t>higienização</w:t>
      </w:r>
      <w:r w:rsidR="00286147">
        <w:t xml:space="preserve"> do povo brasileiro</w:t>
      </w:r>
      <w:r w:rsidR="004909F0">
        <w:t xml:space="preserve"> </w:t>
      </w:r>
      <w:r w:rsidR="00286147">
        <w:t>(R</w:t>
      </w:r>
      <w:r>
        <w:t>ocha</w:t>
      </w:r>
      <w:r w:rsidR="00286147">
        <w:t>, 2011)</w:t>
      </w:r>
      <w:r w:rsidR="004909F0">
        <w:t>.</w:t>
      </w:r>
    </w:p>
    <w:p w14:paraId="7F01BEAC" w14:textId="1CE89409" w:rsidR="00286147" w:rsidRPr="009B55C7" w:rsidRDefault="00286147" w:rsidP="00286147">
      <w:pPr>
        <w:ind w:left="0" w:firstLine="709"/>
      </w:pPr>
      <w:r w:rsidRPr="009B55C7">
        <w:t>Conforme as ponderações da autora, a população pobre foi o principal alvo d</w:t>
      </w:r>
      <w:r>
        <w:t>e tai</w:t>
      </w:r>
      <w:r w:rsidRPr="009B55C7">
        <w:t>s imposições</w:t>
      </w:r>
      <w:r>
        <w:t>, uma vez que seu</w:t>
      </w:r>
      <w:r w:rsidRPr="009B55C7">
        <w:t>s hábitos mantê-la-ia</w:t>
      </w:r>
      <w:r w:rsidR="00F032BB">
        <w:t>m</w:t>
      </w:r>
      <w:r w:rsidRPr="009B55C7">
        <w:t xml:space="preserve"> </w:t>
      </w:r>
      <w:r>
        <w:t>em</w:t>
      </w:r>
      <w:r w:rsidRPr="009B55C7">
        <w:t xml:space="preserve"> degeneração</w:t>
      </w:r>
      <w:r>
        <w:t>. L</w:t>
      </w:r>
      <w:r w:rsidRPr="009B55C7">
        <w:t xml:space="preserve">ogo, </w:t>
      </w:r>
      <w:r>
        <w:t>o discurso higiênico analisado</w:t>
      </w:r>
      <w:r w:rsidRPr="009B55C7">
        <w:t xml:space="preserve"> pela autora previa que a promoção da saúde </w:t>
      </w:r>
      <w:r>
        <w:t xml:space="preserve">era utilizada como um </w:t>
      </w:r>
      <w:r w:rsidRPr="009B55C7">
        <w:t>c</w:t>
      </w:r>
      <w:r>
        <w:t>ondão para</w:t>
      </w:r>
      <w:r w:rsidRPr="009B55C7">
        <w:t xml:space="preserve"> salvar toda a nação por meio da educação e </w:t>
      </w:r>
      <w:r>
        <w:t xml:space="preserve">da </w:t>
      </w:r>
      <w:r w:rsidRPr="009B55C7">
        <w:t xml:space="preserve">inculcação de hábitos nos mais pobres. </w:t>
      </w:r>
    </w:p>
    <w:p w14:paraId="00FCCA38" w14:textId="3E67D032" w:rsidR="00286147" w:rsidRPr="009B55C7" w:rsidRDefault="00286147" w:rsidP="00286147">
      <w:pPr>
        <w:ind w:left="0" w:firstLine="709"/>
      </w:pPr>
      <w:r w:rsidRPr="009B55C7">
        <w:t xml:space="preserve">José Gonçalves </w:t>
      </w:r>
      <w:proofErr w:type="spellStart"/>
      <w:r w:rsidRPr="009B55C7">
        <w:t>Gondra</w:t>
      </w:r>
      <w:proofErr w:type="spellEnd"/>
      <w:r w:rsidRPr="009B55C7">
        <w:t xml:space="preserve"> e </w:t>
      </w:r>
      <w:proofErr w:type="spellStart"/>
      <w:r w:rsidRPr="009B55C7">
        <w:t>Inara</w:t>
      </w:r>
      <w:proofErr w:type="spellEnd"/>
      <w:r w:rsidRPr="009B55C7">
        <w:t xml:space="preserve"> Garcia (2004) também analisaram a captura da infância pelo discurso médico-sanitarista em termos de imposição de hábitos </w:t>
      </w:r>
      <w:r>
        <w:t>a</w:t>
      </w:r>
      <w:r w:rsidRPr="009B55C7">
        <w:t xml:space="preserve">os pobres. Recolhendo teses aprovadas pela Faculdade de Medicina do Rio de Janeiro desde meados do século XIX, os autores demonstraram como as representações das crianças pobres se </w:t>
      </w:r>
      <w:r>
        <w:t>estabeleceram</w:t>
      </w:r>
      <w:r w:rsidRPr="009B55C7">
        <w:t xml:space="preserve"> em associação </w:t>
      </w:r>
      <w:r>
        <w:t>à</w:t>
      </w:r>
      <w:r w:rsidRPr="009B55C7">
        <w:t>s noções de abandono, erro, imoralidade, fra</w:t>
      </w:r>
      <w:r>
        <w:t>queza etc. O</w:t>
      </w:r>
      <w:r w:rsidRPr="009B55C7">
        <w:t xml:space="preserve">u seja, </w:t>
      </w:r>
      <w:r>
        <w:t xml:space="preserve">na direção </w:t>
      </w:r>
      <w:r w:rsidRPr="009B55C7">
        <w:t>opost</w:t>
      </w:r>
      <w:r>
        <w:t>a à</w:t>
      </w:r>
      <w:r w:rsidRPr="009B55C7">
        <w:t xml:space="preserve"> do país que os futuros médicos desejavam formular.</w:t>
      </w:r>
    </w:p>
    <w:p w14:paraId="7CE67206" w14:textId="4A6F5957" w:rsidR="00286147" w:rsidRDefault="00286147" w:rsidP="00286147">
      <w:pPr>
        <w:ind w:left="0" w:firstLine="709"/>
      </w:pPr>
      <w:r w:rsidRPr="009B55C7">
        <w:t xml:space="preserve">Na mesma </w:t>
      </w:r>
      <w:r>
        <w:t>direção</w:t>
      </w:r>
      <w:r w:rsidRPr="009B55C7">
        <w:t xml:space="preserve">, </w:t>
      </w:r>
      <w:r>
        <w:rPr>
          <w:rFonts w:eastAsia="Calibri"/>
        </w:rPr>
        <w:t>Heloisa Helena Pimenta</w:t>
      </w:r>
      <w:r w:rsidRPr="009B55C7">
        <w:t xml:space="preserve"> Rocha e </w:t>
      </w:r>
      <w:r>
        <w:t xml:space="preserve">José Gonçalves </w:t>
      </w:r>
      <w:proofErr w:type="spellStart"/>
      <w:r w:rsidRPr="009B55C7">
        <w:t>Gondra</w:t>
      </w:r>
      <w:proofErr w:type="spellEnd"/>
      <w:r w:rsidRPr="009B55C7">
        <w:t xml:space="preserve"> (2002) </w:t>
      </w:r>
      <w:r>
        <w:t xml:space="preserve">publicaram </w:t>
      </w:r>
      <w:r w:rsidRPr="009B55C7">
        <w:t xml:space="preserve">um artigo </w:t>
      </w:r>
      <w:r>
        <w:t xml:space="preserve">em que testam a </w:t>
      </w:r>
      <w:r w:rsidRPr="009B55C7">
        <w:t xml:space="preserve">hipótese de </w:t>
      </w:r>
      <w:r>
        <w:t>que</w:t>
      </w:r>
      <w:r w:rsidRPr="009B55C7">
        <w:t xml:space="preserve"> a investida do discurso médico sobre o corpo do alunado pós-século XI</w:t>
      </w:r>
      <w:r>
        <w:t xml:space="preserve">X deveria ser lastreada pela ideia de que </w:t>
      </w:r>
      <w:r>
        <w:lastRenderedPageBreak/>
        <w:t>tal mirada contemplaria</w:t>
      </w:r>
      <w:r w:rsidRPr="009B55C7">
        <w:t xml:space="preserve"> “representações constituídas acerca do corpo físico dos alunos” (</w:t>
      </w:r>
      <w:r w:rsidR="00F032BB">
        <w:t xml:space="preserve">Rocha, &amp; </w:t>
      </w:r>
      <w:proofErr w:type="spellStart"/>
      <w:r w:rsidR="00F032BB">
        <w:t>Gondra</w:t>
      </w:r>
      <w:proofErr w:type="spellEnd"/>
      <w:r w:rsidR="00F032BB">
        <w:t xml:space="preserve">, 2002, </w:t>
      </w:r>
      <w:r>
        <w:t>p. 494</w:t>
      </w:r>
      <w:r w:rsidRPr="009B55C7">
        <w:t xml:space="preserve">). </w:t>
      </w:r>
      <w:r>
        <w:t>A partir da empiria analisada, os autores assinalam que os médicos brasileiros novecentistas, ao se imiscuírem na seara educacional, teriam projetado um roteiro previamente estabelecido, contendo uma missão regeneradora instituída por ditos profissionais. De modo complementar, apontam para um suposto mecanismo de vigilância presente em manuais de higiene escolar produzidos na década de 1920. Em síntese, a dupla de autores formula que o saber médico, quando dirigido à escola, estaria orientado para “manter e expandir sua legitimidade para cuidar dos indivíduos e da sociedade” (R</w:t>
      </w:r>
      <w:r w:rsidR="00F032BB">
        <w:t>ocha, &amp;</w:t>
      </w:r>
      <w:r>
        <w:t xml:space="preserve"> </w:t>
      </w:r>
      <w:proofErr w:type="spellStart"/>
      <w:r>
        <w:t>G</w:t>
      </w:r>
      <w:r w:rsidR="00F032BB">
        <w:t>ondra</w:t>
      </w:r>
      <w:proofErr w:type="spellEnd"/>
      <w:r>
        <w:t>, 2002, p. 510</w:t>
      </w:r>
      <w:r w:rsidRPr="009B55C7">
        <w:t>)</w:t>
      </w:r>
      <w:r>
        <w:t>.</w:t>
      </w:r>
    </w:p>
    <w:p w14:paraId="2FB14C6A" w14:textId="2A7B3890" w:rsidR="00286147" w:rsidRDefault="00286147" w:rsidP="00286147">
      <w:pPr>
        <w:ind w:left="0" w:firstLine="709"/>
      </w:pPr>
      <w:r>
        <w:t xml:space="preserve">De modo semelhante à quase totalidade dos acadêmicos compilados, </w:t>
      </w:r>
      <w:proofErr w:type="spellStart"/>
      <w:r>
        <w:t>Gondra</w:t>
      </w:r>
      <w:proofErr w:type="spellEnd"/>
      <w:r>
        <w:t xml:space="preserve"> e Rocha também fixam suas perspectivas na exterioridade dos discursos que analisam. Nelas, os corpos dos alunos seriam meros depositários dos enunciados médicos, os quais se valeriam da corporeidade estudantil como espaço para expressão das representações produzidas em </w:t>
      </w:r>
      <w:r w:rsidR="00F032BB">
        <w:t>um ambiente elitista e corporativo</w:t>
      </w:r>
      <w:r>
        <w:t xml:space="preserve">. Portanto, desconsideram positividades supostamente expressas pelo vínculo ideal entre infância e futuro, educação e cuidado, medicina e redenção social etc. </w:t>
      </w:r>
    </w:p>
    <w:p w14:paraId="0DCFFC67" w14:textId="37F43CF4" w:rsidR="00286147" w:rsidRDefault="00286147" w:rsidP="00286147">
      <w:pPr>
        <w:ind w:left="0" w:firstLine="709"/>
      </w:pPr>
      <w:r>
        <w:t>A</w:t>
      </w:r>
      <w:r w:rsidR="009A109B">
        <w:t>s</w:t>
      </w:r>
      <w:r>
        <w:t xml:space="preserve"> referida</w:t>
      </w:r>
      <w:r w:rsidR="009A109B">
        <w:t>s</w:t>
      </w:r>
      <w:r>
        <w:t xml:space="preserve"> análise</w:t>
      </w:r>
      <w:r w:rsidR="009A109B">
        <w:t>s</w:t>
      </w:r>
      <w:r>
        <w:t xml:space="preserve"> parece</w:t>
      </w:r>
      <w:r w:rsidR="009A109B">
        <w:t>m</w:t>
      </w:r>
      <w:r>
        <w:t xml:space="preserve"> reduzir </w:t>
      </w:r>
      <w:r w:rsidR="00AA5CC7">
        <w:t xml:space="preserve">sobremaneira </w:t>
      </w:r>
      <w:r>
        <w:t>a reflexão à polaridade poder/resistência</w:t>
      </w:r>
      <w:r w:rsidR="004909F0">
        <w:t>, na qual o polo do poder produziria discursos que se sobrepu</w:t>
      </w:r>
      <w:r w:rsidR="00AA5CC7">
        <w:t xml:space="preserve">seram </w:t>
      </w:r>
      <w:r w:rsidR="004909F0">
        <w:t xml:space="preserve">à realidade efetivamente </w:t>
      </w:r>
      <w:r w:rsidR="009A109B">
        <w:t>vivida pel</w:t>
      </w:r>
      <w:r w:rsidR="004909F0">
        <w:t xml:space="preserve">os </w:t>
      </w:r>
      <w:r w:rsidR="004909F0">
        <w:rPr>
          <w:i/>
        </w:rPr>
        <w:t>populares</w:t>
      </w:r>
      <w:r>
        <w:t>. No caso do cientificismo estreito atribuído ao movimento pela Escola Nova, tal abordagem, conforme supomos, restringiria a reflexão à denúncia dos enganos e inverdades produzidos pelos poderosos contra os oprimidos.</w:t>
      </w:r>
    </w:p>
    <w:p w14:paraId="7F12B449" w14:textId="6D25D8C0" w:rsidR="00286147" w:rsidRDefault="00286147" w:rsidP="00286147">
      <w:pPr>
        <w:ind w:left="0" w:firstLine="709"/>
      </w:pPr>
      <w:r>
        <w:t>De nossa parte, sugerimos que o escolanovismo, além de atender a evidentes interesses de classe, realizaria uma ação ainda mais penetrante, capaz de constituir um modo específico de dirigir-se ao educando, evocando um trato profundamente moderno e afeito tanto a discursos revolucionários quanto àqueles conservadores. Constitui-se nesse discurso a crença segundo a qual a educabilidade seria constitutiva do próprio ser humano, uma vez que este completar-se-ia à medida que aprendesse. Ademais, tal itinerário para a formulação de um corpo humano – ao mesmo tempo incompleto e em desenvolvimento – é o mesmo percorrido pelo saber médico quando este assume a tarefa de proteger a sociedade dos riscos inerentes à saúde dos indivíduos. Ou seja, a uma educação higiênica corresponde uma medicina ao mesmo tempo previdente e socia</w:t>
      </w:r>
      <w:r w:rsidR="000C0CD2">
        <w:t>l</w:t>
      </w:r>
      <w:r>
        <w:t>.</w:t>
      </w:r>
    </w:p>
    <w:p w14:paraId="0B9B4F8E" w14:textId="77777777" w:rsidR="00286147" w:rsidRPr="009B55C7" w:rsidRDefault="00286147" w:rsidP="00286147">
      <w:pPr>
        <w:ind w:left="0" w:firstLine="709"/>
      </w:pPr>
      <w:r>
        <w:t xml:space="preserve">Quando a pedagogia passa a operar com uma noção de natureza humana paralela à do saber médico, segundo aventamos, produzem-se muito mais do que distorções; ela </w:t>
      </w:r>
      <w:r>
        <w:lastRenderedPageBreak/>
        <w:t xml:space="preserve">se impõe aos educandos como gabarito de inteligibilidade de sua própria intimidade. No rastro de tal noção, instigam-se os alunos a localizar seus interesses, seus desejos e sua responsabilidade perante a humanidade na própria fisiologia. </w:t>
      </w:r>
    </w:p>
    <w:p w14:paraId="6047B7F3" w14:textId="77777777" w:rsidR="00286147" w:rsidRPr="009B55C7" w:rsidRDefault="00286147" w:rsidP="00286147">
      <w:pPr>
        <w:ind w:left="0" w:firstLine="709"/>
      </w:pPr>
      <w:r w:rsidRPr="009B55C7">
        <w:t>Na quase totalidade dos 56 artigos compilados, as ações médico-pedagógicas dirigidas ao corpo do escolar foram lidas sob a ótica d</w:t>
      </w:r>
      <w:r>
        <w:t>o desvio, da manipulação, da captura ou mesmo da imposição</w:t>
      </w:r>
      <w:r w:rsidRPr="009B55C7">
        <w:t>. D</w:t>
      </w:r>
      <w:r>
        <w:t>e</w:t>
      </w:r>
      <w:r w:rsidRPr="009B55C7">
        <w:t xml:space="preserve"> modo</w:t>
      </w:r>
      <w:r>
        <w:t xml:space="preserve"> semelhante</w:t>
      </w:r>
      <w:r w:rsidRPr="009B55C7">
        <w:t xml:space="preserve"> </w:t>
      </w:r>
      <w:r>
        <w:t>como operam</w:t>
      </w:r>
      <w:r w:rsidRPr="009B55C7">
        <w:t xml:space="preserve"> os agentes </w:t>
      </w:r>
      <w:r>
        <w:t>d</w:t>
      </w:r>
      <w:r w:rsidRPr="009B55C7">
        <w:t xml:space="preserve">a historiografia dedicada </w:t>
      </w:r>
      <w:r>
        <w:t xml:space="preserve">ao escolanovismo, </w:t>
      </w:r>
      <w:r w:rsidRPr="009B55C7">
        <w:t xml:space="preserve">também as análises </w:t>
      </w:r>
      <w:r>
        <w:t>tecidas</w:t>
      </w:r>
      <w:r w:rsidRPr="009B55C7">
        <w:t xml:space="preserve"> </w:t>
      </w:r>
      <w:r>
        <w:t>nos</w:t>
      </w:r>
      <w:r w:rsidRPr="009B55C7">
        <w:t xml:space="preserve"> periódicos contemplam o binarismo realidade</w:t>
      </w:r>
      <w:r>
        <w:t>/</w:t>
      </w:r>
      <w:r w:rsidRPr="009B55C7">
        <w:t>representação quando abordam a subjetividade produzida no embate dos discursos científicos com as individualidades. A</w:t>
      </w:r>
      <w:r>
        <w:t>inda, mantêm</w:t>
      </w:r>
      <w:r w:rsidRPr="009B55C7">
        <w:t xml:space="preserve"> algumas essencialidades cuja operação redundaria na crença de um sujeito desde sempre presente. Dita concepção de subjetiv</w:t>
      </w:r>
      <w:r>
        <w:t xml:space="preserve">idade </w:t>
      </w:r>
      <w:r w:rsidRPr="009B55C7">
        <w:t>considera que a vida social dos educandos os dirigiria à conquista de uma individualidade específica</w:t>
      </w:r>
      <w:r>
        <w:t>,</w:t>
      </w:r>
      <w:r w:rsidRPr="009B55C7">
        <w:t xml:space="preserve"> cuja forja resultaria no dinâmico amálgama do psiquismo com o meio. </w:t>
      </w:r>
    </w:p>
    <w:p w14:paraId="3A68DC6A" w14:textId="77777777" w:rsidR="00286147" w:rsidRDefault="00286147" w:rsidP="00286147">
      <w:pPr>
        <w:ind w:left="0" w:firstLine="709"/>
      </w:pPr>
      <w:r>
        <w:t>Insistimos</w:t>
      </w:r>
      <w:r w:rsidRPr="009B55C7">
        <w:t xml:space="preserve"> que, n</w:t>
      </w:r>
      <w:r>
        <w:t>as análises contemporâneas</w:t>
      </w:r>
      <w:r w:rsidRPr="009B55C7">
        <w:t xml:space="preserve">, o psiquismo é descrito </w:t>
      </w:r>
      <w:r>
        <w:t>a partir</w:t>
      </w:r>
      <w:r w:rsidRPr="009B55C7">
        <w:t xml:space="preserve"> </w:t>
      </w:r>
      <w:r>
        <w:t>de</w:t>
      </w:r>
      <w:r w:rsidRPr="009B55C7">
        <w:t xml:space="preserve"> referenciais </w:t>
      </w:r>
      <w:r>
        <w:t>análogos àqueles empregados</w:t>
      </w:r>
      <w:r w:rsidRPr="009B55C7">
        <w:t xml:space="preserve"> pelos promotores da Escola Nova </w:t>
      </w:r>
      <w:r>
        <w:t>ao</w:t>
      </w:r>
      <w:r w:rsidRPr="009B55C7">
        <w:t xml:space="preserve"> estabelecer</w:t>
      </w:r>
      <w:r>
        <w:t>em</w:t>
      </w:r>
      <w:r w:rsidRPr="009B55C7">
        <w:t xml:space="preserve"> suas teorizações acerca do aprendizado. Em ambos </w:t>
      </w:r>
      <w:r>
        <w:t xml:space="preserve">os </w:t>
      </w:r>
      <w:r w:rsidRPr="009B55C7">
        <w:t xml:space="preserve">casos, a psique dos infantes </w:t>
      </w:r>
      <w:r>
        <w:t>desponta</w:t>
      </w:r>
      <w:r w:rsidRPr="009B55C7">
        <w:t xml:space="preserve"> como um conjunto de estruturas cujo bom funcionamento depende da correta </w:t>
      </w:r>
      <w:r>
        <w:t>operacionalidade</w:t>
      </w:r>
      <w:r w:rsidRPr="009B55C7">
        <w:t xml:space="preserve"> de seus elementos. </w:t>
      </w:r>
      <w:r>
        <w:t>Ademais</w:t>
      </w:r>
      <w:r w:rsidRPr="009B55C7">
        <w:t>, a noção de desenvolvimento</w:t>
      </w:r>
      <w:r>
        <w:t xml:space="preserve"> corrente,</w:t>
      </w:r>
      <w:r w:rsidRPr="009B55C7">
        <w:t xml:space="preserve"> assim como ontem, nunca deixou de povoar as alocuções dirigidas à cognição</w:t>
      </w:r>
      <w:r>
        <w:t xml:space="preserve">, donde a </w:t>
      </w:r>
      <w:r w:rsidRPr="009B55C7">
        <w:t xml:space="preserve">decomposição do aprendizado em processos mentais </w:t>
      </w:r>
      <w:r>
        <w:t xml:space="preserve">apresentar-se como um </w:t>
      </w:r>
      <w:r w:rsidRPr="009B55C7">
        <w:t>constru</w:t>
      </w:r>
      <w:r>
        <w:t>c</w:t>
      </w:r>
      <w:r w:rsidRPr="009B55C7">
        <w:t xml:space="preserve">to mantido ao longo do tempo histórico. </w:t>
      </w:r>
    </w:p>
    <w:p w14:paraId="63DCA101" w14:textId="6B98F073" w:rsidR="00286147" w:rsidRDefault="00286147" w:rsidP="00286147">
      <w:pPr>
        <w:ind w:left="0" w:firstLine="709"/>
      </w:pPr>
      <w:r>
        <w:t>Nas reflexões contemporâneas, observamos grande homogeneidade na maneira como se estabelecem os olhares para os corpos dos estudantes. Em raros momentos, nega-se a necessidade de se produzirem conhecimentos suficientemente científicos cuja aplicação reconciliaria a educação com sua responsabilidade quanto ao desenvolvimento sadio do indivíduo e, concomitantemente, ao aperfeiçoamento do modo de vida democrático. No que tange à saúde do indivíduo, poucos autores deixam de considerar o equilíbrio psíquico.</w:t>
      </w:r>
      <w:r w:rsidR="006C404E">
        <w:t xml:space="preserve"> </w:t>
      </w:r>
      <w:r w:rsidR="00B716B4">
        <w:t>Quando versam</w:t>
      </w:r>
      <w:r>
        <w:t xml:space="preserve"> sobre </w:t>
      </w:r>
      <w:r w:rsidR="00AA5CC7">
        <w:t xml:space="preserve">a </w:t>
      </w:r>
      <w:r>
        <w:t xml:space="preserve">sociabilidade, os pesquisadores </w:t>
      </w:r>
      <w:r w:rsidR="00BE4E87">
        <w:t>exaltam</w:t>
      </w:r>
      <w:r>
        <w:t xml:space="preserve"> a vivência democrática, assim como, ao discorrerem sobre processos mentais, reiteram o respeito às diferentes potencialidades individuais.</w:t>
      </w:r>
    </w:p>
    <w:p w14:paraId="22197CAE" w14:textId="480320E1" w:rsidR="00286147" w:rsidRDefault="00286147" w:rsidP="00286147">
      <w:pPr>
        <w:ind w:left="0" w:firstLine="709"/>
      </w:pPr>
      <w:r>
        <w:t xml:space="preserve">Portanto, seja criticando elementos da pedagogia </w:t>
      </w:r>
      <w:proofErr w:type="spellStart"/>
      <w:r>
        <w:t>escolanovista</w:t>
      </w:r>
      <w:proofErr w:type="spellEnd"/>
      <w:r>
        <w:t xml:space="preserve">, seja denunciando a supremacia do poder médico, o discurso educacional contemporâneo parece tratar a relação saber-poder própria das alocuções </w:t>
      </w:r>
      <w:proofErr w:type="spellStart"/>
      <w:r>
        <w:t>biopsicológicas</w:t>
      </w:r>
      <w:proofErr w:type="spellEnd"/>
      <w:r>
        <w:t xml:space="preserve"> dirigidas à escola em termos de uma sobredeterminação dos poderes médicos e psicológicos em relação ao ideário </w:t>
      </w:r>
      <w:r>
        <w:lastRenderedPageBreak/>
        <w:t xml:space="preserve">pedagógico. Nesse caso, os educandos tornam-se inexoravelmente repositórios de conceituações que </w:t>
      </w:r>
      <w:r w:rsidR="00BE4E87">
        <w:t xml:space="preserve">finda por </w:t>
      </w:r>
      <w:proofErr w:type="spellStart"/>
      <w:r>
        <w:t>vitimiz</w:t>
      </w:r>
      <w:r w:rsidR="00BE4E87">
        <w:t>á-los</w:t>
      </w:r>
      <w:proofErr w:type="spellEnd"/>
      <w:r>
        <w:t>.</w:t>
      </w:r>
    </w:p>
    <w:p w14:paraId="46D0E678" w14:textId="77777777" w:rsidR="00AA02D7" w:rsidRDefault="00AA02D7" w:rsidP="00286147">
      <w:pPr>
        <w:ind w:left="0" w:firstLine="709"/>
      </w:pPr>
    </w:p>
    <w:p w14:paraId="57265977" w14:textId="7A05147B" w:rsidR="000C0CD2" w:rsidRPr="00B716B4" w:rsidRDefault="00BE4E87" w:rsidP="00B716B4">
      <w:pPr>
        <w:ind w:left="0" w:firstLine="0"/>
        <w:rPr>
          <w:b/>
        </w:rPr>
      </w:pPr>
      <w:r>
        <w:rPr>
          <w:b/>
        </w:rPr>
        <w:t>Os processos de s</w:t>
      </w:r>
      <w:r w:rsidR="00AA02D7">
        <w:rPr>
          <w:b/>
        </w:rPr>
        <w:t>ubjetivação modern</w:t>
      </w:r>
      <w:r>
        <w:rPr>
          <w:b/>
        </w:rPr>
        <w:t>os</w:t>
      </w:r>
    </w:p>
    <w:p w14:paraId="75431C32" w14:textId="58D471F4" w:rsidR="000C0CD2" w:rsidRDefault="000C0CD2" w:rsidP="000C0CD2">
      <w:pPr>
        <w:ind w:left="0" w:firstLine="567"/>
      </w:pPr>
      <w:r>
        <w:t xml:space="preserve">Na cultura ocidental, desde, ao menos, o século XVII, a profusão de conceituações dedicadas a conhecer cientificamente o </w:t>
      </w:r>
      <w:r w:rsidR="00716D5F">
        <w:t xml:space="preserve">ser </w:t>
      </w:r>
      <w:r>
        <w:t xml:space="preserve">humano bem pode ser ordenada pela identificação subjetiva de cada qual a </w:t>
      </w:r>
      <w:r w:rsidR="00716D5F">
        <w:t xml:space="preserve">tal </w:t>
      </w:r>
      <w:r>
        <w:t>formação discursiva. Do mar de possibilidades que a experiência moderna expressa, a preocupação com a subjetividade parece ter sido a opção adotada desde que Kant atribuiu ao homem um papel duplo: produtor de conhecimento e, no mesmo golpe, criador de si mesmo no processo de conhecer (F</w:t>
      </w:r>
      <w:r w:rsidR="00B716B4">
        <w:t>oucault</w:t>
      </w:r>
      <w:r>
        <w:t>, 2011).</w:t>
      </w:r>
    </w:p>
    <w:p w14:paraId="2A9D8E92" w14:textId="5FFF90B0" w:rsidR="000C0CD2" w:rsidRDefault="000C0CD2" w:rsidP="000C0CD2">
      <w:pPr>
        <w:ind w:left="0" w:firstLine="709"/>
      </w:pPr>
      <w:r>
        <w:t xml:space="preserve">Entretanto, as pesquisas de Foucault que sucedem </w:t>
      </w:r>
      <w:r w:rsidR="00716D5F">
        <w:t>a</w:t>
      </w:r>
      <w:r>
        <w:t xml:space="preserve">s investigações sobre a antropologia de Kant levam-nos a sugerir que </w:t>
      </w:r>
      <w:r w:rsidR="00716D5F">
        <w:t xml:space="preserve">o </w:t>
      </w:r>
      <w:r>
        <w:t>homem kantiano, ao representar o mundo a partir de suas percepções, foi</w:t>
      </w:r>
      <w:r w:rsidR="00716D5F">
        <w:t xml:space="preserve">, </w:t>
      </w:r>
      <w:r>
        <w:t>pelo trabalho dos historiadores da ciência – particularmente aqueles dedicados a estudar a linguagem, a biolog</w:t>
      </w:r>
      <w:r w:rsidR="00B716B4">
        <w:t>ia e a economia após o século X</w:t>
      </w:r>
      <w:r>
        <w:t>I</w:t>
      </w:r>
      <w:r w:rsidR="00B716B4">
        <w:t>X</w:t>
      </w:r>
      <w:r>
        <w:t xml:space="preserve"> –</w:t>
      </w:r>
      <w:r w:rsidR="00716D5F">
        <w:t>, convertido</w:t>
      </w:r>
      <w:r>
        <w:t xml:space="preserve"> no roteiro pelo qual se poderia revelar um sujeito universal, cujo aparecimento expressaria o afã humano de localizar-se no interior da natureza. Desse modo, a Modernidade, conforme Foucault propunha, teria lastreado todas as suposições sobre elementos biológicos, ambientais e linguísticos em termos, ao mesmo tempo, de fatores para compreensão do humano e de condicionantes para sua vida, sempre considerando o homem como único ente capaz de visualizar a si mesmo enquanto conduz o jogo </w:t>
      </w:r>
      <w:r w:rsidR="00716D5F">
        <w:t>especular</w:t>
      </w:r>
      <w:r w:rsidR="00C42DCA">
        <w:t xml:space="preserve"> </w:t>
      </w:r>
      <w:r>
        <w:t>entre as palavras e as coisas</w:t>
      </w:r>
      <w:r w:rsidR="00B716B4">
        <w:t xml:space="preserve"> (Foucault, 1999)</w:t>
      </w:r>
      <w:r>
        <w:t xml:space="preserve">.  </w:t>
      </w:r>
    </w:p>
    <w:p w14:paraId="797339CC" w14:textId="6A5EA280" w:rsidR="000C0CD2" w:rsidRDefault="000C0CD2" w:rsidP="000C0CD2">
      <w:pPr>
        <w:ind w:left="0" w:firstLine="709"/>
      </w:pPr>
      <w:r>
        <w:t xml:space="preserve">Supomos que é a esse </w:t>
      </w:r>
      <w:r w:rsidR="00716D5F">
        <w:t xml:space="preserve">ideal de </w:t>
      </w:r>
      <w:r>
        <w:t xml:space="preserve">sujeito que se refere a amostra do pensamento educacional contemporâneo escrutinada neste </w:t>
      </w:r>
      <w:r w:rsidR="00716D5F">
        <w:t>artigo</w:t>
      </w:r>
      <w:r>
        <w:t>: um personagem que</w:t>
      </w:r>
      <w:r w:rsidR="00716D5F">
        <w:t>, afinal,</w:t>
      </w:r>
      <w:r>
        <w:t xml:space="preserve"> pouco produz de inusitado. No limite, tal mirada para os processos de subjetivação parece preocupar-se apenas com a resistência, cuja expressão visível seria </w:t>
      </w:r>
      <w:r w:rsidR="00BE4E87">
        <w:t xml:space="preserve">uma virtual </w:t>
      </w:r>
      <w:r>
        <w:t>resiliência</w:t>
      </w:r>
      <w:r w:rsidR="00BE4E87">
        <w:t xml:space="preserve"> dos indivíduos</w:t>
      </w:r>
      <w:r w:rsidR="00716D5F">
        <w:t xml:space="preserve"> frente a práticas tidas como pedagógica e politicamente anacrônicas</w:t>
      </w:r>
      <w:r>
        <w:t>.</w:t>
      </w:r>
    </w:p>
    <w:p w14:paraId="547D413E" w14:textId="690DC766" w:rsidR="000C0CD2" w:rsidRDefault="000C0CD2" w:rsidP="000C0CD2">
      <w:pPr>
        <w:ind w:left="0" w:firstLine="709"/>
      </w:pPr>
      <w:r>
        <w:t xml:space="preserve">Tal perspectiva mostra-se </w:t>
      </w:r>
      <w:r w:rsidR="00716D5F">
        <w:t xml:space="preserve">patente </w:t>
      </w:r>
      <w:r>
        <w:t xml:space="preserve">no modo como os periódicos acadêmicos se dirigem aos autores tidos por eles como clássicos </w:t>
      </w:r>
      <w:r w:rsidR="00BE4E87">
        <w:t>d</w:t>
      </w:r>
      <w:r>
        <w:t xml:space="preserve">o momento </w:t>
      </w:r>
      <w:proofErr w:type="spellStart"/>
      <w:r>
        <w:t>escolanovista</w:t>
      </w:r>
      <w:proofErr w:type="spellEnd"/>
      <w:r>
        <w:t xml:space="preserve">. </w:t>
      </w:r>
      <w:r w:rsidR="00716D5F">
        <w:t>Ali, e</w:t>
      </w:r>
      <w:r>
        <w:t xml:space="preserve">videnciou-se a produção de dois grandes grupos teóricos formados, de um lado, por Lourenço Filho e, de outro, por Anísio Teixeira, Arthur Ramos, Piaget e Dewey. Parece-nos que, ao primeiro grupo, foi atribuída a pecha de ter corrompido um límpido e auspicioso limiar da Escola Nova em razão de interesses políticos, sociais e corporativos das autoridades pedagógicas. Ao segundo grupo foi conferida a responsabilidade de </w:t>
      </w:r>
      <w:r>
        <w:lastRenderedPageBreak/>
        <w:t xml:space="preserve">perpetuar a luta pela ruptura com a educação tradicional, resgatando os tempos heroicos em que o escolanovismo contemplou a emergência de uma educação científica. Desse modo, os personagens do segundo grupo são apresentados como expressões de resistência, cujas teorizações evocavam o retorno à origem imaculada da educação moderna e democrática. </w:t>
      </w:r>
    </w:p>
    <w:p w14:paraId="643CC45C" w14:textId="50A77B15" w:rsidR="000C0CD2" w:rsidRDefault="000C0CD2" w:rsidP="000C0CD2">
      <w:pPr>
        <w:ind w:left="0" w:firstLine="709"/>
      </w:pPr>
      <w:r>
        <w:t xml:space="preserve">Evidenciou-se, nos </w:t>
      </w:r>
      <w:proofErr w:type="spellStart"/>
      <w:r>
        <w:t>suprarreferidos</w:t>
      </w:r>
      <w:proofErr w:type="spellEnd"/>
      <w:r>
        <w:t xml:space="preserve"> artigos, que a Escola Nova teria sido um momento inaugural na confecção de uma mirada racional e progressista em direção ao ato educativo. A confiança na competência dos psicólogos, psicanalistas, psiquiatras, sociólogos, filósofos, psicopedagogos etc. em definir as estruturas subjacentes à cognição esteve presente tanto nas obras abrigadas na </w:t>
      </w:r>
      <w:r>
        <w:rPr>
          <w:i/>
        </w:rPr>
        <w:t>Bibliotheca de Educação</w:t>
      </w:r>
      <w:r>
        <w:t xml:space="preserve"> quanto na amostra da coeva crítica ao escolanovismo.</w:t>
      </w:r>
    </w:p>
    <w:p w14:paraId="0A45D94A" w14:textId="77777777" w:rsidR="000C0CD2" w:rsidRDefault="000C0CD2" w:rsidP="000C0CD2">
      <w:pPr>
        <w:ind w:left="0" w:firstLine="709"/>
      </w:pPr>
      <w:r>
        <w:t xml:space="preserve">Em nossas reflexões, os </w:t>
      </w:r>
      <w:proofErr w:type="spellStart"/>
      <w:r>
        <w:t>escolanovistas</w:t>
      </w:r>
      <w:proofErr w:type="spellEnd"/>
      <w:r>
        <w:t xml:space="preserve"> ambicionaram controlar cientificamente as experiências educativas por meio da invenção de uma profusão de métodos oriundos de saberes disponíveis em sua época. Os atuais críticos do escolanovismo parecem concordar com essa análise. No entanto, tal visão localiza em Lourenço Filho aquele que teria sucumbido à ideologia burguesa e colocado todos os ganhos da modernidade pedagógica a serviço da opressão, da marginalização, da padronização, da </w:t>
      </w:r>
      <w:proofErr w:type="spellStart"/>
      <w:r>
        <w:t>docilização</w:t>
      </w:r>
      <w:proofErr w:type="spellEnd"/>
      <w:r>
        <w:t xml:space="preserve"> etc. Enfim, dito educador teria reorientado um movimento em princípio redentor em uma direção contrária à sua origem. Desse modo, referidos pensadores contemporâneos teriam atribuído aos supostos adversários de Lourenço Filho a condição de ícones da insubmissão, ou seja, aqueles nos ombros dos quais se apoiariam todas possibilidades de retomar o projeto primordial da moderna educação científica expresso pela condução segura de cada qual dos educandos à realização de si mesmos como sujeitos.   </w:t>
      </w:r>
    </w:p>
    <w:p w14:paraId="34AD9385" w14:textId="77777777" w:rsidR="000C0CD2" w:rsidRDefault="000C0CD2" w:rsidP="000C0CD2">
      <w:pPr>
        <w:ind w:left="0" w:firstLine="709"/>
      </w:pPr>
      <w:r>
        <w:t>Sugerimos que em tal percurso analítico reside a explicação para a demarcada monotonia argumentativa que aferimos nos artigos compilados, supondo que ela ocorre em razão de uma perpétua busca por um ser transcendente, cuja descrição garantiria a compreensão de toda a educabilidade humana. Dito ser, formado por uma estrutura psíquica e fisiológica reconhecível e descritível pela comunhão das diferentes especialidades que a ele se dirigem, permaneceria em potência no interior de cada qual dos humanos, bastando o correto encaminhamento de suas capacidades para que ele se realizasse em toda a sua magnitude.</w:t>
      </w:r>
    </w:p>
    <w:p w14:paraId="3602A725" w14:textId="5CDCBEA8" w:rsidR="00C42DCA" w:rsidRDefault="000C0CD2" w:rsidP="000C0CD2">
      <w:pPr>
        <w:ind w:left="0" w:firstLine="709"/>
      </w:pPr>
      <w:r>
        <w:t xml:space="preserve">Ocorre que tal ser, desde as teorizações kantianas, foi tido como inatingível; daí que todo esforço da ciência para delimitá-lo </w:t>
      </w:r>
      <w:r w:rsidR="009B4C20">
        <w:t xml:space="preserve">resultaria </w:t>
      </w:r>
      <w:r>
        <w:t xml:space="preserve">parcial. </w:t>
      </w:r>
      <w:r w:rsidR="00C42DCA">
        <w:t>Assim</w:t>
      </w:r>
      <w:r>
        <w:t xml:space="preserve">, à luz das conceituações </w:t>
      </w:r>
      <w:proofErr w:type="spellStart"/>
      <w:r>
        <w:t>escolanovistas</w:t>
      </w:r>
      <w:proofErr w:type="spellEnd"/>
      <w:r>
        <w:t xml:space="preserve"> presentes </w:t>
      </w:r>
      <w:r w:rsidR="009B4C20">
        <w:t xml:space="preserve">nas fontes </w:t>
      </w:r>
      <w:r w:rsidR="00C42DCA">
        <w:t>por nós</w:t>
      </w:r>
      <w:r w:rsidR="009B4C20">
        <w:t xml:space="preserve"> analisadas</w:t>
      </w:r>
      <w:r>
        <w:t xml:space="preserve">, afirmamos que, no </w:t>
      </w:r>
      <w:r>
        <w:lastRenderedPageBreak/>
        <w:t xml:space="preserve">espaço forjado entre o presente do aluno em desenvolvimento e o futuro </w:t>
      </w:r>
      <w:r w:rsidR="009B4C20">
        <w:t xml:space="preserve">do </w:t>
      </w:r>
      <w:r>
        <w:t>adulto racional a que ele se dirige, estaria instalada uma miríade de incapacidades e déficits. No âmbito d</w:t>
      </w:r>
      <w:r w:rsidR="009B4C20">
        <w:t xml:space="preserve">e tais </w:t>
      </w:r>
      <w:r>
        <w:t>faltas</w:t>
      </w:r>
      <w:r w:rsidR="009B4C20">
        <w:t xml:space="preserve">, </w:t>
      </w:r>
      <w:r>
        <w:t>aflora o discurso dos especialistas, definindo que a consciência diante das próprias limitações seria o caminho</w:t>
      </w:r>
      <w:r w:rsidR="009B4C20">
        <w:t xml:space="preserve"> certeiro </w:t>
      </w:r>
      <w:r>
        <w:t xml:space="preserve">para suplantá-las. </w:t>
      </w:r>
    </w:p>
    <w:p w14:paraId="02013288" w14:textId="0E355415" w:rsidR="000C0CD2" w:rsidRPr="00B935CB" w:rsidRDefault="000C0CD2" w:rsidP="000C0CD2">
      <w:pPr>
        <w:ind w:left="0" w:firstLine="709"/>
      </w:pPr>
      <w:r>
        <w:t xml:space="preserve">Ademais, parece-nos que todas as ponderações correntes </w:t>
      </w:r>
      <w:r w:rsidR="00C42DCA">
        <w:t xml:space="preserve">aqui </w:t>
      </w:r>
      <w:r>
        <w:t xml:space="preserve">compiladas, assim como as próprias evocações constantes na Coleção </w:t>
      </w:r>
      <w:r>
        <w:rPr>
          <w:i/>
        </w:rPr>
        <w:t>Bibliotheca de Educação</w:t>
      </w:r>
      <w:r w:rsidR="009B4C20">
        <w:t xml:space="preserve">, </w:t>
      </w:r>
      <w:r>
        <w:t xml:space="preserve">operam segundo o mesmo diapasão: </w:t>
      </w:r>
      <w:r w:rsidR="00C42DCA">
        <w:t xml:space="preserve">por meio da </w:t>
      </w:r>
      <w:r>
        <w:t>cria</w:t>
      </w:r>
      <w:r w:rsidR="00C42DCA">
        <w:t xml:space="preserve">ção do </w:t>
      </w:r>
      <w:r>
        <w:t xml:space="preserve">esclarecimento, o mais sofisticadamente possível, </w:t>
      </w:r>
      <w:r w:rsidR="00C42DCA">
        <w:t xml:space="preserve">a fim de </w:t>
      </w:r>
      <w:r>
        <w:t>que todos e cada qual dos sujeitos reconheçam em si mesmos a distância entre seu</w:t>
      </w:r>
      <w:r w:rsidR="00D63B09">
        <w:t xml:space="preserve"> dever </w:t>
      </w:r>
      <w:r w:rsidR="00C42DCA">
        <w:t xml:space="preserve">ser e as prescrições </w:t>
      </w:r>
      <w:r>
        <w:t>estabelecid</w:t>
      </w:r>
      <w:r w:rsidR="00C42DCA">
        <w:t>a</w:t>
      </w:r>
      <w:r>
        <w:t xml:space="preserve">s </w:t>
      </w:r>
      <w:r w:rsidR="009B4C20">
        <w:t xml:space="preserve">pela </w:t>
      </w:r>
      <w:r w:rsidR="009B4C20" w:rsidRPr="002C740B">
        <w:rPr>
          <w:i/>
        </w:rPr>
        <w:t>expertise</w:t>
      </w:r>
      <w:r>
        <w:t xml:space="preserve"> para a conquista da cognição.     </w:t>
      </w:r>
    </w:p>
    <w:p w14:paraId="2F39AF2C" w14:textId="77777777" w:rsidR="0018472F" w:rsidRDefault="0018472F" w:rsidP="002C740B">
      <w:pPr>
        <w:ind w:left="0" w:firstLine="0"/>
        <w:rPr>
          <w:b/>
        </w:rPr>
      </w:pPr>
    </w:p>
    <w:p w14:paraId="02FC3D63" w14:textId="77777777" w:rsidR="00AA02D7" w:rsidRPr="002C740B" w:rsidRDefault="00AA02D7" w:rsidP="002C740B">
      <w:pPr>
        <w:ind w:left="0" w:firstLine="0"/>
        <w:rPr>
          <w:b/>
        </w:rPr>
      </w:pPr>
      <w:r w:rsidRPr="002C740B">
        <w:rPr>
          <w:b/>
        </w:rPr>
        <w:t>Considerações finais</w:t>
      </w:r>
    </w:p>
    <w:p w14:paraId="21CBB85D" w14:textId="27C3029C" w:rsidR="000C0CD2" w:rsidRDefault="000C0CD2" w:rsidP="000C0CD2">
      <w:pPr>
        <w:ind w:left="0" w:firstLine="709"/>
      </w:pPr>
      <w:r>
        <w:t>Na amostra d</w:t>
      </w:r>
      <w:r w:rsidR="00BE4E87">
        <w:t>os</w:t>
      </w:r>
      <w:r>
        <w:t xml:space="preserve"> enunciados acadêmicos</w:t>
      </w:r>
      <w:r w:rsidR="00BE4E87">
        <w:t xml:space="preserve"> por nós escrutinados</w:t>
      </w:r>
      <w:r>
        <w:t xml:space="preserve">, não parece haver alternativa além do esclarecimento. Tais enunciados problematizam o indivíduo educável como um ser confinado a uma linguagem que o oprime e ilude. O educando moderno, nessa perspectiva, </w:t>
      </w:r>
      <w:r w:rsidR="009B4C20">
        <w:t>seria</w:t>
      </w:r>
      <w:r>
        <w:t xml:space="preserve"> instigado a </w:t>
      </w:r>
      <w:r w:rsidR="00BE4E87">
        <w:t xml:space="preserve">se </w:t>
      </w:r>
      <w:r>
        <w:t xml:space="preserve">refugiar em uma condição generalista de </w:t>
      </w:r>
      <w:r w:rsidR="00716D5F">
        <w:t xml:space="preserve">um ser </w:t>
      </w:r>
      <w:r>
        <w:t>humano</w:t>
      </w:r>
      <w:r w:rsidR="00716D5F">
        <w:t xml:space="preserve"> em perpétuo embate consigo próprio</w:t>
      </w:r>
      <w:r>
        <w:t xml:space="preserve">. Impelido a tomar consciência das capacidades inerentes à sua natureza, ele </w:t>
      </w:r>
      <w:r w:rsidR="00BE4E87">
        <w:t>é</w:t>
      </w:r>
      <w:r>
        <w:t>, por conseguinte, instado a expandi-las</w:t>
      </w:r>
      <w:r w:rsidR="00C42DCA">
        <w:t xml:space="preserve"> por meio de uma abertura subjetiva </w:t>
      </w:r>
      <w:r>
        <w:t xml:space="preserve">ao coletivo, </w:t>
      </w:r>
      <w:r w:rsidR="00C42DCA">
        <w:t xml:space="preserve">este </w:t>
      </w:r>
      <w:r>
        <w:t xml:space="preserve">tomado como instância na qual se abrigaria a verdade última e o sentido inequívoco daquilo que o constitui. </w:t>
      </w:r>
    </w:p>
    <w:p w14:paraId="1F6C9782" w14:textId="1DB5D2A4" w:rsidR="000C0CD2" w:rsidRDefault="000C0CD2" w:rsidP="000C0CD2">
      <w:pPr>
        <w:ind w:left="0" w:firstLine="709"/>
      </w:pPr>
      <w:r>
        <w:t xml:space="preserve">Elimina-se, desse modo, toda a possibilidade de entabular um jogo possível de produção criativa de si mesmo. A liberdade do educando moderno, conforme constatamos na empiria analisada, há muito se tornou o mote por meio do qual vem-se operando a captura racional da eventualidade </w:t>
      </w:r>
      <w:r w:rsidR="00C42DCA">
        <w:t xml:space="preserve">infinitesimal </w:t>
      </w:r>
      <w:r>
        <w:t>de seu</w:t>
      </w:r>
      <w:r w:rsidR="00C42DCA">
        <w:t>s</w:t>
      </w:r>
      <w:r>
        <w:t xml:space="preserve"> comportamento</w:t>
      </w:r>
      <w:r w:rsidR="00C42DCA">
        <w:t>s</w:t>
      </w:r>
      <w:r>
        <w:t xml:space="preserve">. </w:t>
      </w:r>
    </w:p>
    <w:p w14:paraId="23FD0C40" w14:textId="390EC2E5" w:rsidR="000C0CD2" w:rsidRDefault="000C0CD2" w:rsidP="00ED7298">
      <w:pPr>
        <w:ind w:left="0" w:firstLine="567"/>
      </w:pPr>
      <w:r>
        <w:t xml:space="preserve">Desconsiderando </w:t>
      </w:r>
      <w:r w:rsidR="00F62B68">
        <w:t xml:space="preserve">o jogo </w:t>
      </w:r>
      <w:r w:rsidR="00BE4E87">
        <w:t xml:space="preserve">instituinte </w:t>
      </w:r>
      <w:r w:rsidR="00F62B68">
        <w:t xml:space="preserve">entre </w:t>
      </w:r>
      <w:r w:rsidR="00BE4E87">
        <w:t xml:space="preserve">os modos de </w:t>
      </w:r>
      <w:r w:rsidR="00F62B68">
        <w:t>subjetiv</w:t>
      </w:r>
      <w:r w:rsidR="00BE4E87">
        <w:t xml:space="preserve">ação </w:t>
      </w:r>
      <w:r w:rsidR="00F62B68">
        <w:t xml:space="preserve">e </w:t>
      </w:r>
      <w:r w:rsidR="00BE4E87">
        <w:t xml:space="preserve">as </w:t>
      </w:r>
      <w:r w:rsidR="00F62B68">
        <w:t xml:space="preserve">políticas de veridicção, próprio de </w:t>
      </w:r>
      <w:r>
        <w:t xml:space="preserve">qualquer experiência, as referidas análises, no que </w:t>
      </w:r>
      <w:r w:rsidR="00C42DCA">
        <w:t>tange</w:t>
      </w:r>
      <w:r>
        <w:t xml:space="preserve"> ao quadrante temático aqui em xeque, pareceram-nos </w:t>
      </w:r>
      <w:r w:rsidR="00C42DCA">
        <w:t xml:space="preserve">marcadamente </w:t>
      </w:r>
      <w:r w:rsidR="00BE4E87">
        <w:t>parciais</w:t>
      </w:r>
      <w:r>
        <w:t>, pois se restringiram</w:t>
      </w:r>
      <w:r w:rsidR="00C42DCA">
        <w:t>, no mais das vezes,</w:t>
      </w:r>
      <w:r>
        <w:t xml:space="preserve"> a apontar para um </w:t>
      </w:r>
      <w:r w:rsidR="00C42DCA">
        <w:t xml:space="preserve">norte </w:t>
      </w:r>
      <w:r>
        <w:t xml:space="preserve">em direção ao qual todas as criaturas de boa vontade deveriam caminhar. Nessa perspectiva, dito futuro realizar-se-ia quando, finalmente, meio e indivíduo se voltassem à plena realização do sujeito que sempre esteve presente, mas </w:t>
      </w:r>
      <w:r w:rsidR="00C42DCA">
        <w:t xml:space="preserve">que </w:t>
      </w:r>
      <w:r>
        <w:t xml:space="preserve">nunca </w:t>
      </w:r>
      <w:r w:rsidR="00C42DCA">
        <w:t xml:space="preserve">foi capaz de se </w:t>
      </w:r>
      <w:r>
        <w:t>efetiva</w:t>
      </w:r>
      <w:r w:rsidR="00C42DCA">
        <w:t xml:space="preserve">r. </w:t>
      </w:r>
    </w:p>
    <w:p w14:paraId="3DCBCBAA" w14:textId="388F5299" w:rsidR="00AA02D7" w:rsidRDefault="00AA02D7" w:rsidP="00AA02D7">
      <w:pPr>
        <w:ind w:left="0" w:firstLine="709"/>
      </w:pPr>
      <w:r>
        <w:t xml:space="preserve">Destarte, com vistas à problematização do caráter </w:t>
      </w:r>
      <w:proofErr w:type="spellStart"/>
      <w:r>
        <w:t>patologizante</w:t>
      </w:r>
      <w:proofErr w:type="spellEnd"/>
      <w:r>
        <w:t xml:space="preserve"> e politicamente debilitador de tal crença, o debate educacional poderia</w:t>
      </w:r>
      <w:r w:rsidR="00C42DCA" w:rsidRPr="00C42DCA">
        <w:t xml:space="preserve"> </w:t>
      </w:r>
      <w:r w:rsidR="00C42DCA">
        <w:t>perfeitamente, a nosso ver,</w:t>
      </w:r>
      <w:r>
        <w:t xml:space="preserve"> superar o hábito de analisar a discursividade científico-pedagógica que ronda as práticas </w:t>
      </w:r>
      <w:r>
        <w:lastRenderedPageBreak/>
        <w:t xml:space="preserve">educacionais em termos de imposições, representações ou manipulações, considerando aquilo que escapa à regularidade não com o fito de deflagrar anormalidades ou resistências, mas </w:t>
      </w:r>
      <w:r w:rsidR="00C42DCA">
        <w:t xml:space="preserve">tendo </w:t>
      </w:r>
      <w:r>
        <w:t>em vista a produtividade presente no inusitado</w:t>
      </w:r>
      <w:r w:rsidR="00C42DCA">
        <w:t xml:space="preserve"> e no errático</w:t>
      </w:r>
      <w:r>
        <w:t xml:space="preserve">, cuja emergência </w:t>
      </w:r>
      <w:r w:rsidR="00C42DCA">
        <w:t xml:space="preserve">apenas </w:t>
      </w:r>
      <w:r>
        <w:t xml:space="preserve">se insinua quando se visualizam as experiências educacionais em termos de disputas e atravessamentos na demanda por verdade. </w:t>
      </w:r>
    </w:p>
    <w:p w14:paraId="10EABB4C" w14:textId="1946C8E6" w:rsidR="00C42DCA" w:rsidRDefault="00AA02D7" w:rsidP="00AA02D7">
      <w:pPr>
        <w:ind w:left="0" w:firstLine="709"/>
      </w:pPr>
      <w:r>
        <w:t xml:space="preserve">Intuímos, assim, que reposicionar o discurso educacional </w:t>
      </w:r>
      <w:r w:rsidR="002D74BF">
        <w:t>em direção a</w:t>
      </w:r>
      <w:r>
        <w:t xml:space="preserve"> uma crítica que elimin</w:t>
      </w:r>
      <w:r w:rsidR="002D74BF">
        <w:t>asse</w:t>
      </w:r>
      <w:r>
        <w:t xml:space="preserve"> toda a pretensão de emancipação e de esclarecimento </w:t>
      </w:r>
      <w:r w:rsidR="00C42DCA">
        <w:t xml:space="preserve">dos protagonistas escolares </w:t>
      </w:r>
      <w:r>
        <w:t xml:space="preserve">permitiria novos deslocamentos de sentido, abrigando, quiçá, maneiras insuspeitas de </w:t>
      </w:r>
      <w:r w:rsidR="00C42DCA">
        <w:t>fazer frente a</w:t>
      </w:r>
      <w:r>
        <w:t xml:space="preserve">os discursos que </w:t>
      </w:r>
      <w:r w:rsidR="00C42DCA">
        <w:t>demarcam nossos modos de existir</w:t>
      </w:r>
      <w:r w:rsidR="002A6BDC">
        <w:t xml:space="preserve"> nas escolas</w:t>
      </w:r>
      <w:r w:rsidR="00C42DCA">
        <w:t>.</w:t>
      </w:r>
    </w:p>
    <w:p w14:paraId="0E5F4339" w14:textId="77777777" w:rsidR="00C42DCA" w:rsidRDefault="00C42DCA" w:rsidP="00B06AAB">
      <w:pPr>
        <w:spacing w:line="240" w:lineRule="auto"/>
        <w:ind w:left="0" w:firstLine="0"/>
      </w:pPr>
    </w:p>
    <w:p w14:paraId="1AB0C014" w14:textId="77777777" w:rsidR="00B06AAB" w:rsidRPr="00B06AAB" w:rsidRDefault="00B06AAB" w:rsidP="00B06AAB">
      <w:pPr>
        <w:spacing w:line="240" w:lineRule="auto"/>
        <w:ind w:left="0" w:firstLine="0"/>
        <w:rPr>
          <w:b/>
        </w:rPr>
      </w:pPr>
      <w:r w:rsidRPr="00B06AAB">
        <w:rPr>
          <w:b/>
        </w:rPr>
        <w:t>Referências</w:t>
      </w:r>
    </w:p>
    <w:p w14:paraId="1B5EF5A9" w14:textId="495FF4D8" w:rsidR="00736478" w:rsidRPr="00495661" w:rsidRDefault="00736478" w:rsidP="006D60E7">
      <w:pPr>
        <w:spacing w:line="240" w:lineRule="auto"/>
        <w:ind w:left="0" w:firstLine="0"/>
      </w:pPr>
      <w:r w:rsidRPr="009C6A34">
        <w:t>Binet, A</w:t>
      </w:r>
      <w:r>
        <w:t>.</w:t>
      </w:r>
      <w:r w:rsidR="00016553">
        <w:t>, &amp;</w:t>
      </w:r>
      <w:r>
        <w:t xml:space="preserve"> </w:t>
      </w:r>
      <w:r w:rsidRPr="009C6A34">
        <w:t>S</w:t>
      </w:r>
      <w:r>
        <w:t>imon</w:t>
      </w:r>
      <w:r w:rsidRPr="009C6A34">
        <w:t>, T</w:t>
      </w:r>
      <w:r>
        <w:t>. (1929)</w:t>
      </w:r>
      <w:r w:rsidRPr="00495661">
        <w:t xml:space="preserve"> Testes para medida do desenvolvimento da inteligência nas crianças. 3. ed. São Paulo, Caieiras, Rio de Janeiro: Companhia Melhoramentos de S. Paulo (</w:t>
      </w:r>
      <w:proofErr w:type="spellStart"/>
      <w:r w:rsidRPr="00495661">
        <w:t>Weis</w:t>
      </w:r>
      <w:r>
        <w:t>zflog</w:t>
      </w:r>
      <w:proofErr w:type="spellEnd"/>
      <w:r>
        <w:t xml:space="preserve"> Irmãos Incorporada),</w:t>
      </w:r>
      <w:r w:rsidRPr="00495661">
        <w:t xml:space="preserve"> (Coleção </w:t>
      </w:r>
      <w:r w:rsidRPr="00495661">
        <w:rPr>
          <w:i/>
        </w:rPr>
        <w:t>Bibliotheca de Educação</w:t>
      </w:r>
      <w:r w:rsidRPr="00495661">
        <w:t>, v. X).</w:t>
      </w:r>
    </w:p>
    <w:p w14:paraId="022372BD" w14:textId="77777777" w:rsidR="00736478" w:rsidRPr="00EB4C47" w:rsidRDefault="00736478" w:rsidP="006D60E7">
      <w:pPr>
        <w:spacing w:line="240" w:lineRule="auto"/>
        <w:ind w:left="0" w:firstLine="0"/>
      </w:pPr>
      <w:proofErr w:type="spellStart"/>
      <w:r w:rsidRPr="009C6A34">
        <w:t>Bortolotti</w:t>
      </w:r>
      <w:proofErr w:type="spellEnd"/>
      <w:r w:rsidRPr="009C6A34">
        <w:t>, K</w:t>
      </w:r>
      <w:r>
        <w:t>.</w:t>
      </w:r>
      <w:r w:rsidRPr="009C6A34">
        <w:t>F</w:t>
      </w:r>
      <w:r>
        <w:t>., &amp;</w:t>
      </w:r>
      <w:r w:rsidRPr="009C6A34">
        <w:t xml:space="preserve"> C</w:t>
      </w:r>
      <w:r>
        <w:t>unha</w:t>
      </w:r>
      <w:r w:rsidRPr="009C6A34">
        <w:t>, M</w:t>
      </w:r>
      <w:r>
        <w:t>.</w:t>
      </w:r>
      <w:r w:rsidRPr="009C6A34">
        <w:t>V</w:t>
      </w:r>
      <w:r>
        <w:t>. (2013).</w:t>
      </w:r>
      <w:r w:rsidRPr="00EB4C47">
        <w:t xml:space="preserve"> Anísio Teixeira e a psicologia: o valor da mensuração. Revista Brasileira de Estudos Pedagógicos, Brasília, v. </w:t>
      </w:r>
      <w:r>
        <w:t>94, n. 236, p. 32-52.</w:t>
      </w:r>
    </w:p>
    <w:p w14:paraId="747A5BCE" w14:textId="77777777" w:rsidR="00736478" w:rsidRPr="009C6A34" w:rsidRDefault="00736478" w:rsidP="006D60E7">
      <w:pPr>
        <w:spacing w:line="240" w:lineRule="auto"/>
        <w:ind w:left="0" w:firstLine="0"/>
      </w:pPr>
      <w:proofErr w:type="spellStart"/>
      <w:r w:rsidRPr="009C6A34">
        <w:t>Claparède</w:t>
      </w:r>
      <w:proofErr w:type="spellEnd"/>
      <w:r w:rsidRPr="009C6A34">
        <w:t>, É</w:t>
      </w:r>
      <w:r>
        <w:t xml:space="preserve">. (1928). </w:t>
      </w:r>
      <w:r w:rsidRPr="007E2C1F">
        <w:t xml:space="preserve">A escola e a </w:t>
      </w:r>
      <w:proofErr w:type="spellStart"/>
      <w:r w:rsidRPr="007E2C1F">
        <w:t>psychologia</w:t>
      </w:r>
      <w:proofErr w:type="spellEnd"/>
      <w:r w:rsidRPr="007E2C1F">
        <w:t xml:space="preserve"> experimental. São Paulo, Caieiras, Rio de Janeiro: Companhia Melhoramentos de S. Paulo (</w:t>
      </w:r>
      <w:proofErr w:type="spellStart"/>
      <w:r w:rsidRPr="007E2C1F">
        <w:t>Weiszflog</w:t>
      </w:r>
      <w:proofErr w:type="spellEnd"/>
      <w:r w:rsidRPr="007E2C1F">
        <w:t xml:space="preserve"> Irmãos Incorporada), (Coleção </w:t>
      </w:r>
      <w:r w:rsidRPr="007E2C1F">
        <w:rPr>
          <w:i/>
        </w:rPr>
        <w:t>Bibliotheca de Educação</w:t>
      </w:r>
      <w:r w:rsidRPr="007E2C1F">
        <w:t>, v. II).</w:t>
      </w:r>
    </w:p>
    <w:p w14:paraId="6D8D3F7D" w14:textId="77777777" w:rsidR="00736478" w:rsidRPr="007A13A7" w:rsidRDefault="00736478" w:rsidP="006D60E7">
      <w:pPr>
        <w:spacing w:line="240" w:lineRule="auto"/>
        <w:ind w:left="0" w:firstLine="0"/>
      </w:pPr>
      <w:proofErr w:type="spellStart"/>
      <w:r w:rsidRPr="009C6A34">
        <w:t>Cresson</w:t>
      </w:r>
      <w:proofErr w:type="spellEnd"/>
      <w:r w:rsidRPr="007A13A7">
        <w:t>, A</w:t>
      </w:r>
      <w:r>
        <w:t>. (1931)</w:t>
      </w:r>
      <w:r w:rsidRPr="007A13A7">
        <w:t xml:space="preserve"> Situação </w:t>
      </w:r>
      <w:proofErr w:type="spellStart"/>
      <w:r w:rsidRPr="007A13A7">
        <w:t>actual</w:t>
      </w:r>
      <w:proofErr w:type="spellEnd"/>
      <w:r w:rsidRPr="007A13A7">
        <w:t xml:space="preserve"> dos problemas </w:t>
      </w:r>
      <w:proofErr w:type="spellStart"/>
      <w:r w:rsidRPr="007A13A7">
        <w:t>philosophicos</w:t>
      </w:r>
      <w:proofErr w:type="spellEnd"/>
      <w:r w:rsidRPr="007A13A7">
        <w:t>. São Paulo, Caieiras, Rio de Janeiro: Companhia Melhoramentos de S. Paulo (</w:t>
      </w:r>
      <w:proofErr w:type="spellStart"/>
      <w:r w:rsidRPr="007A13A7">
        <w:t>Weisz</w:t>
      </w:r>
      <w:r>
        <w:t>flog</w:t>
      </w:r>
      <w:proofErr w:type="spellEnd"/>
      <w:r>
        <w:t xml:space="preserve"> Irmãos Incorporada),</w:t>
      </w:r>
      <w:r w:rsidRPr="007A13A7">
        <w:t xml:space="preserve"> (Coleção </w:t>
      </w:r>
      <w:r w:rsidRPr="007A13A7">
        <w:rPr>
          <w:i/>
        </w:rPr>
        <w:t>Bibliotheca de Educação</w:t>
      </w:r>
      <w:r w:rsidRPr="007A13A7">
        <w:t>, v. XIII).</w:t>
      </w:r>
    </w:p>
    <w:p w14:paraId="75D435DA" w14:textId="77777777" w:rsidR="00736478" w:rsidRPr="00EB4C47" w:rsidRDefault="00736478" w:rsidP="006D60E7">
      <w:pPr>
        <w:spacing w:line="240" w:lineRule="auto"/>
        <w:ind w:left="0" w:firstLine="0"/>
      </w:pPr>
      <w:r w:rsidRPr="009C6A34">
        <w:t>C</w:t>
      </w:r>
      <w:r>
        <w:t>unha</w:t>
      </w:r>
      <w:r w:rsidRPr="009C6A34">
        <w:t>, M</w:t>
      </w:r>
      <w:r>
        <w:t>.</w:t>
      </w:r>
      <w:r w:rsidRPr="009C6A34">
        <w:t>V</w:t>
      </w:r>
      <w:r>
        <w:t xml:space="preserve">. (1996). </w:t>
      </w:r>
      <w:r w:rsidRPr="00EB4C47">
        <w:t>Dewey e Piaget no Brasil dos anos trinta. Cadernos de Pesquisa,</w:t>
      </w:r>
      <w:r>
        <w:t xml:space="preserve"> São Paulo, n. 97, p. 5-12.</w:t>
      </w:r>
    </w:p>
    <w:p w14:paraId="7D12E885" w14:textId="77777777" w:rsidR="00736478" w:rsidRPr="00EB4C47" w:rsidRDefault="00736478" w:rsidP="006D60E7">
      <w:pPr>
        <w:spacing w:line="240" w:lineRule="auto"/>
        <w:ind w:left="0" w:firstLine="0"/>
      </w:pPr>
      <w:r w:rsidRPr="009C6A34">
        <w:t>C</w:t>
      </w:r>
      <w:r>
        <w:t>unha,</w:t>
      </w:r>
      <w:r w:rsidRPr="009C6A34">
        <w:t xml:space="preserve"> M</w:t>
      </w:r>
      <w:r>
        <w:t>.</w:t>
      </w:r>
      <w:r w:rsidRPr="009C6A34">
        <w:t>V</w:t>
      </w:r>
      <w:r>
        <w:t xml:space="preserve">. (1999). </w:t>
      </w:r>
      <w:r w:rsidRPr="00EB4C47">
        <w:t xml:space="preserve">Três versões do pragmatismo </w:t>
      </w:r>
      <w:proofErr w:type="spellStart"/>
      <w:r w:rsidRPr="00EB4C47">
        <w:t>deweyano</w:t>
      </w:r>
      <w:proofErr w:type="spellEnd"/>
      <w:r w:rsidRPr="00EB4C47">
        <w:t xml:space="preserve"> no Brasil dos anos cinquenta. Educação e Pesquisa, São Paulo, v. 25,</w:t>
      </w:r>
      <w:r>
        <w:t xml:space="preserve"> n. 2, p. 39-55.</w:t>
      </w:r>
    </w:p>
    <w:p w14:paraId="17412409" w14:textId="77777777" w:rsidR="00736478" w:rsidRPr="00B634EB" w:rsidRDefault="00736478" w:rsidP="006D60E7">
      <w:pPr>
        <w:spacing w:line="240" w:lineRule="auto"/>
        <w:ind w:left="0" w:firstLine="0"/>
      </w:pPr>
      <w:r w:rsidRPr="009C6A34">
        <w:t>D’</w:t>
      </w:r>
      <w:proofErr w:type="spellStart"/>
      <w:r w:rsidRPr="009C6A34">
        <w:t>avila</w:t>
      </w:r>
      <w:proofErr w:type="spellEnd"/>
      <w:r w:rsidRPr="009C6A34">
        <w:t>, J.</w:t>
      </w:r>
      <w:r>
        <w:t xml:space="preserve"> (2006).</w:t>
      </w:r>
      <w:r w:rsidRPr="009C6A34">
        <w:t xml:space="preserve"> </w:t>
      </w:r>
      <w:r w:rsidRPr="00B634EB">
        <w:t>Diploma de brancura: política social e racial no Brasil. 1917-1945</w:t>
      </w:r>
      <w:r>
        <w:t>. São Paulo: Editora UNESP</w:t>
      </w:r>
      <w:r w:rsidRPr="00B634EB">
        <w:t>.</w:t>
      </w:r>
    </w:p>
    <w:p w14:paraId="39C53C92" w14:textId="77777777" w:rsidR="00736478" w:rsidRPr="009C6A34" w:rsidRDefault="00736478" w:rsidP="006D60E7">
      <w:pPr>
        <w:spacing w:line="240" w:lineRule="auto"/>
        <w:ind w:left="0" w:firstLine="0"/>
      </w:pPr>
      <w:r>
        <w:t>Dewey, J</w:t>
      </w:r>
      <w:r w:rsidRPr="009C6A34">
        <w:t>.</w:t>
      </w:r>
      <w:r>
        <w:t xml:space="preserve"> (1952).</w:t>
      </w:r>
      <w:r w:rsidRPr="007E2C1F">
        <w:t xml:space="preserve"> Vida e educação. São Paulo, Caieiras, Rio de Janeiro: Companhia Melhoramentos de S. Paulo (</w:t>
      </w:r>
      <w:proofErr w:type="spellStart"/>
      <w:r w:rsidRPr="007E2C1F">
        <w:t>Wei</w:t>
      </w:r>
      <w:r>
        <w:t>szflog</w:t>
      </w:r>
      <w:proofErr w:type="spellEnd"/>
      <w:r>
        <w:t xml:space="preserve"> Irmãos Incorporada),</w:t>
      </w:r>
      <w:r w:rsidRPr="007E2C1F">
        <w:t xml:space="preserve"> (Coleção </w:t>
      </w:r>
      <w:r w:rsidRPr="007E2C1F">
        <w:rPr>
          <w:i/>
        </w:rPr>
        <w:t>Bibliotheca de Educação</w:t>
      </w:r>
      <w:r w:rsidRPr="007E2C1F">
        <w:t>, v. XII).</w:t>
      </w:r>
    </w:p>
    <w:p w14:paraId="58F83548" w14:textId="77777777" w:rsidR="00736478" w:rsidRPr="00891E05" w:rsidRDefault="00736478" w:rsidP="006D60E7">
      <w:pPr>
        <w:spacing w:line="240" w:lineRule="auto"/>
        <w:ind w:left="0" w:firstLine="0"/>
      </w:pPr>
      <w:r w:rsidRPr="009C6A34">
        <w:t>Domingues, O</w:t>
      </w:r>
      <w:r w:rsidRPr="00891E05">
        <w:t>.</w:t>
      </w:r>
      <w:r>
        <w:t xml:space="preserve"> (1929).</w:t>
      </w:r>
      <w:r w:rsidRPr="00891E05">
        <w:t xml:space="preserve"> A hereditariedade em face da educação. São Paulo, Caieiras, Rio de Janeiro: Companhia Melhoramentos de S. Paulo (</w:t>
      </w:r>
      <w:proofErr w:type="spellStart"/>
      <w:r w:rsidRPr="00891E05">
        <w:t>Weiszf</w:t>
      </w:r>
      <w:r>
        <w:t>log</w:t>
      </w:r>
      <w:proofErr w:type="spellEnd"/>
      <w:r>
        <w:t xml:space="preserve"> Irmãos Incorporada),</w:t>
      </w:r>
      <w:r w:rsidRPr="00891E05">
        <w:t xml:space="preserve"> (coleção </w:t>
      </w:r>
      <w:r w:rsidRPr="00891E05">
        <w:rPr>
          <w:i/>
        </w:rPr>
        <w:t>Bibliotheca de Educação</w:t>
      </w:r>
      <w:r w:rsidRPr="00891E05">
        <w:t>, v. VI).</w:t>
      </w:r>
    </w:p>
    <w:p w14:paraId="1E9B4728" w14:textId="77777777" w:rsidR="00736478" w:rsidRPr="007A13A7" w:rsidRDefault="00736478" w:rsidP="006D60E7">
      <w:pPr>
        <w:spacing w:line="240" w:lineRule="auto"/>
        <w:ind w:left="0" w:firstLine="0"/>
        <w:rPr>
          <w:rFonts w:eastAsia="Calibri"/>
        </w:rPr>
      </w:pPr>
      <w:r w:rsidRPr="009C6A34">
        <w:rPr>
          <w:rFonts w:eastAsia="Calibri"/>
        </w:rPr>
        <w:t>D</w:t>
      </w:r>
      <w:r>
        <w:rPr>
          <w:rFonts w:eastAsia="Calibri"/>
        </w:rPr>
        <w:t>oria</w:t>
      </w:r>
      <w:r w:rsidRPr="009C6A34">
        <w:rPr>
          <w:rFonts w:eastAsia="Calibri"/>
        </w:rPr>
        <w:t>, A</w:t>
      </w:r>
      <w:r>
        <w:rPr>
          <w:rFonts w:eastAsia="Calibri"/>
        </w:rPr>
        <w:t>.</w:t>
      </w:r>
      <w:r w:rsidRPr="009C6A34">
        <w:rPr>
          <w:rFonts w:eastAsia="Calibri"/>
        </w:rPr>
        <w:t>S</w:t>
      </w:r>
      <w:r>
        <w:rPr>
          <w:rFonts w:eastAsia="Calibri"/>
        </w:rPr>
        <w:t>. (1928).</w:t>
      </w:r>
      <w:r w:rsidRPr="007A13A7">
        <w:rPr>
          <w:rFonts w:eastAsia="Calibri"/>
        </w:rPr>
        <w:t xml:space="preserve"> Educação moral e educação econômica: suas bases, sua aplicação nas escolas. São Paulo, Caieiras, Rio de Janeiro: Companhia Melhoramentos de S. Paulo (</w:t>
      </w:r>
      <w:proofErr w:type="spellStart"/>
      <w:r w:rsidRPr="007A13A7">
        <w:rPr>
          <w:rFonts w:eastAsia="Calibri"/>
        </w:rPr>
        <w:t>Weiszflog</w:t>
      </w:r>
      <w:proofErr w:type="spellEnd"/>
      <w:r w:rsidRPr="007A13A7">
        <w:rPr>
          <w:rFonts w:eastAsia="Calibri"/>
        </w:rPr>
        <w:t xml:space="preserve"> Irmãos Incorporada), (Coleção </w:t>
      </w:r>
      <w:r w:rsidRPr="007A13A7">
        <w:rPr>
          <w:rFonts w:eastAsia="Calibri"/>
          <w:i/>
        </w:rPr>
        <w:t>Bibliotheca de Educação</w:t>
      </w:r>
      <w:r w:rsidRPr="007A13A7">
        <w:rPr>
          <w:rFonts w:eastAsia="Calibri"/>
        </w:rPr>
        <w:t>, v. III).</w:t>
      </w:r>
    </w:p>
    <w:p w14:paraId="606AAFEA" w14:textId="77777777" w:rsidR="00736478" w:rsidRPr="009C6A34" w:rsidRDefault="00736478" w:rsidP="006D60E7">
      <w:pPr>
        <w:spacing w:line="240" w:lineRule="auto"/>
        <w:ind w:left="0" w:firstLine="0"/>
      </w:pPr>
      <w:r w:rsidRPr="009C6A34">
        <w:t>Durkheim, É</w:t>
      </w:r>
      <w:r>
        <w:t xml:space="preserve">. (1929). </w:t>
      </w:r>
      <w:r w:rsidRPr="007E2C1F">
        <w:t xml:space="preserve">Educação e sociologia. São Paulo, Caieiras, Rio de Janeiro: Companhia Melhoramentos de S. Paulo </w:t>
      </w:r>
      <w:r>
        <w:t>(</w:t>
      </w:r>
      <w:proofErr w:type="spellStart"/>
      <w:r>
        <w:t>Weiszflog</w:t>
      </w:r>
      <w:proofErr w:type="spellEnd"/>
      <w:r>
        <w:t xml:space="preserve"> Irmãos Incorporada), </w:t>
      </w:r>
      <w:r w:rsidRPr="007E2C1F">
        <w:t xml:space="preserve">(Coleção </w:t>
      </w:r>
      <w:r w:rsidRPr="007E2C1F">
        <w:rPr>
          <w:i/>
        </w:rPr>
        <w:t>Bibliotheca de Educação</w:t>
      </w:r>
      <w:r w:rsidRPr="007E2C1F">
        <w:t>, v. V).</w:t>
      </w:r>
    </w:p>
    <w:p w14:paraId="257AA3A1" w14:textId="77777777" w:rsidR="00736478" w:rsidRPr="009C6A34" w:rsidRDefault="00736478" w:rsidP="006D60E7">
      <w:pPr>
        <w:spacing w:line="240" w:lineRule="auto"/>
        <w:ind w:left="0" w:firstLine="0"/>
      </w:pPr>
      <w:proofErr w:type="spellStart"/>
      <w:r w:rsidRPr="009C6A34">
        <w:t>Ferrière</w:t>
      </w:r>
      <w:proofErr w:type="spellEnd"/>
      <w:r w:rsidRPr="009C6A34">
        <w:t>, A.</w:t>
      </w:r>
      <w:r>
        <w:t xml:space="preserve"> (1929).</w:t>
      </w:r>
      <w:r w:rsidRPr="009C6A34">
        <w:t xml:space="preserve"> </w:t>
      </w:r>
      <w:r w:rsidRPr="007E2C1F">
        <w:t xml:space="preserve">A lei biogenética e a escola </w:t>
      </w:r>
      <w:proofErr w:type="spellStart"/>
      <w:r w:rsidRPr="007E2C1F">
        <w:t>activa</w:t>
      </w:r>
      <w:proofErr w:type="spellEnd"/>
      <w:r w:rsidRPr="007E2C1F">
        <w:t>. São Paulo, Caieiras, Rio de Janeiro: Companhia Melhoramentos de S. Paulo (</w:t>
      </w:r>
      <w:proofErr w:type="spellStart"/>
      <w:r w:rsidRPr="007E2C1F">
        <w:t>Weiszflog</w:t>
      </w:r>
      <w:proofErr w:type="spellEnd"/>
      <w:r w:rsidRPr="007E2C1F">
        <w:t xml:space="preserve"> Irmãos Incorporada) (Coleção </w:t>
      </w:r>
      <w:r w:rsidRPr="007E2C1F">
        <w:rPr>
          <w:i/>
        </w:rPr>
        <w:t>Bibliotheca de Educação</w:t>
      </w:r>
      <w:r w:rsidRPr="007E2C1F">
        <w:t>, v. IX).</w:t>
      </w:r>
    </w:p>
    <w:p w14:paraId="698824C8" w14:textId="77777777" w:rsidR="00736478" w:rsidRPr="0056412F" w:rsidRDefault="00736478" w:rsidP="006D60E7">
      <w:pPr>
        <w:spacing w:line="240" w:lineRule="auto"/>
        <w:ind w:left="0" w:firstLine="0"/>
        <w:rPr>
          <w:rFonts w:eastAsia="Calibri"/>
        </w:rPr>
      </w:pPr>
      <w:r w:rsidRPr="009C6A34">
        <w:lastRenderedPageBreak/>
        <w:t>Foucault, M</w:t>
      </w:r>
      <w:r>
        <w:t>. (1999).</w:t>
      </w:r>
      <w:r w:rsidRPr="0056412F">
        <w:rPr>
          <w:rFonts w:eastAsia="Calibri"/>
        </w:rPr>
        <w:t xml:space="preserve"> As palavras e as coisas: uma arqueologia das ciências humanas.</w:t>
      </w:r>
      <w:r>
        <w:rPr>
          <w:rFonts w:eastAsia="Calibri"/>
        </w:rPr>
        <w:t xml:space="preserve"> São Paulo: Martins Fontes</w:t>
      </w:r>
      <w:r w:rsidRPr="0056412F">
        <w:rPr>
          <w:rFonts w:eastAsia="Calibri"/>
        </w:rPr>
        <w:t>.</w:t>
      </w:r>
    </w:p>
    <w:p w14:paraId="13577983" w14:textId="77777777" w:rsidR="00736478" w:rsidRDefault="00736478" w:rsidP="006D60E7">
      <w:pPr>
        <w:spacing w:line="240" w:lineRule="auto"/>
        <w:ind w:left="0" w:firstLine="0"/>
        <w:rPr>
          <w:rFonts w:eastAsia="Calibri"/>
        </w:rPr>
      </w:pPr>
      <w:r w:rsidRPr="009C6A34">
        <w:t>Foucault, M.</w:t>
      </w:r>
      <w:r>
        <w:t xml:space="preserve"> (2001)</w:t>
      </w:r>
      <w:r w:rsidRPr="009C6A34">
        <w:rPr>
          <w:rFonts w:eastAsia="Calibri"/>
        </w:rPr>
        <w:t>.</w:t>
      </w:r>
      <w:r w:rsidRPr="00934FD2">
        <w:rPr>
          <w:rFonts w:eastAsia="Calibri"/>
        </w:rPr>
        <w:t xml:space="preserve"> A verdade e as formas jurídicas. Rio de Janeiro: Pontifícia Universidade Católica</w:t>
      </w:r>
      <w:r w:rsidRPr="009C6A34">
        <w:rPr>
          <w:rFonts w:eastAsia="Calibri"/>
        </w:rPr>
        <w:t>.</w:t>
      </w:r>
    </w:p>
    <w:p w14:paraId="26752D16" w14:textId="77777777" w:rsidR="00736478" w:rsidRPr="00934FD2" w:rsidRDefault="00736478" w:rsidP="006D60E7">
      <w:pPr>
        <w:spacing w:line="240" w:lineRule="auto"/>
        <w:ind w:left="0" w:firstLine="0"/>
      </w:pPr>
      <w:r w:rsidRPr="00934FD2">
        <w:t>Foucault, M. (2010). A hermenêutica do sujeito: curso dado no Collège de France (1981-1982). São</w:t>
      </w:r>
      <w:r>
        <w:t xml:space="preserve"> Paulo: WMF Martins Fontes</w:t>
      </w:r>
      <w:r w:rsidRPr="00934FD2">
        <w:t>.</w:t>
      </w:r>
    </w:p>
    <w:p w14:paraId="1AD3194C" w14:textId="77777777" w:rsidR="00736478" w:rsidRPr="00934FD2" w:rsidRDefault="00736478" w:rsidP="006D60E7">
      <w:pPr>
        <w:spacing w:line="240" w:lineRule="auto"/>
        <w:ind w:left="0" w:firstLine="0"/>
      </w:pPr>
      <w:r w:rsidRPr="00934FD2">
        <w:t xml:space="preserve">Foucault, M. (2010a) O governo de si e dos outros: curso dado no Collège de France (1982-1983). São </w:t>
      </w:r>
      <w:r>
        <w:t>Paulo: WMF Martins Fontes</w:t>
      </w:r>
      <w:r w:rsidRPr="00934FD2">
        <w:t xml:space="preserve">. </w:t>
      </w:r>
    </w:p>
    <w:p w14:paraId="191FFAA1" w14:textId="77777777" w:rsidR="00736478" w:rsidRPr="0056412F" w:rsidRDefault="00736478" w:rsidP="006D60E7">
      <w:pPr>
        <w:spacing w:line="240" w:lineRule="auto"/>
        <w:ind w:left="0" w:firstLine="0"/>
      </w:pPr>
      <w:r w:rsidRPr="0056412F">
        <w:t>Foucault, M. (2011). Gênese e estrutura da antropologia de Kant</w:t>
      </w:r>
      <w:r>
        <w:t>. São Paulo: Loyola</w:t>
      </w:r>
      <w:r w:rsidRPr="0056412F">
        <w:t>.</w:t>
      </w:r>
    </w:p>
    <w:p w14:paraId="4BC278B2" w14:textId="77777777" w:rsidR="00736478" w:rsidRPr="00934FD2" w:rsidRDefault="00736478" w:rsidP="006D60E7">
      <w:pPr>
        <w:spacing w:line="240" w:lineRule="auto"/>
        <w:ind w:left="0" w:firstLine="0"/>
      </w:pPr>
      <w:r w:rsidRPr="00934FD2">
        <w:t>Foucault, M.</w:t>
      </w:r>
      <w:r>
        <w:t xml:space="preserve"> (2011a</w:t>
      </w:r>
      <w:r w:rsidRPr="00934FD2">
        <w:t>)</w:t>
      </w:r>
      <w:r>
        <w:t xml:space="preserve">. </w:t>
      </w:r>
      <w:r w:rsidRPr="00934FD2">
        <w:t xml:space="preserve">A coragem da verdade: curso dado no Collège de France (1983-1984). São </w:t>
      </w:r>
      <w:r>
        <w:t>Paulo: WMF Martins Fontes</w:t>
      </w:r>
      <w:r w:rsidRPr="00934FD2">
        <w:t xml:space="preserve">. </w:t>
      </w:r>
    </w:p>
    <w:p w14:paraId="1E9C7280" w14:textId="77777777" w:rsidR="00736478" w:rsidRPr="009C6A34" w:rsidRDefault="00736478" w:rsidP="006D60E7">
      <w:pPr>
        <w:spacing w:line="240" w:lineRule="auto"/>
        <w:ind w:left="0" w:firstLine="0"/>
      </w:pPr>
      <w:r w:rsidRPr="009C6A34">
        <w:t>Garcia, R</w:t>
      </w:r>
      <w:r>
        <w:t>.</w:t>
      </w:r>
      <w:r w:rsidRPr="009C6A34">
        <w:t>A</w:t>
      </w:r>
      <w:r>
        <w:t>.</w:t>
      </w:r>
      <w:r w:rsidRPr="009C6A34">
        <w:t>G</w:t>
      </w:r>
      <w:r>
        <w:t>. (2006).</w:t>
      </w:r>
      <w:r w:rsidRPr="001025FA">
        <w:t xml:space="preserve"> Educação e psicanálise: a criança problema na perspectiva de análise da obra de Arthur Ramos (Rio de Janeiro 1930-1940). </w:t>
      </w:r>
      <w:proofErr w:type="spellStart"/>
      <w:proofErr w:type="gramStart"/>
      <w:r w:rsidRPr="001025FA">
        <w:t>Praxis</w:t>
      </w:r>
      <w:proofErr w:type="spellEnd"/>
      <w:r w:rsidRPr="001025FA">
        <w:t xml:space="preserve"> Educativa</w:t>
      </w:r>
      <w:proofErr w:type="gramEnd"/>
      <w:r w:rsidRPr="001025FA">
        <w:t>. Ponta Grossa, v.1, n.2, p.65-76</w:t>
      </w:r>
      <w:r w:rsidRPr="009C6A34">
        <w:t>.</w:t>
      </w:r>
    </w:p>
    <w:p w14:paraId="49013DEC" w14:textId="77777777" w:rsidR="00736478" w:rsidRPr="009C6A34" w:rsidRDefault="00736478" w:rsidP="006D60E7">
      <w:pPr>
        <w:spacing w:line="240" w:lineRule="auto"/>
        <w:ind w:left="0" w:firstLine="0"/>
      </w:pPr>
      <w:proofErr w:type="spellStart"/>
      <w:r w:rsidRPr="009C6A34">
        <w:t>G</w:t>
      </w:r>
      <w:r>
        <w:t>eenen</w:t>
      </w:r>
      <w:proofErr w:type="spellEnd"/>
      <w:r>
        <w:t>,</w:t>
      </w:r>
      <w:r w:rsidRPr="009C6A34">
        <w:t xml:space="preserve"> H. </w:t>
      </w:r>
      <w:r>
        <w:t xml:space="preserve">(1929). </w:t>
      </w:r>
      <w:r w:rsidRPr="00891E05">
        <w:t>Temperamento e carácter sob o ponto de vista educativo</w:t>
      </w:r>
      <w:r w:rsidRPr="009C6A34">
        <w:t>. São Paulo, Caieiras, Rio de Janeiro: Companhia Melhoramentos de S. Paulo (</w:t>
      </w:r>
      <w:proofErr w:type="spellStart"/>
      <w:r w:rsidRPr="009C6A34">
        <w:t>Weis</w:t>
      </w:r>
      <w:r>
        <w:t>zflog</w:t>
      </w:r>
      <w:proofErr w:type="spellEnd"/>
      <w:r>
        <w:t xml:space="preserve"> Irmãos Incorporada),</w:t>
      </w:r>
      <w:r w:rsidRPr="009C6A34">
        <w:t xml:space="preserve"> (Coleção </w:t>
      </w:r>
      <w:r w:rsidRPr="009C6A34">
        <w:rPr>
          <w:i/>
        </w:rPr>
        <w:t>Bibliotheca de Educação</w:t>
      </w:r>
      <w:r w:rsidRPr="009C6A34">
        <w:t>, v. IV).</w:t>
      </w:r>
    </w:p>
    <w:p w14:paraId="630C367C" w14:textId="1C7D0BDE" w:rsidR="00736478" w:rsidRPr="009C6A34" w:rsidRDefault="005B45AB" w:rsidP="006D60E7">
      <w:pPr>
        <w:spacing w:line="240" w:lineRule="auto"/>
        <w:ind w:left="0" w:firstLine="0"/>
        <w:rPr>
          <w:rFonts w:eastAsia="Calibri"/>
        </w:rPr>
      </w:pPr>
      <w:proofErr w:type="spellStart"/>
      <w:r>
        <w:rPr>
          <w:rFonts w:eastAsia="Calibri"/>
        </w:rPr>
        <w:t>Gondra</w:t>
      </w:r>
      <w:proofErr w:type="spellEnd"/>
      <w:r w:rsidR="00736478" w:rsidRPr="009C6A34">
        <w:rPr>
          <w:rFonts w:eastAsia="Calibri"/>
        </w:rPr>
        <w:t>, J</w:t>
      </w:r>
      <w:r>
        <w:rPr>
          <w:rFonts w:eastAsia="Calibri"/>
        </w:rPr>
        <w:t>.</w:t>
      </w:r>
      <w:r w:rsidR="00736478" w:rsidRPr="009C6A34">
        <w:rPr>
          <w:rFonts w:eastAsia="Calibri"/>
        </w:rPr>
        <w:t>G.</w:t>
      </w:r>
      <w:r>
        <w:rPr>
          <w:rFonts w:eastAsia="Calibri"/>
        </w:rPr>
        <w:t xml:space="preserve"> (2004).</w:t>
      </w:r>
      <w:r w:rsidR="00736478" w:rsidRPr="009C6A34">
        <w:rPr>
          <w:rFonts w:eastAsia="Calibri"/>
        </w:rPr>
        <w:t xml:space="preserve"> </w:t>
      </w:r>
      <w:r w:rsidR="00736478" w:rsidRPr="005B45AB">
        <w:rPr>
          <w:rFonts w:eastAsia="Calibri"/>
        </w:rPr>
        <w:t>Artes de civilizar</w:t>
      </w:r>
      <w:r w:rsidR="00736478" w:rsidRPr="009C6A34">
        <w:rPr>
          <w:rFonts w:eastAsia="Calibri"/>
        </w:rPr>
        <w:t>: medicina, higiene e educação escolar na corte imperial. Rio de Janeiro: Editora UERJ.</w:t>
      </w:r>
    </w:p>
    <w:p w14:paraId="37363A87" w14:textId="5C3518F6" w:rsidR="00736478" w:rsidRPr="00605C0D" w:rsidRDefault="00736478" w:rsidP="006D60E7">
      <w:pPr>
        <w:spacing w:line="240" w:lineRule="auto"/>
        <w:ind w:left="0" w:firstLine="0"/>
      </w:pPr>
      <w:proofErr w:type="spellStart"/>
      <w:r>
        <w:t>Gondra</w:t>
      </w:r>
      <w:proofErr w:type="spellEnd"/>
      <w:r w:rsidRPr="009C6A34">
        <w:t>, J</w:t>
      </w:r>
      <w:r>
        <w:t>.</w:t>
      </w:r>
      <w:r w:rsidRPr="009C6A34">
        <w:t>G</w:t>
      </w:r>
      <w:r>
        <w:t>., &amp;</w:t>
      </w:r>
      <w:r w:rsidRPr="009C6A34">
        <w:t xml:space="preserve"> G</w:t>
      </w:r>
      <w:r>
        <w:t>arcia</w:t>
      </w:r>
      <w:r w:rsidRPr="009C6A34">
        <w:t>, I</w:t>
      </w:r>
      <w:r>
        <w:t>. (2004).</w:t>
      </w:r>
      <w:r w:rsidR="002A56C5">
        <w:t xml:space="preserve"> A arte de endurecer “miolos moles e cérebros brandos”</w:t>
      </w:r>
      <w:r w:rsidRPr="00605C0D">
        <w:t>: a racionalidade médico-higiênica e a construção social da infância. Revista Brasileira de Educação, n.26, p.69-83</w:t>
      </w:r>
      <w:r>
        <w:t>.</w:t>
      </w:r>
    </w:p>
    <w:p w14:paraId="06658B3A" w14:textId="77777777" w:rsidR="00736478" w:rsidRPr="009C6A34" w:rsidRDefault="00736478" w:rsidP="006D60E7">
      <w:pPr>
        <w:spacing w:line="240" w:lineRule="auto"/>
        <w:ind w:left="0" w:firstLine="0"/>
        <w:rPr>
          <w:rFonts w:eastAsia="Calibri"/>
        </w:rPr>
      </w:pPr>
      <w:proofErr w:type="spellStart"/>
      <w:r w:rsidRPr="009C6A34">
        <w:rPr>
          <w:rFonts w:eastAsia="Calibri"/>
        </w:rPr>
        <w:t>Herschmann</w:t>
      </w:r>
      <w:proofErr w:type="spellEnd"/>
      <w:r w:rsidRPr="009C6A34">
        <w:rPr>
          <w:rFonts w:eastAsia="Calibri"/>
        </w:rPr>
        <w:t>, M.</w:t>
      </w:r>
      <w:r>
        <w:rPr>
          <w:rFonts w:eastAsia="Calibri"/>
        </w:rPr>
        <w:t xml:space="preserve"> (1996).</w:t>
      </w:r>
      <w:r w:rsidRPr="00B634EB">
        <w:rPr>
          <w:rFonts w:eastAsia="Calibri"/>
        </w:rPr>
        <w:t xml:space="preserve"> Entre a insalubridade e a ignorância: a construção do campo médico no Brasil. In: </w:t>
      </w:r>
      <w:proofErr w:type="spellStart"/>
      <w:r w:rsidRPr="00B634EB">
        <w:rPr>
          <w:rFonts w:eastAsia="Calibri"/>
        </w:rPr>
        <w:t>Herschmann</w:t>
      </w:r>
      <w:proofErr w:type="spellEnd"/>
      <w:r w:rsidRPr="00B634EB">
        <w:rPr>
          <w:rFonts w:eastAsia="Calibri"/>
        </w:rPr>
        <w:t xml:space="preserve">, </w:t>
      </w:r>
      <w:proofErr w:type="spellStart"/>
      <w:r w:rsidRPr="00B634EB">
        <w:rPr>
          <w:rFonts w:eastAsia="Calibri"/>
        </w:rPr>
        <w:t>Micael</w:t>
      </w:r>
      <w:proofErr w:type="spellEnd"/>
      <w:r w:rsidRPr="00B634EB">
        <w:rPr>
          <w:rFonts w:eastAsia="Calibri"/>
        </w:rPr>
        <w:t xml:space="preserve">; </w:t>
      </w:r>
      <w:proofErr w:type="spellStart"/>
      <w:r w:rsidRPr="00B634EB">
        <w:rPr>
          <w:rFonts w:eastAsia="Calibri"/>
        </w:rPr>
        <w:t>Kropf</w:t>
      </w:r>
      <w:proofErr w:type="spellEnd"/>
      <w:r w:rsidRPr="00B634EB">
        <w:rPr>
          <w:rFonts w:eastAsia="Calibri"/>
        </w:rPr>
        <w:t>, Simone; Nunes, Clarice. Missionários do progresso: médicos, engenheiros e educadores no Rio de Janeiro – 1870</w:t>
      </w:r>
      <w:r>
        <w:rPr>
          <w:rFonts w:eastAsia="Calibri"/>
        </w:rPr>
        <w:t>-1937. Rio de Janeiro: Diadorim</w:t>
      </w:r>
      <w:r w:rsidRPr="009C6A34">
        <w:rPr>
          <w:rFonts w:eastAsia="Calibri"/>
        </w:rPr>
        <w:t>.</w:t>
      </w:r>
    </w:p>
    <w:p w14:paraId="5203F8ED" w14:textId="77777777" w:rsidR="00736478" w:rsidRPr="009C6A34" w:rsidRDefault="00736478" w:rsidP="006D60E7">
      <w:pPr>
        <w:spacing w:line="240" w:lineRule="auto"/>
        <w:ind w:left="0" w:firstLine="0"/>
      </w:pPr>
      <w:proofErr w:type="spellStart"/>
      <w:r w:rsidRPr="009C6A34">
        <w:t>Kilpatrick</w:t>
      </w:r>
      <w:proofErr w:type="spellEnd"/>
      <w:r w:rsidRPr="009C6A34">
        <w:t>, W</w:t>
      </w:r>
      <w:r>
        <w:t>.</w:t>
      </w:r>
      <w:r w:rsidRPr="009C6A34">
        <w:t>H</w:t>
      </w:r>
      <w:r w:rsidRPr="00891E05">
        <w:t>.</w:t>
      </w:r>
      <w:r>
        <w:t xml:space="preserve"> (1933).</w:t>
      </w:r>
      <w:r w:rsidRPr="00891E05">
        <w:t xml:space="preserve"> Educação para uma </w:t>
      </w:r>
      <w:proofErr w:type="spellStart"/>
      <w:r w:rsidRPr="00891E05">
        <w:t>civilisação</w:t>
      </w:r>
      <w:proofErr w:type="spellEnd"/>
      <w:r w:rsidRPr="00891E05">
        <w:t xml:space="preserve"> em mudança. São Paulo, Caieiras, Rio de Janeiro: Companhia Melhoramentos de S. Paulo (</w:t>
      </w:r>
      <w:proofErr w:type="spellStart"/>
      <w:r w:rsidRPr="00891E05">
        <w:t>Weis</w:t>
      </w:r>
      <w:r>
        <w:t>zflog</w:t>
      </w:r>
      <w:proofErr w:type="spellEnd"/>
      <w:r>
        <w:t xml:space="preserve"> Irmãos Incorporada),</w:t>
      </w:r>
      <w:r w:rsidRPr="00891E05">
        <w:t xml:space="preserve"> (Coleção </w:t>
      </w:r>
      <w:r w:rsidRPr="009C6A34">
        <w:rPr>
          <w:i/>
        </w:rPr>
        <w:t>Bibliotheca de Educação</w:t>
      </w:r>
      <w:r w:rsidRPr="009C6A34">
        <w:t>, v. XVIII).</w:t>
      </w:r>
    </w:p>
    <w:p w14:paraId="02B991E0" w14:textId="3F5CDEAE" w:rsidR="002A56C5" w:rsidRPr="007E2C1F" w:rsidRDefault="002A56C5" w:rsidP="006D60E7">
      <w:pPr>
        <w:spacing w:line="240" w:lineRule="auto"/>
        <w:ind w:left="0" w:firstLine="0"/>
      </w:pPr>
      <w:r>
        <w:t>Lourenço F</w:t>
      </w:r>
      <w:r w:rsidRPr="009C6A34">
        <w:t>ilho, M</w:t>
      </w:r>
      <w:r>
        <w:t>.</w:t>
      </w:r>
      <w:r w:rsidRPr="009C6A34">
        <w:t>B</w:t>
      </w:r>
      <w:r>
        <w:t xml:space="preserve">. (1927). </w:t>
      </w:r>
      <w:r w:rsidR="00354C72">
        <w:t xml:space="preserve">Apresentação. </w:t>
      </w:r>
      <w:r w:rsidR="00354C72" w:rsidRPr="00D63B09">
        <w:rPr>
          <w:lang w:val="de-DE"/>
        </w:rPr>
        <w:t xml:space="preserve">In: </w:t>
      </w:r>
      <w:proofErr w:type="spellStart"/>
      <w:r w:rsidR="00354C72" w:rsidRPr="00D63B09">
        <w:rPr>
          <w:lang w:val="de-DE"/>
        </w:rPr>
        <w:t>Piéron</w:t>
      </w:r>
      <w:proofErr w:type="spellEnd"/>
      <w:r w:rsidR="00354C72" w:rsidRPr="00D63B09">
        <w:rPr>
          <w:lang w:val="de-DE"/>
        </w:rPr>
        <w:t>, H</w:t>
      </w:r>
      <w:r w:rsidRPr="00D63B09">
        <w:rPr>
          <w:lang w:val="de-DE"/>
        </w:rPr>
        <w:t xml:space="preserve">. </w:t>
      </w:r>
      <w:proofErr w:type="spellStart"/>
      <w:r w:rsidRPr="00D63B09">
        <w:rPr>
          <w:lang w:val="de-DE"/>
        </w:rPr>
        <w:t>Psychologia</w:t>
      </w:r>
      <w:proofErr w:type="spellEnd"/>
      <w:r w:rsidRPr="00D63B09">
        <w:rPr>
          <w:lang w:val="de-DE"/>
        </w:rPr>
        <w:t xml:space="preserve"> experimental. </w:t>
      </w:r>
      <w:r w:rsidRPr="007E2C1F">
        <w:t>São Paulo: Companhia</w:t>
      </w:r>
      <w:r>
        <w:t xml:space="preserve"> Melhoramentos de S. Paulo </w:t>
      </w:r>
      <w:r w:rsidRPr="007E2C1F">
        <w:t xml:space="preserve">(Coleção </w:t>
      </w:r>
      <w:r w:rsidRPr="007E2C1F">
        <w:rPr>
          <w:i/>
        </w:rPr>
        <w:t>Bibliotheca de Educação</w:t>
      </w:r>
      <w:r w:rsidRPr="007E2C1F">
        <w:t>, v. I).</w:t>
      </w:r>
    </w:p>
    <w:p w14:paraId="79DD0515" w14:textId="0A85277A" w:rsidR="00736478" w:rsidRPr="002A56C5" w:rsidRDefault="002A56C5" w:rsidP="006D60E7">
      <w:pPr>
        <w:spacing w:line="240" w:lineRule="auto"/>
        <w:ind w:left="0" w:firstLine="0"/>
      </w:pPr>
      <w:r>
        <w:t>Lourenço F</w:t>
      </w:r>
      <w:r w:rsidRPr="009C6A34">
        <w:t>ilho</w:t>
      </w:r>
      <w:r w:rsidR="00736478" w:rsidRPr="009C6A34">
        <w:t>, M</w:t>
      </w:r>
      <w:r>
        <w:t>.</w:t>
      </w:r>
      <w:r w:rsidR="00736478" w:rsidRPr="009C6A34">
        <w:t>B</w:t>
      </w:r>
      <w:r>
        <w:t>. (1937).</w:t>
      </w:r>
      <w:r w:rsidR="00736478" w:rsidRPr="002A56C5">
        <w:t xml:space="preserve"> Testes ABC para verificação da maturidade </w:t>
      </w:r>
      <w:proofErr w:type="spellStart"/>
      <w:r w:rsidR="00736478" w:rsidRPr="002A56C5">
        <w:t>necessaria</w:t>
      </w:r>
      <w:proofErr w:type="spellEnd"/>
      <w:r w:rsidR="00736478" w:rsidRPr="002A56C5">
        <w:t xml:space="preserve"> á aprendizagem da leitura e escrita. São Paulo, </w:t>
      </w:r>
      <w:proofErr w:type="spellStart"/>
      <w:r w:rsidR="00736478" w:rsidRPr="002A56C5">
        <w:t>Cayeiras</w:t>
      </w:r>
      <w:proofErr w:type="spellEnd"/>
      <w:r w:rsidR="00736478" w:rsidRPr="002A56C5">
        <w:t>, Rio de Janeiro: Companhia Melhoramentos de São Paulo (</w:t>
      </w:r>
      <w:proofErr w:type="spellStart"/>
      <w:r w:rsidR="00736478" w:rsidRPr="002A56C5">
        <w:t>Weisz</w:t>
      </w:r>
      <w:r>
        <w:t>flog</w:t>
      </w:r>
      <w:proofErr w:type="spellEnd"/>
      <w:r>
        <w:t xml:space="preserve"> Irmãos Incorporada),</w:t>
      </w:r>
      <w:r w:rsidR="00736478" w:rsidRPr="002A56C5">
        <w:t xml:space="preserve"> (Coleção </w:t>
      </w:r>
      <w:r w:rsidR="00736478" w:rsidRPr="002A56C5">
        <w:rPr>
          <w:i/>
        </w:rPr>
        <w:t>Bibliotheca de Educação</w:t>
      </w:r>
      <w:r w:rsidR="00736478" w:rsidRPr="002A56C5">
        <w:t>, v. XX).</w:t>
      </w:r>
    </w:p>
    <w:p w14:paraId="4F599373" w14:textId="77777777" w:rsidR="00736478" w:rsidRPr="009C6A34" w:rsidRDefault="00736478" w:rsidP="006D60E7">
      <w:pPr>
        <w:spacing w:line="240" w:lineRule="auto"/>
        <w:ind w:left="0" w:firstLine="0"/>
      </w:pPr>
      <w:proofErr w:type="spellStart"/>
      <w:r w:rsidRPr="009C6A34">
        <w:t>Luzuriaga</w:t>
      </w:r>
      <w:proofErr w:type="spellEnd"/>
      <w:r w:rsidRPr="009C6A34">
        <w:t>, L</w:t>
      </w:r>
      <w:r w:rsidRPr="00891E05">
        <w:t>.</w:t>
      </w:r>
      <w:r>
        <w:t xml:space="preserve"> (1934).</w:t>
      </w:r>
      <w:r w:rsidRPr="00891E05">
        <w:t xml:space="preserve"> A escola única. São Paulo, Caieiras, Rio de Janeiro: Companhia Melhoramentos de S. Paulo</w:t>
      </w:r>
      <w:r>
        <w:t xml:space="preserve"> (</w:t>
      </w:r>
      <w:proofErr w:type="spellStart"/>
      <w:r>
        <w:t>Weiszflog</w:t>
      </w:r>
      <w:proofErr w:type="spellEnd"/>
      <w:r>
        <w:t xml:space="preserve"> Irmãos Incorporada),</w:t>
      </w:r>
      <w:r w:rsidRPr="00891E05">
        <w:t xml:space="preserve"> (Coleção </w:t>
      </w:r>
      <w:r w:rsidRPr="00891E05">
        <w:rPr>
          <w:i/>
        </w:rPr>
        <w:t>Bibliotheca de Educação</w:t>
      </w:r>
      <w:r w:rsidRPr="00891E05">
        <w:t>,</w:t>
      </w:r>
      <w:r w:rsidRPr="009C6A34">
        <w:t xml:space="preserve"> v. XXII).</w:t>
      </w:r>
    </w:p>
    <w:p w14:paraId="060EC1F7" w14:textId="77777777" w:rsidR="00736478" w:rsidRPr="007A13A7" w:rsidRDefault="00736478" w:rsidP="006D60E7">
      <w:pPr>
        <w:spacing w:line="240" w:lineRule="auto"/>
        <w:ind w:left="0" w:firstLine="0"/>
      </w:pPr>
      <w:r w:rsidRPr="009C6A34">
        <w:t>M</w:t>
      </w:r>
      <w:r>
        <w:t>ate</w:t>
      </w:r>
      <w:r w:rsidRPr="007A13A7">
        <w:t>, C</w:t>
      </w:r>
      <w:r>
        <w:t>.</w:t>
      </w:r>
      <w:r w:rsidRPr="007A13A7">
        <w:t>H</w:t>
      </w:r>
      <w:r>
        <w:t>. (2002).</w:t>
      </w:r>
      <w:r w:rsidRPr="007A13A7">
        <w:t xml:space="preserve"> Tempos modernos na escola: os anos 30 e a racionalização da educação brasileira. Bauru: INEP.</w:t>
      </w:r>
    </w:p>
    <w:p w14:paraId="0263A6CD" w14:textId="77777777" w:rsidR="00736478" w:rsidRPr="007A13A7" w:rsidRDefault="00736478" w:rsidP="006D60E7">
      <w:pPr>
        <w:spacing w:line="240" w:lineRule="auto"/>
        <w:ind w:left="0" w:firstLine="0"/>
      </w:pPr>
      <w:r w:rsidRPr="007A13A7">
        <w:t>Marques, O</w:t>
      </w:r>
      <w:r>
        <w:t>.</w:t>
      </w:r>
      <w:r w:rsidRPr="007A13A7">
        <w:t>I</w:t>
      </w:r>
      <w:r>
        <w:t>. (1936).</w:t>
      </w:r>
      <w:r w:rsidRPr="007A13A7">
        <w:t xml:space="preserve"> A escrita na escola primaria. São Paulo, Caieiras, Rio de Janeiro: Companhia Melhoramentos de S. Paulo (</w:t>
      </w:r>
      <w:proofErr w:type="spellStart"/>
      <w:r w:rsidRPr="007A13A7">
        <w:t>Weis</w:t>
      </w:r>
      <w:r>
        <w:t>zflog</w:t>
      </w:r>
      <w:proofErr w:type="spellEnd"/>
      <w:r>
        <w:t xml:space="preserve"> Irmãos Incorporada),</w:t>
      </w:r>
      <w:r w:rsidRPr="007A13A7">
        <w:t xml:space="preserve"> (Coleção </w:t>
      </w:r>
      <w:r w:rsidRPr="007A13A7">
        <w:rPr>
          <w:i/>
        </w:rPr>
        <w:t>Bibliotheca de Educação</w:t>
      </w:r>
      <w:r w:rsidRPr="007A13A7">
        <w:t>, v. XXVI).</w:t>
      </w:r>
    </w:p>
    <w:p w14:paraId="36F7F8B6" w14:textId="77777777" w:rsidR="00736478" w:rsidRPr="00D63B09" w:rsidRDefault="00736478" w:rsidP="006D60E7">
      <w:pPr>
        <w:spacing w:line="240" w:lineRule="auto"/>
        <w:ind w:left="0" w:firstLine="0"/>
      </w:pPr>
      <w:proofErr w:type="spellStart"/>
      <w:r w:rsidRPr="00D63B09">
        <w:t>Monarcha</w:t>
      </w:r>
      <w:proofErr w:type="spellEnd"/>
      <w:r w:rsidRPr="00D63B09">
        <w:t xml:space="preserve">, C. (1997). </w:t>
      </w:r>
      <w:r w:rsidRPr="007E2C1F">
        <w:t xml:space="preserve">Lourenço Filho: outros aspectos, mesma obra. </w:t>
      </w:r>
      <w:r w:rsidRPr="00D63B09">
        <w:t>Campinas: Mercado de Letras – UNESP.</w:t>
      </w:r>
    </w:p>
    <w:p w14:paraId="3059617A" w14:textId="77777777" w:rsidR="00736478" w:rsidRPr="00D63B09" w:rsidRDefault="00736478" w:rsidP="006D60E7">
      <w:pPr>
        <w:spacing w:line="240" w:lineRule="auto"/>
        <w:ind w:left="0" w:firstLine="0"/>
      </w:pPr>
      <w:r w:rsidRPr="00D63B09">
        <w:t>Moura, F., &amp; Silva, T.E. (2009). A educação clínica como metodologia pedagógica: investigação sobre a aplicação da psicanálise na área educacional em Minas Gerais. Educação em Revista, vol.25, n.1, pp. 265-291.</w:t>
      </w:r>
    </w:p>
    <w:p w14:paraId="65040019" w14:textId="77777777" w:rsidR="00736478" w:rsidRPr="009C6A34" w:rsidRDefault="00736478" w:rsidP="006D60E7">
      <w:pPr>
        <w:spacing w:line="240" w:lineRule="auto"/>
        <w:ind w:left="0" w:firstLine="0"/>
      </w:pPr>
      <w:r w:rsidRPr="009C6A34">
        <w:rPr>
          <w:rFonts w:eastAsia="Calibri"/>
          <w:iCs/>
        </w:rPr>
        <w:lastRenderedPageBreak/>
        <w:t>Ó, J</w:t>
      </w:r>
      <w:r>
        <w:rPr>
          <w:rFonts w:eastAsia="Calibri"/>
          <w:iCs/>
        </w:rPr>
        <w:t>.</w:t>
      </w:r>
      <w:r w:rsidRPr="009C6A34">
        <w:rPr>
          <w:rFonts w:eastAsia="Calibri"/>
          <w:iCs/>
        </w:rPr>
        <w:t>R</w:t>
      </w:r>
      <w:r>
        <w:rPr>
          <w:rFonts w:eastAsia="Calibri"/>
          <w:iCs/>
        </w:rPr>
        <w:t xml:space="preserve">., &amp; </w:t>
      </w:r>
      <w:r w:rsidRPr="009C6A34">
        <w:rPr>
          <w:rFonts w:eastAsia="Calibri"/>
          <w:iCs/>
        </w:rPr>
        <w:t>Carvalho, L</w:t>
      </w:r>
      <w:r>
        <w:rPr>
          <w:rFonts w:eastAsia="Calibri"/>
          <w:iCs/>
        </w:rPr>
        <w:t>.M</w:t>
      </w:r>
      <w:r w:rsidRPr="009C6A34">
        <w:rPr>
          <w:rFonts w:eastAsia="Calibri"/>
          <w:iCs/>
        </w:rPr>
        <w:t>.</w:t>
      </w:r>
      <w:r>
        <w:rPr>
          <w:rFonts w:eastAsia="Calibri"/>
          <w:iCs/>
        </w:rPr>
        <w:t xml:space="preserve"> (2009).</w:t>
      </w:r>
      <w:r w:rsidRPr="00B634EB">
        <w:rPr>
          <w:rFonts w:eastAsia="Calibri"/>
          <w:iCs/>
        </w:rPr>
        <w:t xml:space="preserve"> Emergência e circulação do conhecimento psicopedagógico moderno (1880-1960)</w:t>
      </w:r>
      <w:r>
        <w:rPr>
          <w:rFonts w:eastAsia="Calibri"/>
          <w:iCs/>
        </w:rPr>
        <w:t xml:space="preserve">: </w:t>
      </w:r>
      <w:r w:rsidRPr="009C6A34">
        <w:rPr>
          <w:rFonts w:eastAsia="Calibri"/>
          <w:iCs/>
        </w:rPr>
        <w:t>estudos comparados Bras</w:t>
      </w:r>
      <w:r>
        <w:rPr>
          <w:rFonts w:eastAsia="Calibri"/>
          <w:iCs/>
        </w:rPr>
        <w:t>il-Portugal. Lisboa: Educa</w:t>
      </w:r>
      <w:r w:rsidRPr="009C6A34">
        <w:rPr>
          <w:rFonts w:eastAsia="Calibri"/>
          <w:iCs/>
        </w:rPr>
        <w:t>.</w:t>
      </w:r>
    </w:p>
    <w:p w14:paraId="7E11F64A" w14:textId="77777777" w:rsidR="00736478" w:rsidRPr="00B634EB" w:rsidRDefault="00736478" w:rsidP="006D60E7">
      <w:pPr>
        <w:spacing w:line="240" w:lineRule="auto"/>
        <w:ind w:left="0" w:firstLine="0"/>
      </w:pPr>
      <w:proofErr w:type="spellStart"/>
      <w:r w:rsidRPr="009C6A34">
        <w:rPr>
          <w:rFonts w:eastAsia="Calibri"/>
          <w:iCs/>
        </w:rPr>
        <w:t>Patto</w:t>
      </w:r>
      <w:proofErr w:type="spellEnd"/>
      <w:r w:rsidRPr="009C6A34">
        <w:rPr>
          <w:rFonts w:eastAsia="Calibri"/>
          <w:iCs/>
        </w:rPr>
        <w:t>, M</w:t>
      </w:r>
      <w:r>
        <w:rPr>
          <w:rFonts w:eastAsia="Calibri"/>
          <w:iCs/>
        </w:rPr>
        <w:t>.</w:t>
      </w:r>
      <w:r w:rsidRPr="009C6A34">
        <w:rPr>
          <w:rFonts w:eastAsia="Calibri"/>
          <w:iCs/>
        </w:rPr>
        <w:t>H</w:t>
      </w:r>
      <w:r>
        <w:rPr>
          <w:rFonts w:eastAsia="Calibri"/>
          <w:iCs/>
        </w:rPr>
        <w:t>.</w:t>
      </w:r>
      <w:r w:rsidRPr="009C6A34">
        <w:rPr>
          <w:rFonts w:eastAsia="Calibri"/>
          <w:iCs/>
        </w:rPr>
        <w:t>S</w:t>
      </w:r>
      <w:r>
        <w:rPr>
          <w:rFonts w:eastAsia="Calibri"/>
          <w:iCs/>
        </w:rPr>
        <w:t>. (1999).</w:t>
      </w:r>
      <w:r w:rsidRPr="00B634EB">
        <w:rPr>
          <w:rFonts w:eastAsia="Calibri"/>
          <w:iCs/>
        </w:rPr>
        <w:t xml:space="preserve"> A produção do fracasso escolar. Sã</w:t>
      </w:r>
      <w:r>
        <w:rPr>
          <w:rFonts w:eastAsia="Calibri"/>
          <w:iCs/>
        </w:rPr>
        <w:t>o Paulo: Casa do Psicólogo</w:t>
      </w:r>
      <w:r w:rsidRPr="00B634EB">
        <w:rPr>
          <w:rFonts w:eastAsia="Calibri"/>
          <w:iCs/>
        </w:rPr>
        <w:t>.</w:t>
      </w:r>
    </w:p>
    <w:p w14:paraId="55B162FA" w14:textId="5C89EC66" w:rsidR="00736478" w:rsidRPr="009C6A34" w:rsidRDefault="00354C72" w:rsidP="006D60E7">
      <w:pPr>
        <w:spacing w:line="240" w:lineRule="auto"/>
        <w:ind w:left="0" w:firstLine="0"/>
        <w:rPr>
          <w:rFonts w:eastAsia="Calibri"/>
        </w:rPr>
      </w:pPr>
      <w:proofErr w:type="spellStart"/>
      <w:r>
        <w:rPr>
          <w:rFonts w:eastAsia="Calibri"/>
        </w:rPr>
        <w:t>Pié</w:t>
      </w:r>
      <w:r w:rsidRPr="009C6A34">
        <w:rPr>
          <w:rFonts w:eastAsia="Calibri"/>
        </w:rPr>
        <w:t>ron</w:t>
      </w:r>
      <w:proofErr w:type="spellEnd"/>
      <w:r>
        <w:rPr>
          <w:rFonts w:eastAsia="Calibri"/>
        </w:rPr>
        <w:t>, H</w:t>
      </w:r>
      <w:r w:rsidR="00736478" w:rsidRPr="009C6A34">
        <w:rPr>
          <w:rFonts w:eastAsia="Calibri"/>
        </w:rPr>
        <w:t>.</w:t>
      </w:r>
      <w:r>
        <w:rPr>
          <w:rFonts w:eastAsia="Calibri"/>
        </w:rPr>
        <w:t xml:space="preserve"> (1927).</w:t>
      </w:r>
      <w:r w:rsidR="00736478" w:rsidRPr="009C6A34">
        <w:rPr>
          <w:rFonts w:eastAsia="Calibri"/>
        </w:rPr>
        <w:t xml:space="preserve"> </w:t>
      </w:r>
      <w:proofErr w:type="spellStart"/>
      <w:r w:rsidR="00736478" w:rsidRPr="009C6A34">
        <w:rPr>
          <w:rFonts w:eastAsia="Calibri"/>
        </w:rPr>
        <w:t>Psychologia</w:t>
      </w:r>
      <w:proofErr w:type="spellEnd"/>
      <w:r w:rsidR="00736478" w:rsidRPr="009C6A34">
        <w:rPr>
          <w:rFonts w:eastAsia="Calibri"/>
        </w:rPr>
        <w:t xml:space="preserve"> experimental. São Paulo, Caieiras, Rio de Janeiro: Companhia Melhoramentos de S. Paulo (</w:t>
      </w:r>
      <w:proofErr w:type="spellStart"/>
      <w:r w:rsidR="00736478" w:rsidRPr="009C6A34">
        <w:rPr>
          <w:rFonts w:eastAsia="Calibri"/>
        </w:rPr>
        <w:t>Weiszflog</w:t>
      </w:r>
      <w:proofErr w:type="spellEnd"/>
      <w:r w:rsidR="00736478" w:rsidRPr="009C6A34">
        <w:rPr>
          <w:rFonts w:eastAsia="Calibri"/>
        </w:rPr>
        <w:t xml:space="preserve"> Irmãos Incorporada)</w:t>
      </w:r>
      <w:r>
        <w:rPr>
          <w:rFonts w:eastAsia="Calibri"/>
        </w:rPr>
        <w:t xml:space="preserve">, </w:t>
      </w:r>
      <w:r w:rsidR="00736478" w:rsidRPr="009C6A34">
        <w:rPr>
          <w:rFonts w:eastAsia="Calibri"/>
        </w:rPr>
        <w:t xml:space="preserve">(Coleção </w:t>
      </w:r>
      <w:r w:rsidR="00736478" w:rsidRPr="009C6A34">
        <w:rPr>
          <w:rFonts w:eastAsia="Calibri"/>
          <w:i/>
        </w:rPr>
        <w:t>Bibliotheca de Educação</w:t>
      </w:r>
      <w:r w:rsidR="00736478" w:rsidRPr="009C6A34">
        <w:rPr>
          <w:rFonts w:eastAsia="Calibri"/>
        </w:rPr>
        <w:t>, v. I).</w:t>
      </w:r>
    </w:p>
    <w:p w14:paraId="4ED093DE" w14:textId="77777777" w:rsidR="00736478" w:rsidRPr="00891E05" w:rsidRDefault="00736478" w:rsidP="006D60E7">
      <w:pPr>
        <w:spacing w:line="240" w:lineRule="auto"/>
        <w:ind w:left="0" w:firstLine="0"/>
        <w:rPr>
          <w:rFonts w:eastAsia="Calibri"/>
        </w:rPr>
      </w:pPr>
      <w:r w:rsidRPr="009C6A34">
        <w:rPr>
          <w:rFonts w:eastAsia="Calibri"/>
        </w:rPr>
        <w:t>Proença, A</w:t>
      </w:r>
      <w:r>
        <w:rPr>
          <w:rFonts w:eastAsia="Calibri"/>
        </w:rPr>
        <w:t>.</w:t>
      </w:r>
      <w:r w:rsidRPr="009C6A34">
        <w:rPr>
          <w:rFonts w:eastAsia="Calibri"/>
        </w:rPr>
        <w:t>F.</w:t>
      </w:r>
      <w:r>
        <w:rPr>
          <w:rFonts w:eastAsia="Calibri"/>
        </w:rPr>
        <w:t xml:space="preserve"> (1928).</w:t>
      </w:r>
      <w:r w:rsidRPr="00891E05">
        <w:rPr>
          <w:rFonts w:eastAsia="Calibri"/>
        </w:rPr>
        <w:t xml:space="preserve"> Como se ensina </w:t>
      </w:r>
      <w:proofErr w:type="spellStart"/>
      <w:r w:rsidRPr="00891E05">
        <w:rPr>
          <w:rFonts w:eastAsia="Calibri"/>
        </w:rPr>
        <w:t>geographia</w:t>
      </w:r>
      <w:proofErr w:type="spellEnd"/>
      <w:r w:rsidRPr="00891E05">
        <w:rPr>
          <w:rFonts w:eastAsia="Calibri"/>
        </w:rPr>
        <w:t>. São Paulo, Caieiras, Rio de Janeiro: Companhia Melhoramentos de S. Paulo (</w:t>
      </w:r>
      <w:proofErr w:type="spellStart"/>
      <w:r w:rsidRPr="00891E05">
        <w:rPr>
          <w:rFonts w:eastAsia="Calibri"/>
        </w:rPr>
        <w:t>Weiszflog</w:t>
      </w:r>
      <w:proofErr w:type="spellEnd"/>
      <w:r w:rsidRPr="00891E05">
        <w:rPr>
          <w:rFonts w:eastAsia="Calibri"/>
        </w:rPr>
        <w:t xml:space="preserve"> Irmãos Incorporada)</w:t>
      </w:r>
      <w:r>
        <w:rPr>
          <w:rFonts w:eastAsia="Calibri"/>
        </w:rPr>
        <w:t>,</w:t>
      </w:r>
      <w:r w:rsidRPr="00891E05">
        <w:rPr>
          <w:rFonts w:eastAsia="Calibri"/>
        </w:rPr>
        <w:t xml:space="preserve"> (Coleção </w:t>
      </w:r>
      <w:r w:rsidRPr="00891E05">
        <w:rPr>
          <w:rFonts w:eastAsia="Calibri"/>
          <w:i/>
        </w:rPr>
        <w:t>Bibliotheca de Educação</w:t>
      </w:r>
      <w:r w:rsidRPr="00891E05">
        <w:rPr>
          <w:rFonts w:eastAsia="Calibri"/>
        </w:rPr>
        <w:t>, v. VII).</w:t>
      </w:r>
    </w:p>
    <w:p w14:paraId="22716FBA" w14:textId="77777777" w:rsidR="00736478" w:rsidRPr="009C6A34" w:rsidRDefault="00736478" w:rsidP="006D60E7">
      <w:pPr>
        <w:spacing w:line="240" w:lineRule="auto"/>
        <w:ind w:left="0" w:firstLine="0"/>
        <w:rPr>
          <w:rFonts w:eastAsia="Calibri"/>
        </w:rPr>
      </w:pPr>
      <w:proofErr w:type="spellStart"/>
      <w:r>
        <w:rPr>
          <w:rFonts w:eastAsia="Calibri"/>
        </w:rPr>
        <w:t>Rago</w:t>
      </w:r>
      <w:proofErr w:type="spellEnd"/>
      <w:r w:rsidRPr="009C6A34">
        <w:rPr>
          <w:rFonts w:eastAsia="Calibri"/>
        </w:rPr>
        <w:t>, L</w:t>
      </w:r>
      <w:r>
        <w:rPr>
          <w:rFonts w:eastAsia="Calibri"/>
        </w:rPr>
        <w:t>.</w:t>
      </w:r>
      <w:r w:rsidRPr="009C6A34">
        <w:rPr>
          <w:rFonts w:eastAsia="Calibri"/>
        </w:rPr>
        <w:t>M</w:t>
      </w:r>
      <w:r>
        <w:rPr>
          <w:rFonts w:eastAsia="Calibri"/>
        </w:rPr>
        <w:t>. (1985).</w:t>
      </w:r>
      <w:r w:rsidRPr="00B634EB">
        <w:rPr>
          <w:rFonts w:eastAsia="Calibri"/>
        </w:rPr>
        <w:t xml:space="preserve"> Do cabaré ao lar: a utopia da cidade disciplinar. Brasil (1890-1930). Rio de Janeiro: Paz e Terra</w:t>
      </w:r>
      <w:r w:rsidRPr="009C6A34">
        <w:rPr>
          <w:rFonts w:eastAsia="Calibri"/>
        </w:rPr>
        <w:t>.</w:t>
      </w:r>
    </w:p>
    <w:p w14:paraId="1BA694C1" w14:textId="77777777" w:rsidR="00736478" w:rsidRPr="00B634EB" w:rsidRDefault="00736478" w:rsidP="006D60E7">
      <w:pPr>
        <w:spacing w:line="240" w:lineRule="auto"/>
        <w:ind w:left="0" w:firstLine="0"/>
        <w:rPr>
          <w:rFonts w:eastAsia="Calibri"/>
        </w:rPr>
      </w:pPr>
      <w:r w:rsidRPr="009C6A34">
        <w:rPr>
          <w:rFonts w:eastAsia="Calibri"/>
        </w:rPr>
        <w:t>Rocha, H</w:t>
      </w:r>
      <w:r>
        <w:rPr>
          <w:rFonts w:eastAsia="Calibri"/>
        </w:rPr>
        <w:t xml:space="preserve">. </w:t>
      </w:r>
      <w:r w:rsidRPr="009C6A34">
        <w:rPr>
          <w:rFonts w:eastAsia="Calibri"/>
        </w:rPr>
        <w:t>H</w:t>
      </w:r>
      <w:r>
        <w:rPr>
          <w:rFonts w:eastAsia="Calibri"/>
        </w:rPr>
        <w:t>.</w:t>
      </w:r>
      <w:r w:rsidRPr="009C6A34">
        <w:rPr>
          <w:rFonts w:eastAsia="Calibri"/>
        </w:rPr>
        <w:t xml:space="preserve"> P.</w:t>
      </w:r>
      <w:r>
        <w:rPr>
          <w:rFonts w:eastAsia="Calibri"/>
        </w:rPr>
        <w:t xml:space="preserve"> (2003).</w:t>
      </w:r>
      <w:r w:rsidRPr="00B634EB">
        <w:rPr>
          <w:rFonts w:eastAsia="Calibri"/>
        </w:rPr>
        <w:t xml:space="preserve"> A higienização dos costumes: educação escolar e saúde no projeto do Instituto de </w:t>
      </w:r>
      <w:proofErr w:type="spellStart"/>
      <w:r w:rsidRPr="00B634EB">
        <w:rPr>
          <w:rFonts w:eastAsia="Calibri"/>
        </w:rPr>
        <w:t>Hygiene</w:t>
      </w:r>
      <w:proofErr w:type="spellEnd"/>
      <w:r w:rsidRPr="00B634EB">
        <w:rPr>
          <w:rFonts w:eastAsia="Calibri"/>
        </w:rPr>
        <w:t xml:space="preserve"> de São Paulo (1918-1925). C</w:t>
      </w:r>
      <w:r>
        <w:rPr>
          <w:rFonts w:eastAsia="Calibri"/>
        </w:rPr>
        <w:t>ampinas: Mercado de Letras</w:t>
      </w:r>
      <w:r w:rsidRPr="00B634EB">
        <w:rPr>
          <w:rFonts w:eastAsia="Calibri"/>
        </w:rPr>
        <w:t>.</w:t>
      </w:r>
    </w:p>
    <w:p w14:paraId="47B03E13" w14:textId="77777777" w:rsidR="00736478" w:rsidRPr="009C6A34" w:rsidRDefault="00736478" w:rsidP="006D60E7">
      <w:pPr>
        <w:spacing w:line="240" w:lineRule="auto"/>
        <w:ind w:left="0" w:firstLine="0"/>
        <w:rPr>
          <w:rFonts w:eastAsia="Calibri"/>
        </w:rPr>
      </w:pPr>
      <w:r w:rsidRPr="009C6A34">
        <w:rPr>
          <w:rFonts w:eastAsia="Calibri"/>
        </w:rPr>
        <w:t xml:space="preserve">Rocha, </w:t>
      </w:r>
      <w:r w:rsidRPr="005203E3">
        <w:rPr>
          <w:rFonts w:eastAsia="Calibri"/>
        </w:rPr>
        <w:t>H.H.P. (2011). Alfabetização, saneamento e regeneração nas iniciativas de difusão da escola primária em São Paulo. Pro-Posições, Campinas, v. 22, n. 2(65), p. 151-172</w:t>
      </w:r>
      <w:r w:rsidRPr="009C6A34">
        <w:rPr>
          <w:rFonts w:eastAsia="Calibri"/>
        </w:rPr>
        <w:t>.</w:t>
      </w:r>
    </w:p>
    <w:p w14:paraId="6CD469AD" w14:textId="77777777" w:rsidR="00736478" w:rsidRDefault="00736478" w:rsidP="006D60E7">
      <w:pPr>
        <w:spacing w:line="240" w:lineRule="auto"/>
        <w:ind w:left="0" w:firstLine="0"/>
        <w:rPr>
          <w:rFonts w:eastAsia="Calibri"/>
        </w:rPr>
      </w:pPr>
      <w:r w:rsidRPr="009C6A34">
        <w:rPr>
          <w:rFonts w:eastAsia="Calibri"/>
        </w:rPr>
        <w:t>Rocha, H</w:t>
      </w:r>
      <w:r>
        <w:rPr>
          <w:rFonts w:eastAsia="Calibri"/>
        </w:rPr>
        <w:t>.</w:t>
      </w:r>
      <w:r w:rsidRPr="009C6A34">
        <w:rPr>
          <w:rFonts w:eastAsia="Calibri"/>
        </w:rPr>
        <w:t>P</w:t>
      </w:r>
      <w:r>
        <w:rPr>
          <w:rFonts w:eastAsia="Calibri"/>
        </w:rPr>
        <w:t xml:space="preserve">., &amp; </w:t>
      </w:r>
      <w:proofErr w:type="spellStart"/>
      <w:r w:rsidRPr="009C6A34">
        <w:rPr>
          <w:rFonts w:eastAsia="Calibri"/>
        </w:rPr>
        <w:t>G</w:t>
      </w:r>
      <w:r>
        <w:rPr>
          <w:rFonts w:eastAsia="Calibri"/>
        </w:rPr>
        <w:t>ondra</w:t>
      </w:r>
      <w:proofErr w:type="spellEnd"/>
      <w:r w:rsidRPr="009C6A34">
        <w:rPr>
          <w:rFonts w:eastAsia="Calibri"/>
        </w:rPr>
        <w:t>, J</w:t>
      </w:r>
      <w:r>
        <w:rPr>
          <w:rFonts w:eastAsia="Calibri"/>
        </w:rPr>
        <w:t>.</w:t>
      </w:r>
      <w:r w:rsidRPr="009C6A34">
        <w:rPr>
          <w:rFonts w:eastAsia="Calibri"/>
        </w:rPr>
        <w:t>G</w:t>
      </w:r>
      <w:r>
        <w:rPr>
          <w:rFonts w:eastAsia="Calibri"/>
        </w:rPr>
        <w:t>. (2002).</w:t>
      </w:r>
      <w:r w:rsidRPr="00605C0D">
        <w:rPr>
          <w:rFonts w:eastAsia="Calibri"/>
        </w:rPr>
        <w:t xml:space="preserve"> A escola e a produção de sujeitos higienizados. Perspectiva, Florianópolis, v. 20, </w:t>
      </w:r>
      <w:r>
        <w:rPr>
          <w:rFonts w:eastAsia="Calibri"/>
        </w:rPr>
        <w:t>n. 2, p. 493-512</w:t>
      </w:r>
      <w:r w:rsidRPr="00605C0D">
        <w:rPr>
          <w:rFonts w:eastAsia="Calibri"/>
        </w:rPr>
        <w:t>.</w:t>
      </w:r>
    </w:p>
    <w:p w14:paraId="3E9651D9" w14:textId="77777777" w:rsidR="00736478" w:rsidRPr="009C6A34" w:rsidRDefault="00736478" w:rsidP="006D60E7">
      <w:pPr>
        <w:spacing w:line="240" w:lineRule="auto"/>
        <w:ind w:left="0" w:firstLine="0"/>
      </w:pPr>
      <w:r w:rsidRPr="009C6A34">
        <w:t>Silva, E</w:t>
      </w:r>
      <w:r>
        <w:t>. (1998).</w:t>
      </w:r>
      <w:r w:rsidRPr="009C6A34">
        <w:t xml:space="preserve"> A es</w:t>
      </w:r>
      <w:r w:rsidRPr="005203E3">
        <w:t>cola, a clínica e a sexualidade humana. Perspectiva. Florianópolis, v.16, n.30, p. 115-142</w:t>
      </w:r>
      <w:r w:rsidRPr="009C6A34">
        <w:t>.</w:t>
      </w:r>
    </w:p>
    <w:p w14:paraId="40DBD483" w14:textId="77777777" w:rsidR="00736478" w:rsidRPr="001025FA" w:rsidRDefault="00736478" w:rsidP="006D60E7">
      <w:pPr>
        <w:spacing w:line="240" w:lineRule="auto"/>
        <w:ind w:left="0" w:firstLine="0"/>
      </w:pPr>
      <w:proofErr w:type="spellStart"/>
      <w:r w:rsidRPr="009C6A34">
        <w:t>Sircilli</w:t>
      </w:r>
      <w:proofErr w:type="spellEnd"/>
      <w:r w:rsidRPr="009C6A34">
        <w:t>, F</w:t>
      </w:r>
      <w:r>
        <w:t xml:space="preserve">. (2005). </w:t>
      </w:r>
      <w:r w:rsidRPr="001025FA">
        <w:t>Arthur Ramos e Anísio Teixeira na década de 1930. Revista Paidéia, Ribeirão Preto,</w:t>
      </w:r>
      <w:r>
        <w:t xml:space="preserve"> v. 15, n. 31, p. 185-193.</w:t>
      </w:r>
    </w:p>
    <w:sectPr w:rsidR="00736478" w:rsidRPr="001025FA" w:rsidSect="001612EF">
      <w:headerReference w:type="default" r:id="rId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4CCC" w14:textId="77777777" w:rsidR="00002536" w:rsidRDefault="00002536" w:rsidP="00286147">
      <w:pPr>
        <w:spacing w:line="240" w:lineRule="auto"/>
      </w:pPr>
      <w:r>
        <w:separator/>
      </w:r>
    </w:p>
  </w:endnote>
  <w:endnote w:type="continuationSeparator" w:id="0">
    <w:p w14:paraId="69864651" w14:textId="77777777" w:rsidR="00002536" w:rsidRDefault="00002536" w:rsidP="00286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811EB" w14:textId="77777777" w:rsidR="00002536" w:rsidRDefault="00002536" w:rsidP="00286147">
      <w:pPr>
        <w:spacing w:line="240" w:lineRule="auto"/>
      </w:pPr>
      <w:r>
        <w:separator/>
      </w:r>
    </w:p>
  </w:footnote>
  <w:footnote w:type="continuationSeparator" w:id="0">
    <w:p w14:paraId="604328D2" w14:textId="77777777" w:rsidR="00002536" w:rsidRDefault="00002536" w:rsidP="0028614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224989"/>
      <w:docPartObj>
        <w:docPartGallery w:val="Page Numbers (Top of Page)"/>
        <w:docPartUnique/>
      </w:docPartObj>
    </w:sdtPr>
    <w:sdtEndPr>
      <w:rPr>
        <w:sz w:val="20"/>
        <w:szCs w:val="20"/>
      </w:rPr>
    </w:sdtEndPr>
    <w:sdtContent>
      <w:p w14:paraId="5174D853" w14:textId="157F12AA" w:rsidR="004A7DE8" w:rsidRPr="00D63B09" w:rsidRDefault="004A7DE8">
        <w:pPr>
          <w:pStyle w:val="Cabealho"/>
          <w:jc w:val="right"/>
          <w:rPr>
            <w:sz w:val="20"/>
            <w:szCs w:val="20"/>
          </w:rPr>
        </w:pPr>
        <w:r w:rsidRPr="00D63B09">
          <w:rPr>
            <w:sz w:val="20"/>
            <w:szCs w:val="20"/>
          </w:rPr>
          <w:fldChar w:fldCharType="begin"/>
        </w:r>
        <w:r w:rsidRPr="00D63B09">
          <w:rPr>
            <w:sz w:val="20"/>
            <w:szCs w:val="20"/>
          </w:rPr>
          <w:instrText>PAGE   \* MERGEFORMAT</w:instrText>
        </w:r>
        <w:r w:rsidRPr="00D63B09">
          <w:rPr>
            <w:sz w:val="20"/>
            <w:szCs w:val="20"/>
          </w:rPr>
          <w:fldChar w:fldCharType="separate"/>
        </w:r>
        <w:r w:rsidR="00FB2906">
          <w:rPr>
            <w:noProof/>
            <w:sz w:val="20"/>
            <w:szCs w:val="20"/>
          </w:rPr>
          <w:t>5</w:t>
        </w:r>
        <w:r w:rsidRPr="00D63B09">
          <w:rPr>
            <w:sz w:val="20"/>
            <w:szCs w:val="20"/>
          </w:rPr>
          <w:fldChar w:fldCharType="end"/>
        </w:r>
      </w:p>
    </w:sdtContent>
  </w:sdt>
  <w:p w14:paraId="1A1B34C8" w14:textId="77777777" w:rsidR="004A7DE8" w:rsidRDefault="004A7D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47"/>
    <w:rsid w:val="00002536"/>
    <w:rsid w:val="00016553"/>
    <w:rsid w:val="00016763"/>
    <w:rsid w:val="00084F4C"/>
    <w:rsid w:val="000C0CD2"/>
    <w:rsid w:val="000D0D69"/>
    <w:rsid w:val="000F5DD2"/>
    <w:rsid w:val="001612EF"/>
    <w:rsid w:val="0018472F"/>
    <w:rsid w:val="00191B76"/>
    <w:rsid w:val="001D6533"/>
    <w:rsid w:val="00246425"/>
    <w:rsid w:val="002739A0"/>
    <w:rsid w:val="00286147"/>
    <w:rsid w:val="002A56C5"/>
    <w:rsid w:val="002A6BDC"/>
    <w:rsid w:val="002C740B"/>
    <w:rsid w:val="002D74BF"/>
    <w:rsid w:val="00337718"/>
    <w:rsid w:val="00346B58"/>
    <w:rsid w:val="00354C72"/>
    <w:rsid w:val="0036477C"/>
    <w:rsid w:val="003738E2"/>
    <w:rsid w:val="00393DF6"/>
    <w:rsid w:val="00397C75"/>
    <w:rsid w:val="003B4CAC"/>
    <w:rsid w:val="003C18E6"/>
    <w:rsid w:val="003D4406"/>
    <w:rsid w:val="0041053D"/>
    <w:rsid w:val="00462C75"/>
    <w:rsid w:val="004909F0"/>
    <w:rsid w:val="004A7DE8"/>
    <w:rsid w:val="0055293C"/>
    <w:rsid w:val="005B45AB"/>
    <w:rsid w:val="00600B30"/>
    <w:rsid w:val="0061066C"/>
    <w:rsid w:val="006311BF"/>
    <w:rsid w:val="00634F18"/>
    <w:rsid w:val="00697295"/>
    <w:rsid w:val="006C404E"/>
    <w:rsid w:val="006D60E7"/>
    <w:rsid w:val="006E44C4"/>
    <w:rsid w:val="006F4A85"/>
    <w:rsid w:val="007107B3"/>
    <w:rsid w:val="00711B58"/>
    <w:rsid w:val="00716D5F"/>
    <w:rsid w:val="00736478"/>
    <w:rsid w:val="00742CFC"/>
    <w:rsid w:val="0075523C"/>
    <w:rsid w:val="007701D8"/>
    <w:rsid w:val="00797C3D"/>
    <w:rsid w:val="007A0B3F"/>
    <w:rsid w:val="007C1C1B"/>
    <w:rsid w:val="007D0EC4"/>
    <w:rsid w:val="008813DE"/>
    <w:rsid w:val="0089508A"/>
    <w:rsid w:val="009238B4"/>
    <w:rsid w:val="00933A60"/>
    <w:rsid w:val="009A109B"/>
    <w:rsid w:val="009B4C20"/>
    <w:rsid w:val="009D78DC"/>
    <w:rsid w:val="00A059AD"/>
    <w:rsid w:val="00A53B93"/>
    <w:rsid w:val="00AA02D7"/>
    <w:rsid w:val="00AA1E2C"/>
    <w:rsid w:val="00AA5CC7"/>
    <w:rsid w:val="00AD2A6F"/>
    <w:rsid w:val="00AE5370"/>
    <w:rsid w:val="00AF6D5F"/>
    <w:rsid w:val="00B06AAB"/>
    <w:rsid w:val="00B25798"/>
    <w:rsid w:val="00B529BE"/>
    <w:rsid w:val="00B716B4"/>
    <w:rsid w:val="00BE4E87"/>
    <w:rsid w:val="00BF36F3"/>
    <w:rsid w:val="00C42DCA"/>
    <w:rsid w:val="00D63B09"/>
    <w:rsid w:val="00D74622"/>
    <w:rsid w:val="00DA39E7"/>
    <w:rsid w:val="00DF070F"/>
    <w:rsid w:val="00EA44C2"/>
    <w:rsid w:val="00ED7298"/>
    <w:rsid w:val="00F032BB"/>
    <w:rsid w:val="00F53527"/>
    <w:rsid w:val="00F5483D"/>
    <w:rsid w:val="00F62B68"/>
    <w:rsid w:val="00F734E5"/>
    <w:rsid w:val="00FA1C65"/>
    <w:rsid w:val="00FB2906"/>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45767"/>
  <w15:docId w15:val="{5EF26F46-5B7D-49BD-8A51-0BA0E3D3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6147"/>
    <w:pPr>
      <w:spacing w:after="0" w:line="360" w:lineRule="auto"/>
      <w:ind w:left="714" w:hanging="357"/>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7D0EC4"/>
    <w:pPr>
      <w:keepNext/>
      <w:widowControl w:val="0"/>
      <w:autoSpaceDE w:val="0"/>
      <w:autoSpaceDN w:val="0"/>
      <w:adjustRightInd w:val="0"/>
      <w:spacing w:line="240" w:lineRule="auto"/>
      <w:ind w:left="0" w:firstLine="0"/>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86147"/>
    <w:pPr>
      <w:spacing w:line="240" w:lineRule="auto"/>
    </w:pPr>
    <w:rPr>
      <w:sz w:val="20"/>
      <w:szCs w:val="20"/>
    </w:rPr>
  </w:style>
  <w:style w:type="character" w:customStyle="1" w:styleId="TextodenotaderodapChar">
    <w:name w:val="Texto de nota de rodapé Char"/>
    <w:basedOn w:val="Fontepargpadro"/>
    <w:link w:val="Textodenotaderodap"/>
    <w:uiPriority w:val="99"/>
    <w:rsid w:val="00286147"/>
    <w:rPr>
      <w:rFonts w:ascii="Times New Roman" w:hAnsi="Times New Roman" w:cs="Times New Roman"/>
      <w:sz w:val="20"/>
      <w:szCs w:val="20"/>
    </w:rPr>
  </w:style>
  <w:style w:type="character" w:styleId="Refdenotaderodap">
    <w:name w:val="footnote reference"/>
    <w:basedOn w:val="Fontepargpadro"/>
    <w:uiPriority w:val="99"/>
    <w:semiHidden/>
    <w:unhideWhenUsed/>
    <w:rsid w:val="00286147"/>
    <w:rPr>
      <w:vertAlign w:val="superscript"/>
    </w:rPr>
  </w:style>
  <w:style w:type="paragraph" w:styleId="Cabealho">
    <w:name w:val="header"/>
    <w:basedOn w:val="Normal"/>
    <w:link w:val="CabealhoChar"/>
    <w:uiPriority w:val="99"/>
    <w:unhideWhenUsed/>
    <w:rsid w:val="00286147"/>
    <w:pPr>
      <w:tabs>
        <w:tab w:val="center" w:pos="4252"/>
        <w:tab w:val="right" w:pos="8504"/>
      </w:tabs>
      <w:spacing w:line="240" w:lineRule="auto"/>
    </w:pPr>
  </w:style>
  <w:style w:type="character" w:customStyle="1" w:styleId="CabealhoChar">
    <w:name w:val="Cabeçalho Char"/>
    <w:basedOn w:val="Fontepargpadro"/>
    <w:link w:val="Cabealho"/>
    <w:uiPriority w:val="99"/>
    <w:rsid w:val="00286147"/>
    <w:rPr>
      <w:rFonts w:ascii="Times New Roman" w:hAnsi="Times New Roman" w:cs="Times New Roman"/>
      <w:sz w:val="24"/>
      <w:szCs w:val="24"/>
    </w:rPr>
  </w:style>
  <w:style w:type="paragraph" w:styleId="Rodap">
    <w:name w:val="footer"/>
    <w:basedOn w:val="Normal"/>
    <w:link w:val="RodapChar"/>
    <w:uiPriority w:val="99"/>
    <w:unhideWhenUsed/>
    <w:rsid w:val="00286147"/>
    <w:pPr>
      <w:tabs>
        <w:tab w:val="center" w:pos="4252"/>
        <w:tab w:val="right" w:pos="8504"/>
      </w:tabs>
      <w:spacing w:line="240" w:lineRule="auto"/>
    </w:pPr>
  </w:style>
  <w:style w:type="character" w:customStyle="1" w:styleId="RodapChar">
    <w:name w:val="Rodapé Char"/>
    <w:basedOn w:val="Fontepargpadro"/>
    <w:link w:val="Rodap"/>
    <w:uiPriority w:val="99"/>
    <w:rsid w:val="00286147"/>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286147"/>
    <w:pPr>
      <w:spacing w:line="240" w:lineRule="auto"/>
    </w:pPr>
    <w:rPr>
      <w:sz w:val="18"/>
      <w:szCs w:val="18"/>
    </w:rPr>
  </w:style>
  <w:style w:type="character" w:customStyle="1" w:styleId="TextodebaloChar">
    <w:name w:val="Texto de balão Char"/>
    <w:basedOn w:val="Fontepargpadro"/>
    <w:link w:val="Textodebalo"/>
    <w:uiPriority w:val="99"/>
    <w:semiHidden/>
    <w:rsid w:val="00286147"/>
    <w:rPr>
      <w:rFonts w:ascii="Times New Roman" w:hAnsi="Times New Roman" w:cs="Times New Roman"/>
      <w:sz w:val="18"/>
      <w:szCs w:val="18"/>
    </w:rPr>
  </w:style>
  <w:style w:type="character" w:styleId="Refdecomentrio">
    <w:name w:val="annotation reference"/>
    <w:basedOn w:val="Fontepargpadro"/>
    <w:uiPriority w:val="99"/>
    <w:semiHidden/>
    <w:unhideWhenUsed/>
    <w:rsid w:val="00286147"/>
    <w:rPr>
      <w:sz w:val="18"/>
      <w:szCs w:val="18"/>
    </w:rPr>
  </w:style>
  <w:style w:type="paragraph" w:styleId="Textodecomentrio">
    <w:name w:val="annotation text"/>
    <w:basedOn w:val="Normal"/>
    <w:link w:val="TextodecomentrioChar"/>
    <w:uiPriority w:val="99"/>
    <w:semiHidden/>
    <w:unhideWhenUsed/>
    <w:rsid w:val="00286147"/>
    <w:pPr>
      <w:spacing w:line="240" w:lineRule="auto"/>
    </w:pPr>
  </w:style>
  <w:style w:type="character" w:customStyle="1" w:styleId="TextodecomentrioChar">
    <w:name w:val="Texto de comentário Char"/>
    <w:basedOn w:val="Fontepargpadro"/>
    <w:link w:val="Textodecomentrio"/>
    <w:uiPriority w:val="99"/>
    <w:semiHidden/>
    <w:rsid w:val="00286147"/>
    <w:rPr>
      <w:rFonts w:ascii="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286147"/>
    <w:rPr>
      <w:b/>
      <w:bCs/>
      <w:sz w:val="20"/>
      <w:szCs w:val="20"/>
    </w:rPr>
  </w:style>
  <w:style w:type="character" w:customStyle="1" w:styleId="AssuntodocomentrioChar">
    <w:name w:val="Assunto do comentário Char"/>
    <w:basedOn w:val="TextodecomentrioChar"/>
    <w:link w:val="Assuntodocomentrio"/>
    <w:uiPriority w:val="99"/>
    <w:semiHidden/>
    <w:rsid w:val="00286147"/>
    <w:rPr>
      <w:rFonts w:ascii="Times New Roman" w:hAnsi="Times New Roman" w:cs="Times New Roman"/>
      <w:b/>
      <w:bCs/>
      <w:sz w:val="20"/>
      <w:szCs w:val="20"/>
    </w:rPr>
  </w:style>
  <w:style w:type="paragraph" w:styleId="Reviso">
    <w:name w:val="Revision"/>
    <w:hidden/>
    <w:uiPriority w:val="99"/>
    <w:semiHidden/>
    <w:rsid w:val="00286147"/>
    <w:pPr>
      <w:spacing w:after="0" w:line="240" w:lineRule="auto"/>
    </w:pPr>
    <w:rPr>
      <w:rFonts w:ascii="Times New Roman" w:hAnsi="Times New Roman" w:cs="Times New Roman"/>
      <w:sz w:val="24"/>
      <w:szCs w:val="24"/>
    </w:rPr>
  </w:style>
  <w:style w:type="paragraph" w:styleId="Textodenotadefim">
    <w:name w:val="endnote text"/>
    <w:basedOn w:val="Normal"/>
    <w:link w:val="TextodenotadefimChar"/>
    <w:uiPriority w:val="99"/>
    <w:unhideWhenUsed/>
    <w:rsid w:val="00286147"/>
    <w:pPr>
      <w:spacing w:line="240" w:lineRule="auto"/>
    </w:pPr>
  </w:style>
  <w:style w:type="character" w:customStyle="1" w:styleId="TextodenotadefimChar">
    <w:name w:val="Texto de nota de fim Char"/>
    <w:basedOn w:val="Fontepargpadro"/>
    <w:link w:val="Textodenotadefim"/>
    <w:uiPriority w:val="99"/>
    <w:rsid w:val="00286147"/>
    <w:rPr>
      <w:rFonts w:ascii="Times New Roman" w:hAnsi="Times New Roman" w:cs="Times New Roman"/>
      <w:sz w:val="24"/>
      <w:szCs w:val="24"/>
    </w:rPr>
  </w:style>
  <w:style w:type="character" w:styleId="Refdenotadefim">
    <w:name w:val="endnote reference"/>
    <w:basedOn w:val="Fontepargpadro"/>
    <w:uiPriority w:val="99"/>
    <w:unhideWhenUsed/>
    <w:rsid w:val="00286147"/>
    <w:rPr>
      <w:vertAlign w:val="superscript"/>
    </w:rPr>
  </w:style>
  <w:style w:type="paragraph" w:styleId="MapadoDocumento">
    <w:name w:val="Document Map"/>
    <w:basedOn w:val="Normal"/>
    <w:link w:val="MapadoDocumentoChar"/>
    <w:uiPriority w:val="99"/>
    <w:semiHidden/>
    <w:unhideWhenUsed/>
    <w:rsid w:val="00286147"/>
    <w:pPr>
      <w:spacing w:line="240" w:lineRule="auto"/>
    </w:pPr>
  </w:style>
  <w:style w:type="character" w:customStyle="1" w:styleId="MapadoDocumentoChar">
    <w:name w:val="Mapa do Documento Char"/>
    <w:basedOn w:val="Fontepargpadro"/>
    <w:link w:val="MapadoDocumento"/>
    <w:uiPriority w:val="99"/>
    <w:semiHidden/>
    <w:rsid w:val="00286147"/>
    <w:rPr>
      <w:rFonts w:ascii="Times New Roman" w:hAnsi="Times New Roman" w:cs="Times New Roman"/>
      <w:sz w:val="24"/>
      <w:szCs w:val="24"/>
    </w:rPr>
  </w:style>
  <w:style w:type="character" w:styleId="NmerodaLinha">
    <w:name w:val="line number"/>
    <w:basedOn w:val="Fontepargpadro"/>
    <w:uiPriority w:val="99"/>
    <w:semiHidden/>
    <w:unhideWhenUsed/>
    <w:rsid w:val="009238B4"/>
  </w:style>
  <w:style w:type="character" w:customStyle="1" w:styleId="Ttulo1Char">
    <w:name w:val="Título 1 Char"/>
    <w:basedOn w:val="Fontepargpadro"/>
    <w:link w:val="Ttulo1"/>
    <w:uiPriority w:val="9"/>
    <w:rsid w:val="007D0EC4"/>
    <w:rPr>
      <w:rFonts w:ascii="Times New Roman" w:hAnsi="Times New Roman" w:cs="Times New Roman"/>
      <w:b/>
      <w:sz w:val="24"/>
      <w:szCs w:val="24"/>
    </w:rPr>
  </w:style>
  <w:style w:type="paragraph" w:styleId="Corpodetexto">
    <w:name w:val="Body Text"/>
    <w:basedOn w:val="Normal"/>
    <w:link w:val="CorpodetextoChar"/>
    <w:uiPriority w:val="99"/>
    <w:unhideWhenUsed/>
    <w:rsid w:val="006E44C4"/>
    <w:pPr>
      <w:tabs>
        <w:tab w:val="left" w:pos="709"/>
      </w:tabs>
      <w:spacing w:line="240" w:lineRule="auto"/>
      <w:ind w:left="0" w:firstLine="0"/>
    </w:pPr>
    <w:rPr>
      <w:lang w:val="en-US"/>
    </w:rPr>
  </w:style>
  <w:style w:type="character" w:customStyle="1" w:styleId="CorpodetextoChar">
    <w:name w:val="Corpo de texto Char"/>
    <w:basedOn w:val="Fontepargpadro"/>
    <w:link w:val="Corpodetexto"/>
    <w:uiPriority w:val="99"/>
    <w:rsid w:val="006E44C4"/>
    <w:rPr>
      <w:rFonts w:ascii="Times New Roman" w:hAnsi="Times New Roman" w:cs="Times New Roman"/>
      <w:sz w:val="24"/>
      <w:szCs w:val="24"/>
      <w:lang w:val="en-US"/>
    </w:rPr>
  </w:style>
  <w:style w:type="paragraph" w:styleId="Recuodecorpodetexto">
    <w:name w:val="Body Text Indent"/>
    <w:basedOn w:val="Normal"/>
    <w:link w:val="RecuodecorpodetextoChar"/>
    <w:uiPriority w:val="99"/>
    <w:unhideWhenUsed/>
    <w:rsid w:val="004A7DE8"/>
    <w:pPr>
      <w:tabs>
        <w:tab w:val="left" w:pos="709"/>
      </w:tabs>
      <w:spacing w:line="240" w:lineRule="auto"/>
      <w:ind w:left="0" w:firstLine="709"/>
    </w:pPr>
    <w:rPr>
      <w:lang w:val="en-US"/>
    </w:rPr>
  </w:style>
  <w:style w:type="character" w:customStyle="1" w:styleId="RecuodecorpodetextoChar">
    <w:name w:val="Recuo de corpo de texto Char"/>
    <w:basedOn w:val="Fontepargpadro"/>
    <w:link w:val="Recuodecorpodetexto"/>
    <w:uiPriority w:val="99"/>
    <w:rsid w:val="004A7DE8"/>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041981">
      <w:bodyDiv w:val="1"/>
      <w:marLeft w:val="0"/>
      <w:marRight w:val="0"/>
      <w:marTop w:val="0"/>
      <w:marBottom w:val="0"/>
      <w:divBdr>
        <w:top w:val="none" w:sz="0" w:space="0" w:color="auto"/>
        <w:left w:val="none" w:sz="0" w:space="0" w:color="auto"/>
        <w:bottom w:val="none" w:sz="0" w:space="0" w:color="auto"/>
        <w:right w:val="none" w:sz="0" w:space="0" w:color="auto"/>
      </w:divBdr>
      <w:divsChild>
        <w:div w:id="1206260604">
          <w:marLeft w:val="0"/>
          <w:marRight w:val="0"/>
          <w:marTop w:val="0"/>
          <w:marBottom w:val="0"/>
          <w:divBdr>
            <w:top w:val="none" w:sz="0" w:space="0" w:color="auto"/>
            <w:left w:val="none" w:sz="0" w:space="0" w:color="auto"/>
            <w:bottom w:val="none" w:sz="0" w:space="0" w:color="auto"/>
            <w:right w:val="none" w:sz="0" w:space="0" w:color="auto"/>
          </w:divBdr>
          <w:divsChild>
            <w:div w:id="1070545295">
              <w:marLeft w:val="0"/>
              <w:marRight w:val="60"/>
              <w:marTop w:val="0"/>
              <w:marBottom w:val="0"/>
              <w:divBdr>
                <w:top w:val="none" w:sz="0" w:space="0" w:color="auto"/>
                <w:left w:val="none" w:sz="0" w:space="0" w:color="auto"/>
                <w:bottom w:val="none" w:sz="0" w:space="0" w:color="auto"/>
                <w:right w:val="none" w:sz="0" w:space="0" w:color="auto"/>
              </w:divBdr>
              <w:divsChild>
                <w:div w:id="369300536">
                  <w:marLeft w:val="0"/>
                  <w:marRight w:val="0"/>
                  <w:marTop w:val="0"/>
                  <w:marBottom w:val="120"/>
                  <w:divBdr>
                    <w:top w:val="single" w:sz="6" w:space="0" w:color="C0C0C0"/>
                    <w:left w:val="single" w:sz="6" w:space="0" w:color="D9D9D9"/>
                    <w:bottom w:val="single" w:sz="6" w:space="0" w:color="D9D9D9"/>
                    <w:right w:val="single" w:sz="6" w:space="0" w:color="D9D9D9"/>
                  </w:divBdr>
                  <w:divsChild>
                    <w:div w:id="1054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5672">
          <w:marLeft w:val="0"/>
          <w:marRight w:val="0"/>
          <w:marTop w:val="0"/>
          <w:marBottom w:val="0"/>
          <w:divBdr>
            <w:top w:val="none" w:sz="0" w:space="0" w:color="auto"/>
            <w:left w:val="none" w:sz="0" w:space="0" w:color="auto"/>
            <w:bottom w:val="none" w:sz="0" w:space="0" w:color="auto"/>
            <w:right w:val="none" w:sz="0" w:space="0" w:color="auto"/>
          </w:divBdr>
          <w:divsChild>
            <w:div w:id="2024933899">
              <w:marLeft w:val="60"/>
              <w:marRight w:val="0"/>
              <w:marTop w:val="0"/>
              <w:marBottom w:val="0"/>
              <w:divBdr>
                <w:top w:val="none" w:sz="0" w:space="0" w:color="auto"/>
                <w:left w:val="none" w:sz="0" w:space="0" w:color="auto"/>
                <w:bottom w:val="none" w:sz="0" w:space="0" w:color="auto"/>
                <w:right w:val="none" w:sz="0" w:space="0" w:color="auto"/>
              </w:divBdr>
              <w:divsChild>
                <w:div w:id="115031998">
                  <w:marLeft w:val="0"/>
                  <w:marRight w:val="0"/>
                  <w:marTop w:val="0"/>
                  <w:marBottom w:val="0"/>
                  <w:divBdr>
                    <w:top w:val="none" w:sz="0" w:space="0" w:color="auto"/>
                    <w:left w:val="none" w:sz="0" w:space="0" w:color="auto"/>
                    <w:bottom w:val="none" w:sz="0" w:space="0" w:color="auto"/>
                    <w:right w:val="none" w:sz="0" w:space="0" w:color="auto"/>
                  </w:divBdr>
                  <w:divsChild>
                    <w:div w:id="1568420821">
                      <w:marLeft w:val="0"/>
                      <w:marRight w:val="0"/>
                      <w:marTop w:val="0"/>
                      <w:marBottom w:val="120"/>
                      <w:divBdr>
                        <w:top w:val="single" w:sz="6" w:space="0" w:color="F5F5F5"/>
                        <w:left w:val="single" w:sz="6" w:space="0" w:color="F5F5F5"/>
                        <w:bottom w:val="single" w:sz="6" w:space="0" w:color="F5F5F5"/>
                        <w:right w:val="single" w:sz="6" w:space="0" w:color="F5F5F5"/>
                      </w:divBdr>
                      <w:divsChild>
                        <w:div w:id="1983383491">
                          <w:marLeft w:val="0"/>
                          <w:marRight w:val="0"/>
                          <w:marTop w:val="0"/>
                          <w:marBottom w:val="0"/>
                          <w:divBdr>
                            <w:top w:val="none" w:sz="0" w:space="0" w:color="auto"/>
                            <w:left w:val="none" w:sz="0" w:space="0" w:color="auto"/>
                            <w:bottom w:val="none" w:sz="0" w:space="0" w:color="auto"/>
                            <w:right w:val="none" w:sz="0" w:space="0" w:color="auto"/>
                          </w:divBdr>
                          <w:divsChild>
                            <w:div w:id="3178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47074-350C-D947-9CCA-56753002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8177</Words>
  <Characters>44160</Characters>
  <Application>Microsoft Macintosh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dcterms:created xsi:type="dcterms:W3CDTF">2016-12-07T17:43:00Z</dcterms:created>
  <dcterms:modified xsi:type="dcterms:W3CDTF">2016-12-07T17:43:00Z</dcterms:modified>
</cp:coreProperties>
</file>