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72" w:type="dxa"/>
        <w:jc w:val="center"/>
        <w:tblInd w:w="-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2"/>
      </w:tblGrid>
      <w:tr w:rsidR="008A6E01" w:rsidRPr="002A1932" w:rsidTr="00511DDE">
        <w:trPr>
          <w:trHeight w:val="2545"/>
          <w:jc w:val="center"/>
        </w:trPr>
        <w:tc>
          <w:tcPr>
            <w:tcW w:w="9972" w:type="dxa"/>
            <w:tcBorders>
              <w:bottom w:val="nil"/>
            </w:tcBorders>
          </w:tcPr>
          <w:p w:rsidR="008A6E01" w:rsidRPr="002A1932" w:rsidRDefault="008A6E01" w:rsidP="008A6E0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57822D5" wp14:editId="3CDCF050">
                  <wp:extent cx="6092455" cy="1446028"/>
                  <wp:effectExtent l="0" t="0" r="3810" b="1905"/>
                  <wp:docPr id="1" name="Gráfico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8A6E01" w:rsidRPr="002A1932" w:rsidTr="00511DDE">
        <w:trPr>
          <w:trHeight w:val="2545"/>
          <w:jc w:val="center"/>
        </w:trPr>
        <w:tc>
          <w:tcPr>
            <w:tcW w:w="9972" w:type="dxa"/>
            <w:tcBorders>
              <w:top w:val="nil"/>
              <w:bottom w:val="nil"/>
            </w:tcBorders>
          </w:tcPr>
          <w:p w:rsidR="008A6E01" w:rsidRPr="002A1932" w:rsidRDefault="008A6E01" w:rsidP="008A6E01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B5DAC8" wp14:editId="1496E601">
                  <wp:extent cx="6198781" cy="1360967"/>
                  <wp:effectExtent l="0" t="0" r="0" b="0"/>
                  <wp:docPr id="11" name="Gráfico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8A6E01" w:rsidRPr="002A1932" w:rsidTr="00511DDE">
        <w:trPr>
          <w:trHeight w:val="2545"/>
          <w:jc w:val="center"/>
        </w:trPr>
        <w:tc>
          <w:tcPr>
            <w:tcW w:w="9972" w:type="dxa"/>
            <w:tcBorders>
              <w:top w:val="nil"/>
              <w:bottom w:val="nil"/>
            </w:tcBorders>
          </w:tcPr>
          <w:p w:rsidR="008A6E01" w:rsidRPr="002A1932" w:rsidRDefault="008A6E01" w:rsidP="008A6E0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932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C026271" wp14:editId="02877E18">
                  <wp:extent cx="6049925" cy="1541721"/>
                  <wp:effectExtent l="0" t="0" r="8255" b="1905"/>
                  <wp:docPr id="12" name="Gráfico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8A6E01" w:rsidRDefault="008A6E01" w:rsidP="008A6E0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91448" w:rsidRDefault="008A6E01" w:rsidP="008A6E01">
      <w:pPr>
        <w:spacing w:line="480" w:lineRule="auto"/>
      </w:pPr>
      <w:r w:rsidRPr="002A1932">
        <w:rPr>
          <w:rFonts w:ascii="Times New Roman" w:hAnsi="Times New Roman" w:cs="Times New Roman"/>
          <w:b/>
          <w:sz w:val="24"/>
          <w:szCs w:val="24"/>
        </w:rPr>
        <w:t xml:space="preserve">Figura 2 – </w:t>
      </w:r>
      <w:r w:rsidRPr="002A1932">
        <w:rPr>
          <w:rFonts w:ascii="Times New Roman" w:hAnsi="Times New Roman" w:cs="Times New Roman"/>
          <w:sz w:val="24"/>
          <w:szCs w:val="24"/>
        </w:rPr>
        <w:t xml:space="preserve">Resultados da análise de regressão logística dos descritores de Estilo de Vida considerados de risco para as DCNT, nas populações ribeirinhas de Santa </w:t>
      </w:r>
      <w:proofErr w:type="gramStart"/>
      <w:r w:rsidRPr="002A1932">
        <w:rPr>
          <w:rFonts w:ascii="Times New Roman" w:hAnsi="Times New Roman" w:cs="Times New Roman"/>
          <w:sz w:val="24"/>
          <w:szCs w:val="24"/>
        </w:rPr>
        <w:t>Isabel</w:t>
      </w:r>
      <w:proofErr w:type="gramEnd"/>
      <w:r w:rsidRPr="002A1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1932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2A1932">
        <w:rPr>
          <w:rFonts w:ascii="Times New Roman" w:hAnsi="Times New Roman" w:cs="Times New Roman"/>
          <w:sz w:val="24"/>
          <w:szCs w:val="24"/>
        </w:rPr>
        <w:t xml:space="preserve"> Rio Negro (barra escura) e de Tefé (barra cinza). * Valor de p&lt;0,05.</w:t>
      </w:r>
      <w:bookmarkStart w:id="0" w:name="_GoBack"/>
      <w:bookmarkEnd w:id="0"/>
    </w:p>
    <w:sectPr w:rsidR="006914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E01"/>
    <w:rsid w:val="00691448"/>
    <w:rsid w:val="008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E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A6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Descritor de Estilo de Vida: SEDENTARISMO</a:t>
            </a:r>
          </a:p>
        </c:rich>
      </c:tx>
      <c:layout>
        <c:manualLayout>
          <c:xMode val="edge"/>
          <c:yMode val="edge"/>
          <c:x val="0.388354448247873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510245084280037"/>
          <c:y val="0.24813344820191791"/>
          <c:w val="0.38289859639965268"/>
          <c:h val="0.7471313225677298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Plan1!$G$6</c:f>
              <c:strCache>
                <c:ptCount val="1"/>
                <c:pt idx="0">
                  <c:v>Sedentarismo</c:v>
                </c:pt>
              </c:strCache>
            </c:strRef>
          </c:tx>
          <c:spPr>
            <a:solidFill>
              <a:schemeClr val="tx1">
                <a:lumMod val="95000"/>
                <a:lumOff val="5000"/>
              </a:schemeClr>
            </a:solidFill>
          </c:spPr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/>
                      <a:t>0,91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0,60-1,39)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/>
                      <a:t>0,65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0,42-1,02)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/>
                      <a:t>0,77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0,52-1,13)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/>
                      <a:t>0,41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0,33-5,09)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/>
                      <a:t>1,33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0,13-3,22)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900"/>
                      <a:t>3,31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0,37-9,43)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Plan1!$H$4:$M$5</c:f>
              <c:multiLvlStrCache>
                <c:ptCount val="6"/>
                <c:lvl>
                  <c:pt idx="0">
                    <c:v>Diabetes mellitus</c:v>
                  </c:pt>
                  <c:pt idx="1">
                    <c:v>Obesidade</c:v>
                  </c:pt>
                  <c:pt idx="2">
                    <c:v>Hipertensão Arterial</c:v>
                  </c:pt>
                  <c:pt idx="3">
                    <c:v>Diabetes mellitus</c:v>
                  </c:pt>
                  <c:pt idx="4">
                    <c:v>Obesidade</c:v>
                  </c:pt>
                  <c:pt idx="5">
                    <c:v>Hipertensão Arterial</c:v>
                  </c:pt>
                </c:lvl>
                <c:lvl>
                  <c:pt idx="0">
                    <c:v>Tefé</c:v>
                  </c:pt>
                  <c:pt idx="3">
                    <c:v>Santa Isabel do Rio Negro</c:v>
                  </c:pt>
                </c:lvl>
              </c:multiLvlStrCache>
            </c:multiLvlStrRef>
          </c:cat>
          <c:val>
            <c:numRef>
              <c:f>Plan1!$H$6:$M$6</c:f>
              <c:numCache>
                <c:formatCode>General</c:formatCode>
                <c:ptCount val="6"/>
                <c:pt idx="0">
                  <c:v>0.91</c:v>
                </c:pt>
                <c:pt idx="1">
                  <c:v>0.65</c:v>
                </c:pt>
                <c:pt idx="2">
                  <c:v>0.77</c:v>
                </c:pt>
                <c:pt idx="3">
                  <c:v>0.41</c:v>
                </c:pt>
                <c:pt idx="4">
                  <c:v>1.33</c:v>
                </c:pt>
                <c:pt idx="5">
                  <c:v>3.31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3319936"/>
        <c:axId val="35521280"/>
      </c:barChart>
      <c:catAx>
        <c:axId val="3331993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5521280"/>
        <c:crosses val="autoZero"/>
        <c:auto val="1"/>
        <c:lblAlgn val="ctr"/>
        <c:lblOffset val="100"/>
        <c:noMultiLvlLbl val="0"/>
      </c:catAx>
      <c:valAx>
        <c:axId val="355212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3331993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en-US" sz="1100"/>
              <a:t>Descritor de Estilo de Vida: TABAGISMO</a:t>
            </a:r>
          </a:p>
        </c:rich>
      </c:tx>
      <c:layout>
        <c:manualLayout>
          <c:xMode val="edge"/>
          <c:yMode val="edge"/>
          <c:x val="0.4073500902838800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6284182325524972"/>
          <c:y val="0.2341900566208972"/>
          <c:w val="0.39692395631780802"/>
          <c:h val="0.75913229343547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Plan1!$G$12</c:f>
              <c:strCache>
                <c:ptCount val="1"/>
                <c:pt idx="0">
                  <c:v>Tabagismo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/>
                      <a:t>0,64 (IC</a:t>
                    </a:r>
                    <a:r>
                      <a:rPr lang="en-US" sz="900" baseline="-25000"/>
                      <a:t>95%</a:t>
                    </a:r>
                    <a:r>
                      <a:rPr lang="en-US" sz="900"/>
                      <a:t>:0,26-1,62)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/>
                      <a:t>1,92 (IC</a:t>
                    </a:r>
                    <a:r>
                      <a:rPr lang="en-US" sz="900" baseline="-25000"/>
                      <a:t>95%</a:t>
                    </a:r>
                    <a:r>
                      <a:rPr lang="en-US" sz="900"/>
                      <a:t>:0,86-4,28)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/>
                      <a:t>0,87 (IC</a:t>
                    </a:r>
                    <a:r>
                      <a:rPr lang="en-US" sz="900" baseline="-25000"/>
                      <a:t>95%</a:t>
                    </a:r>
                    <a:r>
                      <a:rPr lang="en-US" sz="900"/>
                      <a:t>:0,41-1,85)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/>
                      <a:t>7,28(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1,20-44,25)*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/>
                      <a:t>3,05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1,10-8,48)*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900"/>
                      <a:t>1,88 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0,69-5,13)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Plan1!$H$10:$M$11</c:f>
              <c:multiLvlStrCache>
                <c:ptCount val="6"/>
                <c:lvl>
                  <c:pt idx="0">
                    <c:v>Diabetes mellitus</c:v>
                  </c:pt>
                  <c:pt idx="1">
                    <c:v>Obesidade</c:v>
                  </c:pt>
                  <c:pt idx="2">
                    <c:v>Hipertensão Arterial</c:v>
                  </c:pt>
                  <c:pt idx="3">
                    <c:v>Diabetes mellitus</c:v>
                  </c:pt>
                  <c:pt idx="4">
                    <c:v>Obesidade</c:v>
                  </c:pt>
                  <c:pt idx="5">
                    <c:v>Hipertensão Arterial</c:v>
                  </c:pt>
                </c:lvl>
                <c:lvl>
                  <c:pt idx="0">
                    <c:v>Tefé</c:v>
                  </c:pt>
                  <c:pt idx="3">
                    <c:v>Santa Isabel do Rio Negro</c:v>
                  </c:pt>
                </c:lvl>
              </c:multiLvlStrCache>
            </c:multiLvlStrRef>
          </c:cat>
          <c:val>
            <c:numRef>
              <c:f>Plan1!$H$12:$M$12</c:f>
              <c:numCache>
                <c:formatCode>General</c:formatCode>
                <c:ptCount val="6"/>
                <c:pt idx="0">
                  <c:v>0.64</c:v>
                </c:pt>
                <c:pt idx="1">
                  <c:v>1.92</c:v>
                </c:pt>
                <c:pt idx="2">
                  <c:v>0.87</c:v>
                </c:pt>
                <c:pt idx="3">
                  <c:v>7.28</c:v>
                </c:pt>
                <c:pt idx="4">
                  <c:v>3.05</c:v>
                </c:pt>
                <c:pt idx="5">
                  <c:v>1.88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5601408"/>
        <c:axId val="35915264"/>
      </c:barChart>
      <c:catAx>
        <c:axId val="3560140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5915264"/>
        <c:crosses val="autoZero"/>
        <c:auto val="1"/>
        <c:lblAlgn val="ctr"/>
        <c:lblOffset val="100"/>
        <c:noMultiLvlLbl val="0"/>
      </c:catAx>
      <c:valAx>
        <c:axId val="359152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6014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9"/>
    </mc:Choice>
    <mc:Fallback>
      <c:style val="9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pt-BR" sz="1100"/>
              <a:t>Descritor de Estilo de Vida: ETILISMO</a:t>
            </a:r>
          </a:p>
        </c:rich>
      </c:tx>
      <c:layout>
        <c:manualLayout>
          <c:xMode val="edge"/>
          <c:yMode val="edge"/>
          <c:x val="0.39941933164460719"/>
          <c:y val="3.577859318883037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5893519341148855"/>
          <c:y val="0.23562026934519464"/>
          <c:w val="0.36083771904121897"/>
          <c:h val="0.716241424757527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Plan1!$G$17</c:f>
              <c:strCache>
                <c:ptCount val="1"/>
                <c:pt idx="0">
                  <c:v>Etilismo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bg1">
                  <a:lumMod val="85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Pt>
            <c:idx val="5"/>
            <c:invertIfNegative val="0"/>
            <c:bubble3D val="0"/>
            <c:spPr>
              <a:solidFill>
                <a:schemeClr val="tx1">
                  <a:lumMod val="95000"/>
                  <a:lumOff val="5000"/>
                </a:schemeClr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sz="900"/>
                      <a:t>0,95(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0,61-1,46)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sz="900"/>
                      <a:t>1,16(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0,74-1,87)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sz="900"/>
                      <a:t>0,89(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0,60-1,32)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sz="900"/>
                      <a:t>1,71(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0,33-5,09)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 sz="900"/>
                      <a:t>0,61(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0,22-1,67)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 sz="900"/>
                      <a:t>1,64(</a:t>
                    </a:r>
                    <a:r>
                      <a:rPr lang="en-US" sz="900" b="0" i="0" u="none" strike="noStrike" baseline="0">
                        <a:effectLst/>
                      </a:rPr>
                      <a:t>IC</a:t>
                    </a:r>
                    <a:r>
                      <a:rPr lang="en-US" sz="900" b="0" i="0" u="none" strike="noStrike" baseline="-25000">
                        <a:effectLst/>
                      </a:rPr>
                      <a:t>95%</a:t>
                    </a:r>
                    <a:r>
                      <a:rPr lang="en-US" sz="900" b="0" i="0" u="none" strike="noStrike" baseline="0">
                        <a:effectLst/>
                      </a:rPr>
                      <a:t>:</a:t>
                    </a:r>
                    <a:r>
                      <a:rPr lang="en-US" sz="900"/>
                      <a:t>0,61-4,41)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/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multiLvlStrRef>
              <c:f>Plan1!$H$15:$M$16</c:f>
              <c:multiLvlStrCache>
                <c:ptCount val="6"/>
                <c:lvl>
                  <c:pt idx="0">
                    <c:v>Diabetes mellitus</c:v>
                  </c:pt>
                  <c:pt idx="1">
                    <c:v>Obesidade</c:v>
                  </c:pt>
                  <c:pt idx="2">
                    <c:v>Hipertensão Arterial</c:v>
                  </c:pt>
                  <c:pt idx="3">
                    <c:v>Diabetes mellitus</c:v>
                  </c:pt>
                  <c:pt idx="4">
                    <c:v>Obesidade</c:v>
                  </c:pt>
                  <c:pt idx="5">
                    <c:v>Hipertensão Arterial</c:v>
                  </c:pt>
                </c:lvl>
                <c:lvl>
                  <c:pt idx="0">
                    <c:v>Tefé</c:v>
                  </c:pt>
                  <c:pt idx="3">
                    <c:v>Santa Isabel do Rio Negro</c:v>
                  </c:pt>
                </c:lvl>
              </c:multiLvlStrCache>
            </c:multiLvlStrRef>
          </c:cat>
          <c:val>
            <c:numRef>
              <c:f>Plan1!$H$17:$M$17</c:f>
              <c:numCache>
                <c:formatCode>General</c:formatCode>
                <c:ptCount val="6"/>
                <c:pt idx="0">
                  <c:v>0.95</c:v>
                </c:pt>
                <c:pt idx="1">
                  <c:v>1.1599999999999999</c:v>
                </c:pt>
                <c:pt idx="2">
                  <c:v>0.89</c:v>
                </c:pt>
                <c:pt idx="3">
                  <c:v>1.71</c:v>
                </c:pt>
                <c:pt idx="4">
                  <c:v>0.61</c:v>
                </c:pt>
                <c:pt idx="5">
                  <c:v>1.64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8037376"/>
        <c:axId val="38038912"/>
      </c:barChart>
      <c:catAx>
        <c:axId val="3803737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pt-BR"/>
          </a:p>
        </c:txPr>
        <c:crossAx val="38038912"/>
        <c:crosses val="autoZero"/>
        <c:auto val="1"/>
        <c:lblAlgn val="ctr"/>
        <c:lblOffset val="100"/>
        <c:noMultiLvlLbl val="0"/>
      </c:catAx>
      <c:valAx>
        <c:axId val="3803891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803737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Regina Sampaio Freitas</dc:creator>
  <cp:lastModifiedBy>Silvia Regina Sampaio Freitas</cp:lastModifiedBy>
  <cp:revision>1</cp:revision>
  <dcterms:created xsi:type="dcterms:W3CDTF">2016-11-01T17:28:00Z</dcterms:created>
  <dcterms:modified xsi:type="dcterms:W3CDTF">2016-11-01T17:29:00Z</dcterms:modified>
</cp:coreProperties>
</file>