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8E" w:rsidRPr="004C4B8E" w:rsidRDefault="004C4B8E" w:rsidP="004C4B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4B8E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4C4B8E" w:rsidRDefault="004C4B8E" w:rsidP="004C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1AE" w:rsidRDefault="004C4B8E" w:rsidP="004C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8E">
        <w:rPr>
          <w:rFonts w:ascii="Times New Roman" w:hAnsi="Times New Roman" w:cs="Times New Roman"/>
          <w:sz w:val="24"/>
          <w:szCs w:val="24"/>
        </w:rPr>
        <w:t xml:space="preserve">O presente artigo visa expandir a discussão sobre a legitimidade das práticas de gestão de negócios a partir </w:t>
      </w:r>
      <w:r>
        <w:rPr>
          <w:rFonts w:ascii="Times New Roman" w:hAnsi="Times New Roman" w:cs="Times New Roman"/>
          <w:sz w:val="24"/>
          <w:szCs w:val="24"/>
        </w:rPr>
        <w:t>da Catira</w:t>
      </w:r>
      <w:r w:rsidRPr="004C4B8E">
        <w:rPr>
          <w:rFonts w:ascii="Times New Roman" w:hAnsi="Times New Roman" w:cs="Times New Roman"/>
          <w:sz w:val="24"/>
          <w:szCs w:val="24"/>
        </w:rPr>
        <w:t xml:space="preserve"> nas regiões do Triângulo Mineiro e do Alto Paranaíba. Por meio deste artigo, serão analisadas práticas alternativas, bem como hábitos e a construção da identidade desses agentes que comporão uma dinâmica de negócios rurais importantes no contexto. O objetivo do texto é demonstrar que existem formas não-tradicionais e não-formais de fazer negócio que envolvem relações sociais mais profundas do que a mera troca de valores pecuniários. Para tal, 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4C4B8E">
        <w:rPr>
          <w:rFonts w:ascii="Times New Roman" w:hAnsi="Times New Roman" w:cs="Times New Roman"/>
          <w:sz w:val="24"/>
          <w:szCs w:val="24"/>
        </w:rPr>
        <w:t>a pesquisa qualitativa traz</w:t>
      </w:r>
      <w:r>
        <w:rPr>
          <w:rFonts w:ascii="Times New Roman" w:hAnsi="Times New Roman" w:cs="Times New Roman"/>
          <w:sz w:val="24"/>
          <w:szCs w:val="24"/>
        </w:rPr>
        <w:t>, a partir da análise francesa do discurso,</w:t>
      </w:r>
      <w:r w:rsidRPr="004C4B8E">
        <w:rPr>
          <w:rFonts w:ascii="Times New Roman" w:hAnsi="Times New Roman" w:cs="Times New Roman"/>
          <w:sz w:val="24"/>
          <w:szCs w:val="24"/>
        </w:rPr>
        <w:t xml:space="preserve"> aspectos relevantes que descrevem e analisam a dinâmica e a ritualística de escambo patrimonial entre os agentes locais.</w:t>
      </w:r>
    </w:p>
    <w:p w:rsidR="004C4B8E" w:rsidRDefault="004C4B8E" w:rsidP="004C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8E" w:rsidRDefault="004C4B8E" w:rsidP="004C4B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B8E" w:rsidRPr="004C4B8E" w:rsidRDefault="004C4B8E" w:rsidP="004C4B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B8E">
        <w:rPr>
          <w:rFonts w:ascii="Times New Roman" w:hAnsi="Times New Roman" w:cs="Times New Roman"/>
          <w:b/>
          <w:sz w:val="24"/>
          <w:szCs w:val="24"/>
        </w:rPr>
        <w:t>DECLARAÇÃO DE RELEVÂNCIA</w:t>
      </w:r>
    </w:p>
    <w:p w:rsidR="004C4B8E" w:rsidRDefault="004C4B8E" w:rsidP="004C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8E" w:rsidRPr="004C4B8E" w:rsidRDefault="004C4B8E" w:rsidP="004C4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relevância do trabalho diz respeito ao crescente movimento de se pensar a administração a partir do campo em que ocorre, mais especificamente, na América do Sul. A administração hegemônica pregada a partir de literaturas americanas trazem rituais e símbolos que têm sido continuamente naturalizadas na área. Este artigo vai por uma via alternativa, pensando as relações de negócio a partir das raízes sociais em contextos em que o capitalismo moderno não fora completamente naturalizado pelos agentes. A pesquisa revelou que as práticas de troca seguem ritualísticas próprias, bem como denotam racionalidades instrumentais específicas que remetem a uma forma profissional e alternativa de realização de acordos de compra e venda.</w:t>
      </w:r>
    </w:p>
    <w:sectPr w:rsidR="004C4B8E" w:rsidRPr="004C4B8E" w:rsidSect="004C4B8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8E"/>
    <w:rsid w:val="001D21AE"/>
    <w:rsid w:val="004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E651"/>
  <w15:chartTrackingRefBased/>
  <w15:docId w15:val="{1F794DA3-CBE3-434F-8CA8-66110376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1307</Characters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2018-02-21T20:15:00Z</dcterms:created>
  <dcterms:modified xsi:type="dcterms:W3CDTF">2018-02-21T20:24:00Z</dcterms:modified>
</cp:coreProperties>
</file>