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04" w:rsidRPr="005C529F" w:rsidRDefault="005C529F" w:rsidP="00877A04">
      <w:pPr>
        <w:pStyle w:val="SemEspaamento"/>
        <w:jc w:val="both"/>
        <w:rPr>
          <w:rFonts w:ascii="Times New Roman" w:hAnsi="Times New Roman"/>
          <w:b/>
          <w:szCs w:val="24"/>
        </w:rPr>
      </w:pPr>
      <w:r w:rsidRPr="005C529F">
        <w:rPr>
          <w:rFonts w:ascii="Times New Roman" w:hAnsi="Times New Roman"/>
          <w:b/>
          <w:szCs w:val="24"/>
        </w:rPr>
        <w:t xml:space="preserve">MORTALIDADE EM ACIDENTES AUTOMOBILÍSTICOS: </w:t>
      </w:r>
      <w:r w:rsidR="00877A04" w:rsidRPr="005C529F">
        <w:rPr>
          <w:rFonts w:ascii="Times New Roman" w:hAnsi="Times New Roman"/>
          <w:b/>
          <w:szCs w:val="24"/>
        </w:rPr>
        <w:t xml:space="preserve">TENDÊNCIA TEMPORAL ENTRE 1996 E 2012. </w:t>
      </w:r>
    </w:p>
    <w:p w:rsidR="00D77FCA" w:rsidRPr="005C529F" w:rsidRDefault="00D77FCA" w:rsidP="00A67957">
      <w:pPr>
        <w:pStyle w:val="SemEspaamento"/>
        <w:jc w:val="both"/>
        <w:rPr>
          <w:rFonts w:ascii="Times New Roman" w:hAnsi="Times New Roman"/>
          <w:b/>
          <w:szCs w:val="24"/>
        </w:rPr>
      </w:pPr>
    </w:p>
    <w:p w:rsidR="00877A04" w:rsidRPr="005C529F" w:rsidRDefault="005C529F" w:rsidP="00877A04">
      <w:pPr>
        <w:pStyle w:val="Pr-formataoHTML"/>
        <w:shd w:val="clear" w:color="auto" w:fill="FFFFFF"/>
        <w:jc w:val="both"/>
        <w:rPr>
          <w:rFonts w:ascii="Times New Roman" w:hAnsi="Times New Roman" w:cs="Times New Roman"/>
          <w:b/>
          <w:color w:val="212121"/>
          <w:sz w:val="24"/>
          <w:szCs w:val="24"/>
          <w:lang w:val="en-US"/>
        </w:rPr>
      </w:pPr>
      <w:r w:rsidRPr="005C529F">
        <w:rPr>
          <w:rFonts w:ascii="Times New Roman" w:hAnsi="Times New Roman" w:cs="Times New Roman"/>
          <w:b/>
          <w:color w:val="212121"/>
          <w:sz w:val="24"/>
          <w:szCs w:val="24"/>
          <w:lang w:val="en-US"/>
        </w:rPr>
        <w:t xml:space="preserve">MORTALITY IN AUTOMOTIVES ACCIDENTS:  </w:t>
      </w:r>
      <w:r w:rsidR="00877A04" w:rsidRPr="005C529F">
        <w:rPr>
          <w:rFonts w:ascii="Times New Roman" w:hAnsi="Times New Roman" w:cs="Times New Roman"/>
          <w:b/>
          <w:color w:val="212121"/>
          <w:sz w:val="24"/>
          <w:szCs w:val="24"/>
          <w:lang w:val="en-US"/>
        </w:rPr>
        <w:t>TEMPORAL TREND BETWEEN 1996 AND 2012.</w:t>
      </w:r>
      <w:r w:rsidR="00F9705F" w:rsidRPr="005C529F">
        <w:rPr>
          <w:rFonts w:ascii="Times New Roman" w:hAnsi="Times New Roman" w:cs="Times New Roman"/>
          <w:b/>
          <w:color w:val="212121"/>
          <w:sz w:val="24"/>
          <w:szCs w:val="24"/>
          <w:lang w:val="en-US"/>
        </w:rPr>
        <w:t xml:space="preserve"> </w:t>
      </w:r>
    </w:p>
    <w:p w:rsidR="00D77FCA" w:rsidRPr="005C529F" w:rsidRDefault="00D77FCA" w:rsidP="00A67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lang w:val="en-US"/>
        </w:rPr>
      </w:pPr>
    </w:p>
    <w:p w:rsidR="005C529F" w:rsidRPr="005C529F" w:rsidRDefault="005C529F" w:rsidP="005C529F">
      <w:pPr>
        <w:pStyle w:val="Pr-formataoHTML"/>
        <w:shd w:val="clear" w:color="auto" w:fill="FFFFFF"/>
        <w:jc w:val="both"/>
        <w:rPr>
          <w:rFonts w:ascii="Times New Roman" w:hAnsi="Times New Roman" w:cs="Times New Roman"/>
          <w:b/>
          <w:color w:val="212121"/>
          <w:sz w:val="24"/>
          <w:szCs w:val="24"/>
        </w:rPr>
      </w:pPr>
      <w:r w:rsidRPr="005C529F">
        <w:rPr>
          <w:rFonts w:ascii="Times New Roman" w:hAnsi="Times New Roman" w:cs="Times New Roman"/>
          <w:b/>
          <w:color w:val="212121"/>
          <w:sz w:val="24"/>
          <w:szCs w:val="24"/>
          <w:lang w:val="es-ES"/>
        </w:rPr>
        <w:t>MORTALIDAD EN ACCIDENTES AUTOMOVILÍSTICOS: TENDENCIA TEMPORAL ENTRE 1996 E 2012.</w:t>
      </w:r>
    </w:p>
    <w:p w:rsidR="00D77FCA" w:rsidRPr="00D77FCA" w:rsidRDefault="00D77FCA" w:rsidP="00D77F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rPr>
      </w:pPr>
    </w:p>
    <w:p w:rsidR="00DB5BDF" w:rsidRDefault="00345E67" w:rsidP="009358F2">
      <w:pPr>
        <w:spacing w:line="480" w:lineRule="auto"/>
        <w:jc w:val="both"/>
        <w:rPr>
          <w:b/>
          <w:bCs/>
        </w:rPr>
      </w:pPr>
      <w:r w:rsidRPr="00BF2151">
        <w:rPr>
          <w:b/>
          <w:bCs/>
        </w:rPr>
        <w:t>RESUMO</w:t>
      </w:r>
    </w:p>
    <w:p w:rsidR="00266909" w:rsidRPr="00DB5BDF" w:rsidRDefault="00DB5BDF" w:rsidP="0098492F">
      <w:pPr>
        <w:jc w:val="both"/>
        <w:rPr>
          <w:b/>
          <w:bCs/>
        </w:rPr>
      </w:pPr>
      <w:r w:rsidRPr="00DB5BDF">
        <w:rPr>
          <w:bCs/>
        </w:rPr>
        <w:t>Os objetivos</w:t>
      </w:r>
      <w:r w:rsidR="00BF2151" w:rsidRPr="00BF2151">
        <w:rPr>
          <w:b/>
          <w:bCs/>
        </w:rPr>
        <w:t xml:space="preserve"> </w:t>
      </w:r>
      <w:r>
        <w:t>do estudo foram d</w:t>
      </w:r>
      <w:r w:rsidR="00BF2151" w:rsidRPr="00BF2151">
        <w:t xml:space="preserve">escrever as características sócio-demográficas </w:t>
      </w:r>
      <w:r>
        <w:t>dos mortos em</w:t>
      </w:r>
      <w:r w:rsidR="00E41349">
        <w:t xml:space="preserve"> </w:t>
      </w:r>
      <w:r w:rsidR="00345E67">
        <w:t xml:space="preserve">acidentes automobilísticos </w:t>
      </w:r>
      <w:r w:rsidR="00BF2151" w:rsidRPr="00BF2151">
        <w:t xml:space="preserve">e </w:t>
      </w:r>
      <w:r w:rsidR="00BF2151">
        <w:t>a</w:t>
      </w:r>
      <w:r w:rsidR="00BF2151" w:rsidRPr="00BF2151">
        <w:t>nalisar a tendência temporal da mortalidade entre 1996 e 2012.</w:t>
      </w:r>
      <w:r w:rsidR="00BF2151">
        <w:t xml:space="preserve"> Estudo epidemiológico</w:t>
      </w:r>
      <w:r>
        <w:t xml:space="preserve"> da</w:t>
      </w:r>
      <w:r w:rsidR="00BF2151">
        <w:t xml:space="preserve"> mortalidade de 368 vítimas, residentes em Maringá</w:t>
      </w:r>
      <w:r>
        <w:t>, Paraná</w:t>
      </w:r>
      <w:r w:rsidR="00BF2151">
        <w:t xml:space="preserve">. </w:t>
      </w:r>
      <w:r w:rsidRPr="00DB5BDF">
        <w:t>Os dados foram extraídos do Sistema de Informação sobre Mortalidade do Departamento de Informática do Sistema Único de Saúde</w:t>
      </w:r>
      <w:r>
        <w:t>.</w:t>
      </w:r>
      <w:r w:rsidR="00BF2151">
        <w:t xml:space="preserve"> </w:t>
      </w:r>
      <w:r w:rsidR="00BF2151" w:rsidRPr="00E318CB">
        <w:t xml:space="preserve">A análise de tendência </w:t>
      </w:r>
      <w:r w:rsidR="00BF2151">
        <w:t xml:space="preserve">temporal </w:t>
      </w:r>
      <w:r w:rsidR="00BF2151" w:rsidRPr="00E318CB">
        <w:t>da mortalidade foi realizada a partir do ajuste de um modelo de regressão de Poisson para séries temporais</w:t>
      </w:r>
      <w:r w:rsidR="00BF2151">
        <w:t>.</w:t>
      </w:r>
      <w:r w:rsidR="003D668F">
        <w:t xml:space="preserve"> </w:t>
      </w:r>
      <w:r w:rsidR="005D0693">
        <w:t>A maioria das vítimas (</w:t>
      </w:r>
      <w:r w:rsidR="005D0693" w:rsidRPr="003567CA">
        <w:t>76,35%</w:t>
      </w:r>
      <w:r w:rsidR="005D0693">
        <w:t>) era do sexo masculino, na faixa etária de 20 e 39 anos (</w:t>
      </w:r>
      <w:r w:rsidR="005D0693" w:rsidRPr="003567CA">
        <w:t>48,36%</w:t>
      </w:r>
      <w:r w:rsidR="005D0693">
        <w:t>), brancos (</w:t>
      </w:r>
      <w:r w:rsidR="005D0693" w:rsidRPr="009920C8">
        <w:t>81,52%</w:t>
      </w:r>
      <w:r w:rsidR="005D0693">
        <w:t xml:space="preserve">), com escolaridade entre </w:t>
      </w:r>
      <w:proofErr w:type="gramStart"/>
      <w:r w:rsidR="005D0693">
        <w:t>8</w:t>
      </w:r>
      <w:proofErr w:type="gramEnd"/>
      <w:r w:rsidR="005D0693">
        <w:t xml:space="preserve"> e 11 anos de estudo (</w:t>
      </w:r>
      <w:r w:rsidR="005D0693" w:rsidRPr="009920C8">
        <w:t>28,54%</w:t>
      </w:r>
      <w:r w:rsidR="005D0693">
        <w:t>) e solteir</w:t>
      </w:r>
      <w:r w:rsidR="0098492F">
        <w:t>o</w:t>
      </w:r>
      <w:r w:rsidR="005D0693">
        <w:t>s (</w:t>
      </w:r>
      <w:r w:rsidR="005D0693" w:rsidRPr="009920C8">
        <w:t>44,30%</w:t>
      </w:r>
      <w:r w:rsidR="005D0693">
        <w:t xml:space="preserve">). Os óbitos ocorreram com maior frequência na </w:t>
      </w:r>
      <w:r w:rsidR="005D0693" w:rsidRPr="00E84ECA">
        <w:t>via pública (62,77%)</w:t>
      </w:r>
      <w:r w:rsidR="005D0693">
        <w:t xml:space="preserve"> e no momento do acidente, apenas 8,96% dos indivíduos, estavam trabalhando. Houve predomínio das colisões com automóvel/</w:t>
      </w:r>
      <w:proofErr w:type="spellStart"/>
      <w:r w:rsidR="00EC0D00" w:rsidRPr="00EA3D0B">
        <w:t>pickup</w:t>
      </w:r>
      <w:proofErr w:type="spellEnd"/>
      <w:r w:rsidR="00EC0D00">
        <w:t>/</w:t>
      </w:r>
      <w:r w:rsidR="005D0693">
        <w:t>caminhonete (</w:t>
      </w:r>
      <w:r w:rsidR="005D0693" w:rsidRPr="00E84ECA">
        <w:t>27,17%</w:t>
      </w:r>
      <w:r w:rsidR="005D0693">
        <w:t xml:space="preserve">). </w:t>
      </w:r>
      <w:r w:rsidR="00266909" w:rsidRPr="00F13754">
        <w:t xml:space="preserve">A média </w:t>
      </w:r>
      <w:r w:rsidR="00266909">
        <w:t xml:space="preserve">mensal </w:t>
      </w:r>
      <w:r w:rsidR="00266909" w:rsidRPr="00F13754">
        <w:t>de mortos foi de 1,8</w:t>
      </w:r>
      <w:r w:rsidR="00266909">
        <w:t xml:space="preserve">. </w:t>
      </w:r>
      <w:r w:rsidR="00EF79E1">
        <w:t>Anualmente, o</w:t>
      </w:r>
      <w:r w:rsidR="00266909">
        <w:t xml:space="preserve">bservou-se </w:t>
      </w:r>
      <w:r w:rsidR="00266909" w:rsidRPr="00D306DE">
        <w:t xml:space="preserve">um </w:t>
      </w:r>
      <w:r w:rsidR="0098492F">
        <w:t>aumento</w:t>
      </w:r>
      <w:r w:rsidR="00266909" w:rsidRPr="00D306DE">
        <w:t xml:space="preserve"> de</w:t>
      </w:r>
      <w:r w:rsidR="00266909">
        <w:t xml:space="preserve"> </w:t>
      </w:r>
      <w:r w:rsidR="00266909" w:rsidRPr="00D306DE">
        <w:t>5</w:t>
      </w:r>
      <w:r w:rsidR="00266909">
        <w:t>,</w:t>
      </w:r>
      <w:r w:rsidR="003B481F">
        <w:t>2</w:t>
      </w:r>
      <w:r w:rsidR="00266909" w:rsidRPr="00D306DE">
        <w:t xml:space="preserve">% no número de </w:t>
      </w:r>
      <w:r w:rsidR="00266909">
        <w:t>óbitos</w:t>
      </w:r>
      <w:r w:rsidR="00266909" w:rsidRPr="00D306DE">
        <w:t>.</w:t>
      </w:r>
      <w:r w:rsidR="00B93156">
        <w:t xml:space="preserve"> </w:t>
      </w:r>
      <w:r w:rsidRPr="00DB5BDF">
        <w:t>Conclui-se que</w:t>
      </w:r>
      <w:r w:rsidR="00E81C76">
        <w:t xml:space="preserve"> </w:t>
      </w:r>
      <w:r>
        <w:t>e</w:t>
      </w:r>
      <w:r w:rsidR="00E81C76" w:rsidRPr="002C3801">
        <w:t xml:space="preserve">ntre os componentes das causas externas, </w:t>
      </w:r>
      <w:r w:rsidR="00E81C76">
        <w:t>os acidentes</w:t>
      </w:r>
      <w:r w:rsidR="00E81C76" w:rsidRPr="002C3801">
        <w:t xml:space="preserve"> de trânsito </w:t>
      </w:r>
      <w:r w:rsidR="00E81C76">
        <w:t xml:space="preserve">são responsáveis por uma </w:t>
      </w:r>
      <w:r w:rsidR="00E81C76" w:rsidRPr="002C3801">
        <w:t>mortalidade extremamente alta em todas as sociedades</w:t>
      </w:r>
      <w:r w:rsidR="00E81C76">
        <w:t xml:space="preserve">. </w:t>
      </w:r>
    </w:p>
    <w:p w:rsidR="00E81C76" w:rsidRDefault="00B85329" w:rsidP="0098492F">
      <w:pPr>
        <w:jc w:val="both"/>
      </w:pPr>
      <w:r>
        <w:rPr>
          <w:b/>
        </w:rPr>
        <w:t>Palavras-chave</w:t>
      </w:r>
      <w:r w:rsidR="00E81C76" w:rsidRPr="00CA58F0">
        <w:rPr>
          <w:b/>
        </w:rPr>
        <w:t>:</w:t>
      </w:r>
      <w:r w:rsidR="00E81C76" w:rsidRPr="0028542E">
        <w:t xml:space="preserve"> Epidemiologia; </w:t>
      </w:r>
      <w:r w:rsidR="006E0C4D">
        <w:rPr>
          <w:bCs/>
          <w:color w:val="000000"/>
        </w:rPr>
        <w:t>Estudos de séries t</w:t>
      </w:r>
      <w:r w:rsidR="00E81C76" w:rsidRPr="002E4E9D">
        <w:rPr>
          <w:bCs/>
          <w:color w:val="000000"/>
        </w:rPr>
        <w:t>emporais;</w:t>
      </w:r>
      <w:r w:rsidR="00E81C76">
        <w:rPr>
          <w:bCs/>
          <w:color w:val="000000"/>
        </w:rPr>
        <w:t xml:space="preserve"> </w:t>
      </w:r>
      <w:r w:rsidR="006E0C4D">
        <w:t>Causas externas; Acidentes de t</w:t>
      </w:r>
      <w:r w:rsidR="00E81C76" w:rsidRPr="0028542E">
        <w:t xml:space="preserve">rânsito; Mortalidade. </w:t>
      </w:r>
    </w:p>
    <w:p w:rsidR="002E0B7F" w:rsidRPr="00082D46" w:rsidRDefault="002E0B7F" w:rsidP="00514068">
      <w:pPr>
        <w:autoSpaceDE w:val="0"/>
        <w:autoSpaceDN w:val="0"/>
        <w:adjustRightInd w:val="0"/>
        <w:jc w:val="both"/>
        <w:rPr>
          <w:b/>
        </w:rPr>
      </w:pPr>
    </w:p>
    <w:p w:rsidR="00514068" w:rsidRDefault="00345E67" w:rsidP="00514068">
      <w:pPr>
        <w:autoSpaceDE w:val="0"/>
        <w:autoSpaceDN w:val="0"/>
        <w:adjustRightInd w:val="0"/>
        <w:jc w:val="both"/>
        <w:rPr>
          <w:b/>
          <w:lang w:val="en-US"/>
        </w:rPr>
      </w:pPr>
      <w:r w:rsidRPr="004335EC">
        <w:rPr>
          <w:b/>
          <w:lang w:val="en-US"/>
        </w:rPr>
        <w:t>ABSTRACT</w:t>
      </w:r>
    </w:p>
    <w:p w:rsidR="00DB5BDF" w:rsidRPr="00082D46" w:rsidRDefault="00DB5BDF" w:rsidP="00DB5BDF">
      <w:pPr>
        <w:pStyle w:val="Pr-formataoHTML"/>
        <w:shd w:val="clear" w:color="auto" w:fill="FFFFFF"/>
        <w:rPr>
          <w:rFonts w:ascii="inherit" w:hAnsi="inherit"/>
          <w:color w:val="212121"/>
          <w:lang w:val="en-US"/>
        </w:rPr>
      </w:pPr>
    </w:p>
    <w:p w:rsidR="00DB5BDF" w:rsidRPr="002E0B7F" w:rsidRDefault="00DB5BDF" w:rsidP="002E0B7F">
      <w:pPr>
        <w:pStyle w:val="Pr-formataoHTML"/>
        <w:shd w:val="clear" w:color="auto" w:fill="FFFFFF"/>
        <w:jc w:val="both"/>
        <w:rPr>
          <w:rFonts w:ascii="Times New Roman" w:hAnsi="Times New Roman" w:cs="Times New Roman"/>
          <w:color w:val="212121"/>
          <w:sz w:val="24"/>
          <w:szCs w:val="24"/>
          <w:lang w:val="en-US"/>
        </w:rPr>
      </w:pPr>
      <w:r w:rsidRPr="00082D46">
        <w:rPr>
          <w:rFonts w:ascii="Times New Roman" w:hAnsi="Times New Roman" w:cs="Times New Roman"/>
          <w:color w:val="212121"/>
          <w:sz w:val="24"/>
          <w:szCs w:val="24"/>
          <w:lang w:val="en-US"/>
        </w:rPr>
        <w:t xml:space="preserve">The </w:t>
      </w:r>
      <w:proofErr w:type="gramStart"/>
      <w:r w:rsidRPr="00082D46">
        <w:rPr>
          <w:rFonts w:ascii="Times New Roman" w:hAnsi="Times New Roman" w:cs="Times New Roman"/>
          <w:color w:val="212121"/>
          <w:sz w:val="24"/>
          <w:szCs w:val="24"/>
          <w:lang w:val="en-US"/>
        </w:rPr>
        <w:t>objective of the study were</w:t>
      </w:r>
      <w:proofErr w:type="gramEnd"/>
      <w:r w:rsidRPr="00082D46">
        <w:rPr>
          <w:rFonts w:ascii="Times New Roman" w:hAnsi="Times New Roman" w:cs="Times New Roman"/>
          <w:color w:val="212121"/>
          <w:sz w:val="24"/>
          <w:szCs w:val="24"/>
          <w:lang w:val="en-US"/>
        </w:rPr>
        <w:t xml:space="preserve"> to describe the socio-demographic characteristics of the dead in </w:t>
      </w:r>
      <w:r w:rsidR="00345E67">
        <w:rPr>
          <w:rFonts w:ascii="Times New Roman" w:hAnsi="Times New Roman" w:cs="Times New Roman"/>
          <w:color w:val="212121"/>
          <w:sz w:val="24"/>
          <w:szCs w:val="24"/>
          <w:lang w:val="en-US"/>
        </w:rPr>
        <w:t xml:space="preserve">automotives accidents </w:t>
      </w:r>
      <w:r w:rsidRPr="00082D46">
        <w:rPr>
          <w:rFonts w:ascii="Times New Roman" w:hAnsi="Times New Roman" w:cs="Times New Roman"/>
          <w:color w:val="212121"/>
          <w:sz w:val="24"/>
          <w:szCs w:val="24"/>
          <w:lang w:val="en-US"/>
        </w:rPr>
        <w:t xml:space="preserve">and to analyze the temporal trend of mortality between 1996 and 2012. </w:t>
      </w:r>
      <w:proofErr w:type="gramStart"/>
      <w:r w:rsidRPr="00082D46">
        <w:rPr>
          <w:rFonts w:ascii="Times New Roman" w:hAnsi="Times New Roman" w:cs="Times New Roman"/>
          <w:color w:val="212121"/>
          <w:sz w:val="24"/>
          <w:szCs w:val="24"/>
          <w:lang w:val="en-US"/>
        </w:rPr>
        <w:t xml:space="preserve">Epidemiological study of the mortality of 368 victims, residents in </w:t>
      </w:r>
      <w:proofErr w:type="spellStart"/>
      <w:r w:rsidRPr="00082D46">
        <w:rPr>
          <w:rFonts w:ascii="Times New Roman" w:hAnsi="Times New Roman" w:cs="Times New Roman"/>
          <w:color w:val="212121"/>
          <w:sz w:val="24"/>
          <w:szCs w:val="24"/>
          <w:lang w:val="en-US"/>
        </w:rPr>
        <w:t>Maringá</w:t>
      </w:r>
      <w:proofErr w:type="spellEnd"/>
      <w:r w:rsidRPr="00082D46">
        <w:rPr>
          <w:rFonts w:ascii="Times New Roman" w:hAnsi="Times New Roman" w:cs="Times New Roman"/>
          <w:color w:val="212121"/>
          <w:sz w:val="24"/>
          <w:szCs w:val="24"/>
          <w:lang w:val="en-US"/>
        </w:rPr>
        <w:t>, Paraná.</w:t>
      </w:r>
      <w:proofErr w:type="gramEnd"/>
      <w:r w:rsidRPr="00082D46">
        <w:rPr>
          <w:rFonts w:ascii="Times New Roman" w:hAnsi="Times New Roman" w:cs="Times New Roman"/>
          <w:color w:val="212121"/>
          <w:sz w:val="24"/>
          <w:szCs w:val="24"/>
          <w:lang w:val="en-US"/>
        </w:rPr>
        <w:t xml:space="preserve"> Data were extracted from the </w:t>
      </w:r>
      <w:r w:rsidR="0098492F" w:rsidRPr="00082D46">
        <w:rPr>
          <w:rFonts w:ascii="Times New Roman" w:hAnsi="Times New Roman" w:cs="Times New Roman"/>
          <w:sz w:val="24"/>
          <w:szCs w:val="24"/>
          <w:lang w:val="en-US"/>
        </w:rPr>
        <w:t>Mortality Information System of the Department of Informatics of the Unique Health System</w:t>
      </w:r>
      <w:r w:rsidRPr="00082D46">
        <w:rPr>
          <w:rFonts w:ascii="Times New Roman" w:hAnsi="Times New Roman" w:cs="Times New Roman"/>
          <w:color w:val="212121"/>
          <w:sz w:val="24"/>
          <w:szCs w:val="24"/>
          <w:lang w:val="en-US"/>
        </w:rPr>
        <w:t>. The trend analysis of mortality was performed from the adjustment of a Poisson regression model to time series. The majority of the victims (76.35%) were male, aged 20 and 39 years (48.36%), white (81.52%), with education between 8 and 11 years of schooling (28</w:t>
      </w:r>
      <w:r w:rsidR="0098492F" w:rsidRPr="00082D46">
        <w:rPr>
          <w:rFonts w:ascii="Times New Roman" w:hAnsi="Times New Roman" w:cs="Times New Roman"/>
          <w:color w:val="212121"/>
          <w:sz w:val="24"/>
          <w:szCs w:val="24"/>
          <w:lang w:val="en-US"/>
        </w:rPr>
        <w:t>.</w:t>
      </w:r>
      <w:r w:rsidRPr="00082D46">
        <w:rPr>
          <w:rFonts w:ascii="Times New Roman" w:hAnsi="Times New Roman" w:cs="Times New Roman"/>
          <w:color w:val="212121"/>
          <w:sz w:val="24"/>
          <w:szCs w:val="24"/>
          <w:lang w:val="en-US"/>
        </w:rPr>
        <w:t xml:space="preserve">54%) and single (44.30%). Deaths occurred more frequently on public roads (62.77%) and at the moment of the accident, only 8.96% of the individuals were working. There was a predominance of </w:t>
      </w:r>
      <w:r w:rsidR="00EC0D00">
        <w:rPr>
          <w:rFonts w:ascii="Times New Roman" w:hAnsi="Times New Roman" w:cs="Times New Roman"/>
          <w:color w:val="212121"/>
          <w:sz w:val="24"/>
          <w:szCs w:val="24"/>
          <w:lang w:val="en-US"/>
        </w:rPr>
        <w:t>car</w:t>
      </w:r>
      <w:r w:rsidRPr="00082D46">
        <w:rPr>
          <w:rFonts w:ascii="Times New Roman" w:hAnsi="Times New Roman" w:cs="Times New Roman"/>
          <w:color w:val="212121"/>
          <w:sz w:val="24"/>
          <w:szCs w:val="24"/>
          <w:lang w:val="en-US"/>
        </w:rPr>
        <w:t>/</w:t>
      </w:r>
      <w:r w:rsidR="0098492F" w:rsidRPr="002E0B7F">
        <w:rPr>
          <w:rFonts w:ascii="Times New Roman" w:hAnsi="Times New Roman" w:cs="Times New Roman"/>
          <w:sz w:val="24"/>
          <w:szCs w:val="24"/>
          <w:lang w:val="en-US"/>
        </w:rPr>
        <w:t>pickup</w:t>
      </w:r>
      <w:r w:rsidRPr="00082D46">
        <w:rPr>
          <w:rFonts w:ascii="Times New Roman" w:hAnsi="Times New Roman" w:cs="Times New Roman"/>
          <w:color w:val="212121"/>
          <w:sz w:val="24"/>
          <w:szCs w:val="24"/>
          <w:lang w:val="en-US"/>
        </w:rPr>
        <w:t xml:space="preserve"> collisions (27.17%). The average monthly death rate was 1.8. Annually </w:t>
      </w:r>
      <w:r w:rsidR="002E0B7F" w:rsidRPr="00082D46">
        <w:rPr>
          <w:rFonts w:ascii="Times New Roman" w:hAnsi="Times New Roman" w:cs="Times New Roman"/>
          <w:color w:val="212121"/>
          <w:sz w:val="24"/>
          <w:szCs w:val="24"/>
          <w:lang w:val="en-US"/>
        </w:rPr>
        <w:t>i</w:t>
      </w:r>
      <w:r w:rsidR="0098492F" w:rsidRPr="00082D46">
        <w:rPr>
          <w:rFonts w:ascii="Times New Roman" w:hAnsi="Times New Roman" w:cs="Times New Roman"/>
          <w:color w:val="212121"/>
          <w:sz w:val="24"/>
          <w:szCs w:val="24"/>
          <w:lang w:val="en-US"/>
        </w:rPr>
        <w:t xml:space="preserve">t was observed </w:t>
      </w:r>
      <w:r w:rsidR="002E0B7F" w:rsidRPr="00082D46">
        <w:rPr>
          <w:rFonts w:ascii="Times New Roman" w:hAnsi="Times New Roman" w:cs="Times New Roman"/>
          <w:color w:val="212121"/>
          <w:sz w:val="24"/>
          <w:szCs w:val="24"/>
          <w:lang w:val="en-US"/>
        </w:rPr>
        <w:t>an increase in</w:t>
      </w:r>
      <w:r w:rsidR="0098492F" w:rsidRPr="00082D46">
        <w:rPr>
          <w:rFonts w:ascii="Times New Roman" w:hAnsi="Times New Roman" w:cs="Times New Roman"/>
          <w:color w:val="212121"/>
          <w:sz w:val="24"/>
          <w:szCs w:val="24"/>
          <w:lang w:val="en-US"/>
        </w:rPr>
        <w:t xml:space="preserve"> </w:t>
      </w:r>
      <w:r w:rsidRPr="00082D46">
        <w:rPr>
          <w:rFonts w:ascii="Times New Roman" w:hAnsi="Times New Roman" w:cs="Times New Roman"/>
          <w:color w:val="212121"/>
          <w:sz w:val="24"/>
          <w:szCs w:val="24"/>
          <w:lang w:val="en-US"/>
        </w:rPr>
        <w:t>5.2% in the number of deaths. It is concluded that among the components of external causes, traffic accidents are responsible for extremely high mortality in all societies.</w:t>
      </w:r>
    </w:p>
    <w:p w:rsidR="00514068" w:rsidRPr="00174E95" w:rsidRDefault="00514068" w:rsidP="009358F2">
      <w:pPr>
        <w:spacing w:line="480" w:lineRule="auto"/>
        <w:jc w:val="both"/>
        <w:rPr>
          <w:bCs/>
          <w:color w:val="000000"/>
        </w:rPr>
      </w:pPr>
      <w:r w:rsidRPr="004335EC">
        <w:rPr>
          <w:lang w:val="en-US"/>
        </w:rPr>
        <w:t>Keywords</w:t>
      </w:r>
      <w:r w:rsidRPr="006A1F0B">
        <w:rPr>
          <w:lang w:val="en-US"/>
        </w:rPr>
        <w:t>:</w:t>
      </w:r>
      <w:r>
        <w:rPr>
          <w:lang w:val="en-US"/>
        </w:rPr>
        <w:t xml:space="preserve"> </w:t>
      </w:r>
      <w:r>
        <w:rPr>
          <w:bCs/>
          <w:color w:val="000000"/>
          <w:lang w:val="en-US"/>
        </w:rPr>
        <w:t>E</w:t>
      </w:r>
      <w:r w:rsidRPr="00D36646">
        <w:rPr>
          <w:bCs/>
          <w:color w:val="000000"/>
          <w:lang w:val="en-US"/>
        </w:rPr>
        <w:t>pidemiology</w:t>
      </w:r>
      <w:r>
        <w:rPr>
          <w:bCs/>
          <w:color w:val="000000"/>
          <w:lang w:val="en-US"/>
        </w:rPr>
        <w:t xml:space="preserve">. </w:t>
      </w:r>
      <w:proofErr w:type="gramStart"/>
      <w:r>
        <w:rPr>
          <w:bCs/>
          <w:color w:val="000000"/>
          <w:lang w:val="en-US"/>
        </w:rPr>
        <w:t>Time s</w:t>
      </w:r>
      <w:r w:rsidRPr="006A1F0B">
        <w:rPr>
          <w:bCs/>
          <w:color w:val="000000"/>
          <w:lang w:val="en-US"/>
        </w:rPr>
        <w:t xml:space="preserve">eries </w:t>
      </w:r>
      <w:r>
        <w:rPr>
          <w:bCs/>
          <w:color w:val="000000"/>
          <w:lang w:val="en-US"/>
        </w:rPr>
        <w:t>s</w:t>
      </w:r>
      <w:r w:rsidRPr="006A1F0B">
        <w:rPr>
          <w:bCs/>
          <w:color w:val="000000"/>
          <w:lang w:val="en-US"/>
        </w:rPr>
        <w:t>tudies</w:t>
      </w:r>
      <w:r>
        <w:rPr>
          <w:bCs/>
          <w:color w:val="000000"/>
          <w:lang w:val="en-US"/>
        </w:rPr>
        <w:t>;</w:t>
      </w:r>
      <w:r w:rsidRPr="006A1F0B">
        <w:rPr>
          <w:lang w:val="en-US"/>
        </w:rPr>
        <w:t xml:space="preserve"> </w:t>
      </w:r>
      <w:r>
        <w:rPr>
          <w:lang w:val="en-US"/>
        </w:rPr>
        <w:t>External c</w:t>
      </w:r>
      <w:r w:rsidRPr="006A1F0B">
        <w:rPr>
          <w:lang w:val="en-US"/>
        </w:rPr>
        <w:t>auses,</w:t>
      </w:r>
      <w:r>
        <w:rPr>
          <w:bCs/>
          <w:color w:val="000000"/>
          <w:lang w:val="en-US"/>
        </w:rPr>
        <w:t xml:space="preserve"> Accidents, T</w:t>
      </w:r>
      <w:r w:rsidRPr="006A1F0B">
        <w:rPr>
          <w:bCs/>
          <w:color w:val="000000"/>
          <w:lang w:val="en-US"/>
        </w:rPr>
        <w:t>raffic</w:t>
      </w:r>
      <w:r>
        <w:rPr>
          <w:bCs/>
          <w:color w:val="000000"/>
          <w:lang w:val="en-US"/>
        </w:rPr>
        <w:t>.</w:t>
      </w:r>
      <w:proofErr w:type="gramEnd"/>
      <w:r w:rsidRPr="006A1F0B">
        <w:rPr>
          <w:bCs/>
          <w:color w:val="000000"/>
          <w:lang w:val="en-US"/>
        </w:rPr>
        <w:t> </w:t>
      </w:r>
      <w:proofErr w:type="spellStart"/>
      <w:r w:rsidRPr="00174E95">
        <w:rPr>
          <w:bCs/>
          <w:color w:val="000000"/>
        </w:rPr>
        <w:t>Mortality</w:t>
      </w:r>
      <w:proofErr w:type="spellEnd"/>
      <w:r w:rsidRPr="00174E95">
        <w:rPr>
          <w:bCs/>
          <w:color w:val="000000"/>
        </w:rPr>
        <w:t>.</w:t>
      </w:r>
    </w:p>
    <w:p w:rsidR="00514068" w:rsidRDefault="00345E67" w:rsidP="009358F2">
      <w:pPr>
        <w:autoSpaceDE w:val="0"/>
        <w:autoSpaceDN w:val="0"/>
        <w:adjustRightInd w:val="0"/>
        <w:spacing w:line="480" w:lineRule="auto"/>
        <w:jc w:val="both"/>
        <w:rPr>
          <w:b/>
        </w:rPr>
      </w:pPr>
      <w:r w:rsidRPr="00D777DD">
        <w:rPr>
          <w:b/>
        </w:rPr>
        <w:t>RESUMEN</w:t>
      </w:r>
    </w:p>
    <w:p w:rsidR="00082D46" w:rsidRPr="00361EB2" w:rsidRDefault="00082D46" w:rsidP="00361EB2">
      <w:pPr>
        <w:pStyle w:val="Pr-formataoHTML"/>
        <w:shd w:val="clear" w:color="auto" w:fill="FFFFFF"/>
        <w:jc w:val="both"/>
        <w:rPr>
          <w:rFonts w:ascii="Times New Roman" w:hAnsi="Times New Roman" w:cs="Times New Roman"/>
          <w:b/>
          <w:sz w:val="24"/>
          <w:szCs w:val="24"/>
        </w:rPr>
      </w:pPr>
      <w:proofErr w:type="spellStart"/>
      <w:r w:rsidRPr="00361EB2">
        <w:rPr>
          <w:rFonts w:ascii="Times New Roman" w:hAnsi="Times New Roman" w:cs="Times New Roman"/>
          <w:color w:val="212121"/>
          <w:sz w:val="24"/>
          <w:szCs w:val="24"/>
          <w:shd w:val="clear" w:color="auto" w:fill="FFFFFF"/>
        </w:rPr>
        <w:t>Los</w:t>
      </w:r>
      <w:proofErr w:type="spellEnd"/>
      <w:r w:rsidRPr="00361EB2">
        <w:rPr>
          <w:rFonts w:ascii="Times New Roman" w:hAnsi="Times New Roman" w:cs="Times New Roman"/>
          <w:color w:val="212121"/>
          <w:sz w:val="24"/>
          <w:szCs w:val="24"/>
          <w:shd w:val="clear" w:color="auto" w:fill="FFFFFF"/>
        </w:rPr>
        <w:t xml:space="preserve"> objetivos </w:t>
      </w:r>
      <w:proofErr w:type="spellStart"/>
      <w:proofErr w:type="gramStart"/>
      <w:r w:rsidRPr="00361EB2">
        <w:rPr>
          <w:rFonts w:ascii="Times New Roman" w:hAnsi="Times New Roman" w:cs="Times New Roman"/>
          <w:color w:val="212121"/>
          <w:sz w:val="24"/>
          <w:szCs w:val="24"/>
          <w:shd w:val="clear" w:color="auto" w:fill="FFFFFF"/>
        </w:rPr>
        <w:t>del</w:t>
      </w:r>
      <w:proofErr w:type="spellEnd"/>
      <w:proofErr w:type="gram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estudio</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fueron</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describir</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las</w:t>
      </w:r>
      <w:proofErr w:type="spellEnd"/>
      <w:r w:rsidRPr="00361EB2">
        <w:rPr>
          <w:rFonts w:ascii="Times New Roman" w:hAnsi="Times New Roman" w:cs="Times New Roman"/>
          <w:color w:val="212121"/>
          <w:sz w:val="24"/>
          <w:szCs w:val="24"/>
          <w:shd w:val="clear" w:color="auto" w:fill="FFFFFF"/>
        </w:rPr>
        <w:t xml:space="preserve"> características sociodemográficas de </w:t>
      </w:r>
      <w:proofErr w:type="spellStart"/>
      <w:r w:rsidRPr="00361EB2">
        <w:rPr>
          <w:rFonts w:ascii="Times New Roman" w:hAnsi="Times New Roman" w:cs="Times New Roman"/>
          <w:color w:val="212121"/>
          <w:sz w:val="24"/>
          <w:szCs w:val="24"/>
          <w:shd w:val="clear" w:color="auto" w:fill="FFFFFF"/>
        </w:rPr>
        <w:t>los</w:t>
      </w:r>
      <w:proofErr w:type="spellEnd"/>
      <w:r w:rsidRPr="00361EB2">
        <w:rPr>
          <w:rFonts w:ascii="Times New Roman" w:hAnsi="Times New Roman" w:cs="Times New Roman"/>
          <w:color w:val="212121"/>
          <w:sz w:val="24"/>
          <w:szCs w:val="24"/>
          <w:shd w:val="clear" w:color="auto" w:fill="FFFFFF"/>
        </w:rPr>
        <w:t xml:space="preserve"> </w:t>
      </w:r>
      <w:proofErr w:type="spellStart"/>
      <w:r w:rsidR="00434C1C">
        <w:rPr>
          <w:rFonts w:ascii="Times New Roman" w:hAnsi="Times New Roman" w:cs="Times New Roman"/>
          <w:color w:val="212121"/>
          <w:sz w:val="24"/>
          <w:szCs w:val="24"/>
          <w:shd w:val="clear" w:color="auto" w:fill="FFFFFF"/>
        </w:rPr>
        <w:t>muertos</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en</w:t>
      </w:r>
      <w:proofErr w:type="spellEnd"/>
      <w:r w:rsidRPr="00361EB2">
        <w:rPr>
          <w:rFonts w:ascii="Times New Roman" w:hAnsi="Times New Roman" w:cs="Times New Roman"/>
          <w:color w:val="212121"/>
          <w:sz w:val="24"/>
          <w:szCs w:val="24"/>
          <w:shd w:val="clear" w:color="auto" w:fill="FFFFFF"/>
        </w:rPr>
        <w:t xml:space="preserve"> </w:t>
      </w:r>
      <w:r w:rsidR="00434C1C" w:rsidRPr="00434C1C">
        <w:rPr>
          <w:rFonts w:ascii="Times New Roman" w:hAnsi="Times New Roman" w:cs="Times New Roman"/>
          <w:color w:val="212121"/>
          <w:sz w:val="24"/>
          <w:szCs w:val="24"/>
          <w:lang w:val="es-ES"/>
        </w:rPr>
        <w:t>accidentes automovilísticos</w:t>
      </w:r>
      <w:r w:rsidRPr="00361EB2">
        <w:rPr>
          <w:rFonts w:ascii="Times New Roman" w:hAnsi="Times New Roman" w:cs="Times New Roman"/>
          <w:color w:val="212121"/>
          <w:sz w:val="24"/>
          <w:szCs w:val="24"/>
          <w:lang w:val="es-ES"/>
        </w:rPr>
        <w:t xml:space="preserve"> </w:t>
      </w:r>
      <w:r w:rsidRPr="00361EB2">
        <w:rPr>
          <w:rFonts w:ascii="Times New Roman" w:hAnsi="Times New Roman" w:cs="Times New Roman"/>
          <w:color w:val="212121"/>
          <w:sz w:val="24"/>
          <w:szCs w:val="24"/>
          <w:shd w:val="clear" w:color="auto" w:fill="FFFFFF"/>
        </w:rPr>
        <w:t xml:space="preserve">y </w:t>
      </w:r>
      <w:proofErr w:type="spellStart"/>
      <w:r w:rsidR="00434C1C" w:rsidRPr="00434C1C">
        <w:rPr>
          <w:rFonts w:ascii="Times New Roman" w:hAnsi="Times New Roman" w:cs="Times New Roman"/>
          <w:sz w:val="24"/>
          <w:szCs w:val="24"/>
        </w:rPr>
        <w:t>analizar</w:t>
      </w:r>
      <w:proofErr w:type="spellEnd"/>
      <w:r w:rsidR="00434C1C" w:rsidRPr="00434C1C">
        <w:rPr>
          <w:rFonts w:ascii="Times New Roman" w:hAnsi="Times New Roman" w:cs="Times New Roman"/>
          <w:sz w:val="24"/>
          <w:szCs w:val="24"/>
        </w:rPr>
        <w:t xml:space="preserve"> </w:t>
      </w:r>
      <w:proofErr w:type="spellStart"/>
      <w:r w:rsidR="00434C1C" w:rsidRPr="00434C1C">
        <w:rPr>
          <w:rFonts w:ascii="Times New Roman" w:hAnsi="Times New Roman" w:cs="Times New Roman"/>
          <w:sz w:val="24"/>
          <w:szCs w:val="24"/>
        </w:rPr>
        <w:t>la</w:t>
      </w:r>
      <w:proofErr w:type="spellEnd"/>
      <w:r w:rsidR="00434C1C" w:rsidRPr="00434C1C">
        <w:rPr>
          <w:rFonts w:ascii="Times New Roman" w:hAnsi="Times New Roman" w:cs="Times New Roman"/>
          <w:sz w:val="24"/>
          <w:szCs w:val="24"/>
        </w:rPr>
        <w:t xml:space="preserve"> </w:t>
      </w:r>
      <w:proofErr w:type="spellStart"/>
      <w:r w:rsidR="00434C1C" w:rsidRPr="00434C1C">
        <w:rPr>
          <w:rFonts w:ascii="Times New Roman" w:hAnsi="Times New Roman" w:cs="Times New Roman"/>
          <w:sz w:val="24"/>
          <w:szCs w:val="24"/>
        </w:rPr>
        <w:t>tendencia</w:t>
      </w:r>
      <w:proofErr w:type="spellEnd"/>
      <w:r w:rsidR="00434C1C" w:rsidRPr="00434C1C">
        <w:rPr>
          <w:rFonts w:ascii="Times New Roman" w:hAnsi="Times New Roman" w:cs="Times New Roman"/>
          <w:sz w:val="24"/>
          <w:szCs w:val="24"/>
        </w:rPr>
        <w:t xml:space="preserve"> temporal de </w:t>
      </w:r>
      <w:proofErr w:type="spellStart"/>
      <w:r w:rsidR="00434C1C" w:rsidRPr="00434C1C">
        <w:rPr>
          <w:rFonts w:ascii="Times New Roman" w:hAnsi="Times New Roman" w:cs="Times New Roman"/>
          <w:sz w:val="24"/>
          <w:szCs w:val="24"/>
        </w:rPr>
        <w:t>la</w:t>
      </w:r>
      <w:proofErr w:type="spellEnd"/>
      <w:r w:rsidR="00434C1C" w:rsidRPr="00434C1C">
        <w:rPr>
          <w:rFonts w:ascii="Times New Roman" w:hAnsi="Times New Roman" w:cs="Times New Roman"/>
          <w:sz w:val="24"/>
          <w:szCs w:val="24"/>
        </w:rPr>
        <w:t xml:space="preserve"> </w:t>
      </w:r>
      <w:proofErr w:type="spellStart"/>
      <w:r w:rsidR="00434C1C" w:rsidRPr="00434C1C">
        <w:rPr>
          <w:rFonts w:ascii="Times New Roman" w:hAnsi="Times New Roman" w:cs="Times New Roman"/>
          <w:sz w:val="24"/>
          <w:szCs w:val="24"/>
        </w:rPr>
        <w:t>mortalidad</w:t>
      </w:r>
      <w:proofErr w:type="spellEnd"/>
      <w:r w:rsidR="00434C1C" w:rsidRPr="00434C1C">
        <w:rPr>
          <w:rFonts w:ascii="Times New Roman" w:hAnsi="Times New Roman" w:cs="Times New Roman"/>
          <w:sz w:val="24"/>
          <w:szCs w:val="24"/>
        </w:rPr>
        <w:t xml:space="preserve"> </w:t>
      </w:r>
      <w:proofErr w:type="spellStart"/>
      <w:r w:rsidR="00434C1C" w:rsidRPr="00434C1C">
        <w:rPr>
          <w:rFonts w:ascii="Times New Roman" w:hAnsi="Times New Roman" w:cs="Times New Roman"/>
          <w:sz w:val="24"/>
          <w:szCs w:val="24"/>
        </w:rPr>
        <w:t>en</w:t>
      </w:r>
      <w:proofErr w:type="spellEnd"/>
      <w:r w:rsidR="00434C1C" w:rsidRPr="00434C1C">
        <w:rPr>
          <w:rFonts w:ascii="Times New Roman" w:hAnsi="Times New Roman" w:cs="Times New Roman"/>
          <w:sz w:val="24"/>
          <w:szCs w:val="24"/>
        </w:rPr>
        <w:t xml:space="preserve"> </w:t>
      </w:r>
      <w:proofErr w:type="spellStart"/>
      <w:r w:rsidR="00434C1C" w:rsidRPr="00434C1C">
        <w:rPr>
          <w:rFonts w:ascii="Times New Roman" w:hAnsi="Times New Roman" w:cs="Times New Roman"/>
          <w:sz w:val="24"/>
          <w:szCs w:val="24"/>
        </w:rPr>
        <w:t>el</w:t>
      </w:r>
      <w:proofErr w:type="spellEnd"/>
      <w:r w:rsidR="00434C1C" w:rsidRPr="00434C1C">
        <w:rPr>
          <w:rFonts w:ascii="Times New Roman" w:hAnsi="Times New Roman" w:cs="Times New Roman"/>
          <w:sz w:val="24"/>
          <w:szCs w:val="24"/>
        </w:rPr>
        <w:t xml:space="preserve"> período de</w:t>
      </w:r>
      <w:r w:rsidR="00434C1C" w:rsidRPr="00361EB2">
        <w:rPr>
          <w:rFonts w:ascii="Times New Roman" w:hAnsi="Times New Roman" w:cs="Times New Roman"/>
          <w:color w:val="212121"/>
          <w:sz w:val="24"/>
          <w:szCs w:val="24"/>
          <w:shd w:val="clear" w:color="auto" w:fill="FFFFFF"/>
        </w:rPr>
        <w:t xml:space="preserve"> </w:t>
      </w:r>
      <w:r w:rsidRPr="00361EB2">
        <w:rPr>
          <w:rFonts w:ascii="Times New Roman" w:hAnsi="Times New Roman" w:cs="Times New Roman"/>
          <w:color w:val="212121"/>
          <w:sz w:val="24"/>
          <w:szCs w:val="24"/>
          <w:shd w:val="clear" w:color="auto" w:fill="FFFFFF"/>
        </w:rPr>
        <w:t xml:space="preserve">1996 </w:t>
      </w:r>
      <w:r w:rsidR="00434C1C">
        <w:rPr>
          <w:rFonts w:ascii="Times New Roman" w:hAnsi="Times New Roman" w:cs="Times New Roman"/>
          <w:color w:val="212121"/>
          <w:sz w:val="24"/>
          <w:szCs w:val="24"/>
          <w:shd w:val="clear" w:color="auto" w:fill="FFFFFF"/>
        </w:rPr>
        <w:t>a</w:t>
      </w:r>
      <w:r w:rsidRPr="00361EB2">
        <w:rPr>
          <w:rFonts w:ascii="Times New Roman" w:hAnsi="Times New Roman" w:cs="Times New Roman"/>
          <w:color w:val="212121"/>
          <w:sz w:val="24"/>
          <w:szCs w:val="24"/>
          <w:shd w:val="clear" w:color="auto" w:fill="FFFFFF"/>
        </w:rPr>
        <w:t xml:space="preserve"> 2012. </w:t>
      </w:r>
      <w:proofErr w:type="spellStart"/>
      <w:r w:rsidRPr="00361EB2">
        <w:rPr>
          <w:rFonts w:ascii="Times New Roman" w:hAnsi="Times New Roman" w:cs="Times New Roman"/>
          <w:color w:val="212121"/>
          <w:sz w:val="24"/>
          <w:szCs w:val="24"/>
          <w:shd w:val="clear" w:color="auto" w:fill="FFFFFF"/>
        </w:rPr>
        <w:t>Estudio</w:t>
      </w:r>
      <w:proofErr w:type="spellEnd"/>
      <w:r w:rsidRPr="00361EB2">
        <w:rPr>
          <w:rFonts w:ascii="Times New Roman" w:hAnsi="Times New Roman" w:cs="Times New Roman"/>
          <w:color w:val="212121"/>
          <w:sz w:val="24"/>
          <w:szCs w:val="24"/>
          <w:shd w:val="clear" w:color="auto" w:fill="FFFFFF"/>
        </w:rPr>
        <w:t xml:space="preserve"> epidemiológico de </w:t>
      </w:r>
      <w:proofErr w:type="spellStart"/>
      <w:proofErr w:type="gramStart"/>
      <w:r w:rsidRPr="00361EB2">
        <w:rPr>
          <w:rFonts w:ascii="Times New Roman" w:hAnsi="Times New Roman" w:cs="Times New Roman"/>
          <w:color w:val="212121"/>
          <w:sz w:val="24"/>
          <w:szCs w:val="24"/>
          <w:shd w:val="clear" w:color="auto" w:fill="FFFFFF"/>
        </w:rPr>
        <w:t>la</w:t>
      </w:r>
      <w:proofErr w:type="spellEnd"/>
      <w:proofErr w:type="gram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mortalidad</w:t>
      </w:r>
      <w:proofErr w:type="spellEnd"/>
      <w:r w:rsidRPr="00361EB2">
        <w:rPr>
          <w:rFonts w:ascii="Times New Roman" w:hAnsi="Times New Roman" w:cs="Times New Roman"/>
          <w:color w:val="212121"/>
          <w:sz w:val="24"/>
          <w:szCs w:val="24"/>
          <w:shd w:val="clear" w:color="auto" w:fill="FFFFFF"/>
        </w:rPr>
        <w:t xml:space="preserve"> de 368 </w:t>
      </w:r>
      <w:proofErr w:type="spellStart"/>
      <w:r w:rsidRPr="00361EB2">
        <w:rPr>
          <w:rFonts w:ascii="Times New Roman" w:hAnsi="Times New Roman" w:cs="Times New Roman"/>
          <w:color w:val="212121"/>
          <w:sz w:val="24"/>
          <w:szCs w:val="24"/>
          <w:shd w:val="clear" w:color="auto" w:fill="FFFFFF"/>
        </w:rPr>
        <w:t>víctimas</w:t>
      </w:r>
      <w:proofErr w:type="spellEnd"/>
      <w:r w:rsidRPr="00361EB2">
        <w:rPr>
          <w:rFonts w:ascii="Times New Roman" w:hAnsi="Times New Roman" w:cs="Times New Roman"/>
          <w:color w:val="212121"/>
          <w:sz w:val="24"/>
          <w:szCs w:val="24"/>
          <w:shd w:val="clear" w:color="auto" w:fill="FFFFFF"/>
        </w:rPr>
        <w:t xml:space="preserve">, residentes </w:t>
      </w:r>
      <w:proofErr w:type="spellStart"/>
      <w:r w:rsidRPr="00361EB2">
        <w:rPr>
          <w:rFonts w:ascii="Times New Roman" w:hAnsi="Times New Roman" w:cs="Times New Roman"/>
          <w:color w:val="212121"/>
          <w:sz w:val="24"/>
          <w:szCs w:val="24"/>
          <w:shd w:val="clear" w:color="auto" w:fill="FFFFFF"/>
        </w:rPr>
        <w:t>en</w:t>
      </w:r>
      <w:proofErr w:type="spellEnd"/>
      <w:r w:rsidRPr="00361EB2">
        <w:rPr>
          <w:rFonts w:ascii="Times New Roman" w:hAnsi="Times New Roman" w:cs="Times New Roman"/>
          <w:color w:val="212121"/>
          <w:sz w:val="24"/>
          <w:szCs w:val="24"/>
          <w:shd w:val="clear" w:color="auto" w:fill="FFFFFF"/>
        </w:rPr>
        <w:t xml:space="preserve"> </w:t>
      </w:r>
      <w:r w:rsidRPr="00361EB2">
        <w:rPr>
          <w:rFonts w:ascii="Times New Roman" w:hAnsi="Times New Roman" w:cs="Times New Roman"/>
          <w:color w:val="212121"/>
          <w:sz w:val="24"/>
          <w:szCs w:val="24"/>
          <w:shd w:val="clear" w:color="auto" w:fill="FFFFFF"/>
        </w:rPr>
        <w:lastRenderedPageBreak/>
        <w:t xml:space="preserve">Maringá, Paraná. </w:t>
      </w:r>
      <w:r w:rsidR="00A056EA" w:rsidRPr="00361EB2">
        <w:rPr>
          <w:rFonts w:ascii="Times New Roman" w:hAnsi="Times New Roman" w:cs="Times New Roman"/>
          <w:sz w:val="24"/>
          <w:szCs w:val="24"/>
          <w:lang w:val="es-ES"/>
        </w:rPr>
        <w:t>Los datos fueron obtenidos del Sistema de Información de Mortalidad del Departamento de Información del Sistema Único de Salud</w:t>
      </w:r>
      <w:r w:rsidRPr="00361EB2">
        <w:rPr>
          <w:rFonts w:ascii="Times New Roman" w:hAnsi="Times New Roman" w:cs="Times New Roman"/>
          <w:color w:val="212121"/>
          <w:sz w:val="24"/>
          <w:szCs w:val="24"/>
          <w:shd w:val="clear" w:color="auto" w:fill="FFFFFF"/>
        </w:rPr>
        <w:t xml:space="preserve">. </w:t>
      </w:r>
      <w:r w:rsidR="00A056EA" w:rsidRPr="00361EB2">
        <w:rPr>
          <w:rFonts w:ascii="Times New Roman" w:hAnsi="Times New Roman" w:cs="Times New Roman"/>
          <w:sz w:val="24"/>
          <w:szCs w:val="24"/>
          <w:lang w:val="es-ES"/>
        </w:rPr>
        <w:t xml:space="preserve">El análisis de tendencia se realizó a partir del ajuste de un modelo de regresión de </w:t>
      </w:r>
      <w:proofErr w:type="spellStart"/>
      <w:r w:rsidR="00A056EA" w:rsidRPr="00361EB2">
        <w:rPr>
          <w:rFonts w:ascii="Times New Roman" w:hAnsi="Times New Roman" w:cs="Times New Roman"/>
          <w:sz w:val="24"/>
          <w:szCs w:val="24"/>
          <w:lang w:val="es-ES"/>
        </w:rPr>
        <w:t>Poisson</w:t>
      </w:r>
      <w:proofErr w:type="spellEnd"/>
      <w:r w:rsidR="00A056EA" w:rsidRPr="00361EB2">
        <w:rPr>
          <w:rFonts w:ascii="Times New Roman" w:hAnsi="Times New Roman" w:cs="Times New Roman"/>
          <w:sz w:val="24"/>
          <w:szCs w:val="24"/>
          <w:lang w:val="es-ES"/>
        </w:rPr>
        <w:t xml:space="preserve"> para series temporales</w:t>
      </w:r>
      <w:r w:rsidRPr="00361EB2">
        <w:rPr>
          <w:rFonts w:ascii="Times New Roman" w:hAnsi="Times New Roman" w:cs="Times New Roman"/>
          <w:color w:val="212121"/>
          <w:sz w:val="24"/>
          <w:szCs w:val="24"/>
          <w:shd w:val="clear" w:color="auto" w:fill="FFFFFF"/>
        </w:rPr>
        <w:t xml:space="preserve">. La </w:t>
      </w:r>
      <w:proofErr w:type="spellStart"/>
      <w:r w:rsidRPr="00361EB2">
        <w:rPr>
          <w:rFonts w:ascii="Times New Roman" w:hAnsi="Times New Roman" w:cs="Times New Roman"/>
          <w:color w:val="212121"/>
          <w:sz w:val="24"/>
          <w:szCs w:val="24"/>
          <w:shd w:val="clear" w:color="auto" w:fill="FFFFFF"/>
        </w:rPr>
        <w:t>mayoría</w:t>
      </w:r>
      <w:proofErr w:type="spellEnd"/>
      <w:r w:rsidRPr="00361EB2">
        <w:rPr>
          <w:rFonts w:ascii="Times New Roman" w:hAnsi="Times New Roman" w:cs="Times New Roman"/>
          <w:color w:val="212121"/>
          <w:sz w:val="24"/>
          <w:szCs w:val="24"/>
          <w:shd w:val="clear" w:color="auto" w:fill="FFFFFF"/>
        </w:rPr>
        <w:t xml:space="preserve"> de </w:t>
      </w:r>
      <w:proofErr w:type="spellStart"/>
      <w:r w:rsidRPr="00361EB2">
        <w:rPr>
          <w:rFonts w:ascii="Times New Roman" w:hAnsi="Times New Roman" w:cs="Times New Roman"/>
          <w:color w:val="212121"/>
          <w:sz w:val="24"/>
          <w:szCs w:val="24"/>
          <w:shd w:val="clear" w:color="auto" w:fill="FFFFFF"/>
        </w:rPr>
        <w:t>las</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víctimas</w:t>
      </w:r>
      <w:proofErr w:type="spellEnd"/>
      <w:r w:rsidRPr="00361EB2">
        <w:rPr>
          <w:rFonts w:ascii="Times New Roman" w:hAnsi="Times New Roman" w:cs="Times New Roman"/>
          <w:color w:val="212121"/>
          <w:sz w:val="24"/>
          <w:szCs w:val="24"/>
          <w:shd w:val="clear" w:color="auto" w:fill="FFFFFF"/>
        </w:rPr>
        <w:t xml:space="preserve"> (76,35%) </w:t>
      </w:r>
      <w:proofErr w:type="spellStart"/>
      <w:r w:rsidRPr="00361EB2">
        <w:rPr>
          <w:rFonts w:ascii="Times New Roman" w:hAnsi="Times New Roman" w:cs="Times New Roman"/>
          <w:color w:val="212121"/>
          <w:sz w:val="24"/>
          <w:szCs w:val="24"/>
          <w:shd w:val="clear" w:color="auto" w:fill="FFFFFF"/>
        </w:rPr>
        <w:t>eran</w:t>
      </w:r>
      <w:proofErr w:type="spellEnd"/>
      <w:r w:rsidRPr="00361EB2">
        <w:rPr>
          <w:rFonts w:ascii="Times New Roman" w:hAnsi="Times New Roman" w:cs="Times New Roman"/>
          <w:color w:val="212121"/>
          <w:sz w:val="24"/>
          <w:szCs w:val="24"/>
          <w:shd w:val="clear" w:color="auto" w:fill="FFFFFF"/>
        </w:rPr>
        <w:t xml:space="preserve"> de sexo masculino, </w:t>
      </w:r>
      <w:r w:rsidR="00A056EA" w:rsidRPr="00361EB2">
        <w:rPr>
          <w:rFonts w:ascii="Times New Roman" w:hAnsi="Times New Roman" w:cs="Times New Roman"/>
          <w:color w:val="212121"/>
          <w:sz w:val="24"/>
          <w:szCs w:val="24"/>
          <w:shd w:val="clear" w:color="auto" w:fill="FFFFFF"/>
        </w:rPr>
        <w:t>entre</w:t>
      </w:r>
      <w:r w:rsidRPr="00361EB2">
        <w:rPr>
          <w:rFonts w:ascii="Times New Roman" w:hAnsi="Times New Roman" w:cs="Times New Roman"/>
          <w:color w:val="212121"/>
          <w:sz w:val="24"/>
          <w:szCs w:val="24"/>
          <w:shd w:val="clear" w:color="auto" w:fill="FFFFFF"/>
        </w:rPr>
        <w:t xml:space="preserve"> 20 a 39 </w:t>
      </w:r>
      <w:proofErr w:type="spellStart"/>
      <w:r w:rsidRPr="00361EB2">
        <w:rPr>
          <w:rFonts w:ascii="Times New Roman" w:hAnsi="Times New Roman" w:cs="Times New Roman"/>
          <w:color w:val="212121"/>
          <w:sz w:val="24"/>
          <w:szCs w:val="24"/>
          <w:shd w:val="clear" w:color="auto" w:fill="FFFFFF"/>
        </w:rPr>
        <w:t>años</w:t>
      </w:r>
      <w:proofErr w:type="spellEnd"/>
      <w:r w:rsidRPr="00361EB2">
        <w:rPr>
          <w:rFonts w:ascii="Times New Roman" w:hAnsi="Times New Roman" w:cs="Times New Roman"/>
          <w:color w:val="212121"/>
          <w:sz w:val="24"/>
          <w:szCs w:val="24"/>
          <w:shd w:val="clear" w:color="auto" w:fill="FFFFFF"/>
        </w:rPr>
        <w:t xml:space="preserve"> (48,36%), </w:t>
      </w:r>
      <w:proofErr w:type="spellStart"/>
      <w:r w:rsidRPr="00361EB2">
        <w:rPr>
          <w:rFonts w:ascii="Times New Roman" w:hAnsi="Times New Roman" w:cs="Times New Roman"/>
          <w:color w:val="212121"/>
          <w:sz w:val="24"/>
          <w:szCs w:val="24"/>
          <w:shd w:val="clear" w:color="auto" w:fill="FFFFFF"/>
        </w:rPr>
        <w:t>blanc</w:t>
      </w:r>
      <w:r w:rsidR="00A056EA" w:rsidRPr="00361EB2">
        <w:rPr>
          <w:rFonts w:ascii="Times New Roman" w:hAnsi="Times New Roman" w:cs="Times New Roman"/>
          <w:color w:val="212121"/>
          <w:sz w:val="24"/>
          <w:szCs w:val="24"/>
          <w:shd w:val="clear" w:color="auto" w:fill="FFFFFF"/>
        </w:rPr>
        <w:t>a</w:t>
      </w:r>
      <w:r w:rsidRPr="00361EB2">
        <w:rPr>
          <w:rFonts w:ascii="Times New Roman" w:hAnsi="Times New Roman" w:cs="Times New Roman"/>
          <w:color w:val="212121"/>
          <w:sz w:val="24"/>
          <w:szCs w:val="24"/>
          <w:shd w:val="clear" w:color="auto" w:fill="FFFFFF"/>
        </w:rPr>
        <w:t>s</w:t>
      </w:r>
      <w:proofErr w:type="spellEnd"/>
      <w:r w:rsidRPr="00361EB2">
        <w:rPr>
          <w:rFonts w:ascii="Times New Roman" w:hAnsi="Times New Roman" w:cs="Times New Roman"/>
          <w:color w:val="212121"/>
          <w:sz w:val="24"/>
          <w:szCs w:val="24"/>
          <w:shd w:val="clear" w:color="auto" w:fill="FFFFFF"/>
        </w:rPr>
        <w:t xml:space="preserve"> (81,52%), </w:t>
      </w:r>
      <w:proofErr w:type="spellStart"/>
      <w:proofErr w:type="gramStart"/>
      <w:r w:rsidRPr="00361EB2">
        <w:rPr>
          <w:rFonts w:ascii="Times New Roman" w:hAnsi="Times New Roman" w:cs="Times New Roman"/>
          <w:color w:val="212121"/>
          <w:sz w:val="24"/>
          <w:szCs w:val="24"/>
          <w:shd w:val="clear" w:color="auto" w:fill="FFFFFF"/>
        </w:rPr>
        <w:t>la</w:t>
      </w:r>
      <w:proofErr w:type="spellEnd"/>
      <w:proofErr w:type="gram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educación</w:t>
      </w:r>
      <w:proofErr w:type="spellEnd"/>
      <w:r w:rsidRPr="00361EB2">
        <w:rPr>
          <w:rFonts w:ascii="Times New Roman" w:hAnsi="Times New Roman" w:cs="Times New Roman"/>
          <w:color w:val="212121"/>
          <w:sz w:val="24"/>
          <w:szCs w:val="24"/>
          <w:shd w:val="clear" w:color="auto" w:fill="FFFFFF"/>
        </w:rPr>
        <w:t xml:space="preserve"> de 8 a 11 </w:t>
      </w:r>
      <w:proofErr w:type="spellStart"/>
      <w:r w:rsidRPr="00361EB2">
        <w:rPr>
          <w:rFonts w:ascii="Times New Roman" w:hAnsi="Times New Roman" w:cs="Times New Roman"/>
          <w:color w:val="212121"/>
          <w:sz w:val="24"/>
          <w:szCs w:val="24"/>
          <w:shd w:val="clear" w:color="auto" w:fill="FFFFFF"/>
        </w:rPr>
        <w:t>años</w:t>
      </w:r>
      <w:proofErr w:type="spellEnd"/>
      <w:r w:rsidRPr="00361EB2">
        <w:rPr>
          <w:rFonts w:ascii="Times New Roman" w:hAnsi="Times New Roman" w:cs="Times New Roman"/>
          <w:color w:val="212121"/>
          <w:sz w:val="24"/>
          <w:szCs w:val="24"/>
          <w:shd w:val="clear" w:color="auto" w:fill="FFFFFF"/>
        </w:rPr>
        <w:t xml:space="preserve"> de </w:t>
      </w:r>
      <w:proofErr w:type="spellStart"/>
      <w:r w:rsidR="00A056EA" w:rsidRPr="00361EB2">
        <w:rPr>
          <w:rFonts w:ascii="Times New Roman" w:hAnsi="Times New Roman" w:cs="Times New Roman"/>
          <w:color w:val="212121"/>
          <w:sz w:val="24"/>
          <w:szCs w:val="24"/>
          <w:shd w:val="clear" w:color="auto" w:fill="FFFFFF"/>
        </w:rPr>
        <w:t>estudio</w:t>
      </w:r>
      <w:proofErr w:type="spellEnd"/>
      <w:r w:rsidRPr="00361EB2">
        <w:rPr>
          <w:rFonts w:ascii="Times New Roman" w:hAnsi="Times New Roman" w:cs="Times New Roman"/>
          <w:color w:val="212121"/>
          <w:sz w:val="24"/>
          <w:szCs w:val="24"/>
          <w:shd w:val="clear" w:color="auto" w:fill="FFFFFF"/>
        </w:rPr>
        <w:t xml:space="preserve"> (28,54%) y </w:t>
      </w:r>
      <w:proofErr w:type="spellStart"/>
      <w:r w:rsidR="00A056EA" w:rsidRPr="00361EB2">
        <w:rPr>
          <w:rFonts w:ascii="Times New Roman" w:hAnsi="Times New Roman" w:cs="Times New Roman"/>
          <w:color w:val="212121"/>
          <w:sz w:val="24"/>
          <w:szCs w:val="24"/>
          <w:shd w:val="clear" w:color="auto" w:fill="FFFFFF"/>
        </w:rPr>
        <w:t>solteras</w:t>
      </w:r>
      <w:proofErr w:type="spellEnd"/>
      <w:r w:rsidRPr="00361EB2">
        <w:rPr>
          <w:rFonts w:ascii="Times New Roman" w:hAnsi="Times New Roman" w:cs="Times New Roman"/>
          <w:color w:val="212121"/>
          <w:sz w:val="24"/>
          <w:szCs w:val="24"/>
          <w:shd w:val="clear" w:color="auto" w:fill="FFFFFF"/>
        </w:rPr>
        <w:t xml:space="preserve"> (44,30%). </w:t>
      </w:r>
      <w:proofErr w:type="spellStart"/>
      <w:r w:rsidRPr="00361EB2">
        <w:rPr>
          <w:rFonts w:ascii="Times New Roman" w:hAnsi="Times New Roman" w:cs="Times New Roman"/>
          <w:color w:val="212121"/>
          <w:sz w:val="24"/>
          <w:szCs w:val="24"/>
          <w:shd w:val="clear" w:color="auto" w:fill="FFFFFF"/>
        </w:rPr>
        <w:t>Las</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muertes</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ocurrieron</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con</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mayor</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frecuencia</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en</w:t>
      </w:r>
      <w:proofErr w:type="spellEnd"/>
      <w:r w:rsidRPr="00361EB2">
        <w:rPr>
          <w:rFonts w:ascii="Times New Roman" w:hAnsi="Times New Roman" w:cs="Times New Roman"/>
          <w:color w:val="212121"/>
          <w:sz w:val="24"/>
          <w:szCs w:val="24"/>
          <w:shd w:val="clear" w:color="auto" w:fill="FFFFFF"/>
        </w:rPr>
        <w:t xml:space="preserve"> </w:t>
      </w:r>
      <w:proofErr w:type="spellStart"/>
      <w:proofErr w:type="gramStart"/>
      <w:r w:rsidRPr="00361EB2">
        <w:rPr>
          <w:rFonts w:ascii="Times New Roman" w:hAnsi="Times New Roman" w:cs="Times New Roman"/>
          <w:color w:val="212121"/>
          <w:sz w:val="24"/>
          <w:szCs w:val="24"/>
          <w:shd w:val="clear" w:color="auto" w:fill="FFFFFF"/>
        </w:rPr>
        <w:t>la</w:t>
      </w:r>
      <w:proofErr w:type="spellEnd"/>
      <w:proofErr w:type="gram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calle</w:t>
      </w:r>
      <w:proofErr w:type="spellEnd"/>
      <w:r w:rsidRPr="00361EB2">
        <w:rPr>
          <w:rFonts w:ascii="Times New Roman" w:hAnsi="Times New Roman" w:cs="Times New Roman"/>
          <w:color w:val="212121"/>
          <w:sz w:val="24"/>
          <w:szCs w:val="24"/>
          <w:shd w:val="clear" w:color="auto" w:fill="FFFFFF"/>
        </w:rPr>
        <w:t xml:space="preserve"> (62,77%) y </w:t>
      </w:r>
      <w:proofErr w:type="spellStart"/>
      <w:r w:rsidR="00A056EA" w:rsidRPr="00361EB2">
        <w:rPr>
          <w:rFonts w:ascii="Times New Roman" w:hAnsi="Times New Roman" w:cs="Times New Roman"/>
          <w:color w:val="212121"/>
          <w:sz w:val="24"/>
          <w:szCs w:val="24"/>
          <w:shd w:val="clear" w:color="auto" w:fill="FFFFFF"/>
        </w:rPr>
        <w:t>en</w:t>
      </w:r>
      <w:proofErr w:type="spellEnd"/>
      <w:r w:rsidR="00A056EA"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el</w:t>
      </w:r>
      <w:proofErr w:type="spellEnd"/>
      <w:r w:rsidRPr="00361EB2">
        <w:rPr>
          <w:rFonts w:ascii="Times New Roman" w:hAnsi="Times New Roman" w:cs="Times New Roman"/>
          <w:color w:val="212121"/>
          <w:sz w:val="24"/>
          <w:szCs w:val="24"/>
          <w:shd w:val="clear" w:color="auto" w:fill="FFFFFF"/>
        </w:rPr>
        <w:t xml:space="preserve"> momento </w:t>
      </w:r>
      <w:proofErr w:type="spellStart"/>
      <w:r w:rsidRPr="00361EB2">
        <w:rPr>
          <w:rFonts w:ascii="Times New Roman" w:hAnsi="Times New Roman" w:cs="Times New Roman"/>
          <w:color w:val="212121"/>
          <w:sz w:val="24"/>
          <w:szCs w:val="24"/>
          <w:shd w:val="clear" w:color="auto" w:fill="FFFFFF"/>
        </w:rPr>
        <w:t>del</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accidente</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sólo</w:t>
      </w:r>
      <w:proofErr w:type="spellEnd"/>
      <w:r w:rsidRPr="00361EB2">
        <w:rPr>
          <w:rFonts w:ascii="Times New Roman" w:hAnsi="Times New Roman" w:cs="Times New Roman"/>
          <w:color w:val="212121"/>
          <w:sz w:val="24"/>
          <w:szCs w:val="24"/>
          <w:shd w:val="clear" w:color="auto" w:fill="FFFFFF"/>
        </w:rPr>
        <w:t xml:space="preserve"> 8,96% </w:t>
      </w:r>
      <w:r w:rsidR="00A056EA" w:rsidRPr="00361EB2">
        <w:rPr>
          <w:rFonts w:ascii="Times New Roman" w:hAnsi="Times New Roman" w:cs="Times New Roman"/>
          <w:sz w:val="24"/>
          <w:szCs w:val="24"/>
          <w:lang w:val="es-ES"/>
        </w:rPr>
        <w:t>de las víctimas estaban trabajando</w:t>
      </w:r>
      <w:r w:rsidRPr="00361EB2">
        <w:rPr>
          <w:rFonts w:ascii="Times New Roman" w:hAnsi="Times New Roman" w:cs="Times New Roman"/>
          <w:color w:val="212121"/>
          <w:sz w:val="24"/>
          <w:szCs w:val="24"/>
          <w:shd w:val="clear" w:color="auto" w:fill="FFFFFF"/>
        </w:rPr>
        <w:t xml:space="preserve">. </w:t>
      </w:r>
      <w:r w:rsidR="00361EB2" w:rsidRPr="00361EB2">
        <w:rPr>
          <w:rFonts w:ascii="Times New Roman" w:hAnsi="Times New Roman" w:cs="Times New Roman"/>
          <w:sz w:val="24"/>
          <w:szCs w:val="24"/>
          <w:lang w:val="es-ES"/>
        </w:rPr>
        <w:t>Hubo un predominio de las colisiones con coches/</w:t>
      </w:r>
      <w:proofErr w:type="spellStart"/>
      <w:r w:rsidR="00EC0D00" w:rsidRPr="00EC0D00">
        <w:rPr>
          <w:rFonts w:ascii="Times New Roman" w:hAnsi="Times New Roman" w:cs="Times New Roman"/>
          <w:sz w:val="24"/>
          <w:szCs w:val="24"/>
        </w:rPr>
        <w:t>pickup</w:t>
      </w:r>
      <w:proofErr w:type="spellEnd"/>
      <w:r w:rsidR="00EC0D00" w:rsidRPr="00EC0D00">
        <w:rPr>
          <w:rFonts w:ascii="Times New Roman" w:hAnsi="Times New Roman" w:cs="Times New Roman"/>
          <w:sz w:val="24"/>
          <w:szCs w:val="24"/>
        </w:rPr>
        <w:t>/</w:t>
      </w:r>
      <w:r w:rsidR="00361EB2" w:rsidRPr="00361EB2">
        <w:rPr>
          <w:rFonts w:ascii="Times New Roman" w:hAnsi="Times New Roman" w:cs="Times New Roman"/>
          <w:sz w:val="24"/>
          <w:szCs w:val="24"/>
          <w:lang w:val="es-ES"/>
        </w:rPr>
        <w:t>camioneta</w:t>
      </w:r>
      <w:r w:rsidRPr="00361EB2">
        <w:rPr>
          <w:rFonts w:ascii="Times New Roman" w:hAnsi="Times New Roman" w:cs="Times New Roman"/>
          <w:color w:val="212121"/>
          <w:sz w:val="24"/>
          <w:szCs w:val="24"/>
          <w:shd w:val="clear" w:color="auto" w:fill="FFFFFF"/>
        </w:rPr>
        <w:t xml:space="preserve"> (27,17%). El </w:t>
      </w:r>
      <w:proofErr w:type="spellStart"/>
      <w:r w:rsidRPr="00361EB2">
        <w:rPr>
          <w:rFonts w:ascii="Times New Roman" w:hAnsi="Times New Roman" w:cs="Times New Roman"/>
          <w:color w:val="212121"/>
          <w:sz w:val="24"/>
          <w:szCs w:val="24"/>
          <w:shd w:val="clear" w:color="auto" w:fill="FFFFFF"/>
        </w:rPr>
        <w:t>promedio</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mensual</w:t>
      </w:r>
      <w:proofErr w:type="spellEnd"/>
      <w:r w:rsidRPr="00361EB2">
        <w:rPr>
          <w:rFonts w:ascii="Times New Roman" w:hAnsi="Times New Roman" w:cs="Times New Roman"/>
          <w:color w:val="212121"/>
          <w:sz w:val="24"/>
          <w:szCs w:val="24"/>
          <w:shd w:val="clear" w:color="auto" w:fill="FFFFFF"/>
        </w:rPr>
        <w:t xml:space="preserve"> de </w:t>
      </w:r>
      <w:proofErr w:type="spellStart"/>
      <w:r w:rsidRPr="00361EB2">
        <w:rPr>
          <w:rFonts w:ascii="Times New Roman" w:hAnsi="Times New Roman" w:cs="Times New Roman"/>
          <w:color w:val="212121"/>
          <w:sz w:val="24"/>
          <w:szCs w:val="24"/>
          <w:shd w:val="clear" w:color="auto" w:fill="FFFFFF"/>
        </w:rPr>
        <w:t>muertes</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fue</w:t>
      </w:r>
      <w:proofErr w:type="spellEnd"/>
      <w:r w:rsidRPr="00361EB2">
        <w:rPr>
          <w:rFonts w:ascii="Times New Roman" w:hAnsi="Times New Roman" w:cs="Times New Roman"/>
          <w:color w:val="212121"/>
          <w:sz w:val="24"/>
          <w:szCs w:val="24"/>
          <w:shd w:val="clear" w:color="auto" w:fill="FFFFFF"/>
        </w:rPr>
        <w:t xml:space="preserve"> de 1,8. </w:t>
      </w:r>
      <w:r w:rsidR="00361EB2" w:rsidRPr="00361EB2">
        <w:rPr>
          <w:rFonts w:ascii="Times New Roman" w:hAnsi="Times New Roman" w:cs="Times New Roman"/>
          <w:sz w:val="24"/>
          <w:szCs w:val="24"/>
          <w:lang w:val="es-ES"/>
        </w:rPr>
        <w:t xml:space="preserve">Fue observado </w:t>
      </w:r>
      <w:proofErr w:type="spellStart"/>
      <w:r w:rsidRPr="00361EB2">
        <w:rPr>
          <w:rFonts w:ascii="Times New Roman" w:hAnsi="Times New Roman" w:cs="Times New Roman"/>
          <w:color w:val="212121"/>
          <w:sz w:val="24"/>
          <w:szCs w:val="24"/>
          <w:shd w:val="clear" w:color="auto" w:fill="FFFFFF"/>
        </w:rPr>
        <w:t>un</w:t>
      </w:r>
      <w:proofErr w:type="spellEnd"/>
      <w:r w:rsidRPr="00361EB2">
        <w:rPr>
          <w:rFonts w:ascii="Times New Roman" w:hAnsi="Times New Roman" w:cs="Times New Roman"/>
          <w:color w:val="212121"/>
          <w:sz w:val="24"/>
          <w:szCs w:val="24"/>
          <w:shd w:val="clear" w:color="auto" w:fill="FFFFFF"/>
        </w:rPr>
        <w:t xml:space="preserve"> aumento de 5,2% </w:t>
      </w:r>
      <w:proofErr w:type="spellStart"/>
      <w:r w:rsidRPr="00361EB2">
        <w:rPr>
          <w:rFonts w:ascii="Times New Roman" w:hAnsi="Times New Roman" w:cs="Times New Roman"/>
          <w:color w:val="212121"/>
          <w:sz w:val="24"/>
          <w:szCs w:val="24"/>
          <w:shd w:val="clear" w:color="auto" w:fill="FFFFFF"/>
        </w:rPr>
        <w:t>en</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el</w:t>
      </w:r>
      <w:proofErr w:type="spellEnd"/>
      <w:r w:rsidRPr="00361EB2">
        <w:rPr>
          <w:rFonts w:ascii="Times New Roman" w:hAnsi="Times New Roman" w:cs="Times New Roman"/>
          <w:color w:val="212121"/>
          <w:sz w:val="24"/>
          <w:szCs w:val="24"/>
          <w:shd w:val="clear" w:color="auto" w:fill="FFFFFF"/>
        </w:rPr>
        <w:t xml:space="preserve"> número de </w:t>
      </w:r>
      <w:proofErr w:type="spellStart"/>
      <w:r w:rsidRPr="00361EB2">
        <w:rPr>
          <w:rFonts w:ascii="Times New Roman" w:hAnsi="Times New Roman" w:cs="Times New Roman"/>
          <w:color w:val="212121"/>
          <w:sz w:val="24"/>
          <w:szCs w:val="24"/>
          <w:shd w:val="clear" w:color="auto" w:fill="FFFFFF"/>
        </w:rPr>
        <w:t>muertes</w:t>
      </w:r>
      <w:proofErr w:type="spellEnd"/>
      <w:r w:rsidR="00361EB2" w:rsidRPr="00361EB2">
        <w:rPr>
          <w:rFonts w:ascii="Times New Roman" w:hAnsi="Times New Roman" w:cs="Times New Roman"/>
          <w:color w:val="212121"/>
          <w:sz w:val="24"/>
          <w:szCs w:val="24"/>
          <w:shd w:val="clear" w:color="auto" w:fill="FFFFFF"/>
        </w:rPr>
        <w:t xml:space="preserve"> por </w:t>
      </w:r>
      <w:proofErr w:type="spellStart"/>
      <w:r w:rsidR="00361EB2" w:rsidRPr="00361EB2">
        <w:rPr>
          <w:rFonts w:ascii="Times New Roman" w:hAnsi="Times New Roman" w:cs="Times New Roman"/>
          <w:color w:val="212121"/>
          <w:sz w:val="24"/>
          <w:szCs w:val="24"/>
          <w:shd w:val="clear" w:color="auto" w:fill="FFFFFF"/>
        </w:rPr>
        <w:t>año</w:t>
      </w:r>
      <w:proofErr w:type="spellEnd"/>
      <w:r w:rsidRPr="00361EB2">
        <w:rPr>
          <w:rFonts w:ascii="Times New Roman" w:hAnsi="Times New Roman" w:cs="Times New Roman"/>
          <w:color w:val="212121"/>
          <w:sz w:val="24"/>
          <w:szCs w:val="24"/>
          <w:shd w:val="clear" w:color="auto" w:fill="FFFFFF"/>
        </w:rPr>
        <w:t xml:space="preserve">. </w:t>
      </w:r>
      <w:r w:rsidR="00361EB2" w:rsidRPr="00361EB2">
        <w:rPr>
          <w:rFonts w:ascii="Times New Roman" w:hAnsi="Times New Roman" w:cs="Times New Roman"/>
          <w:sz w:val="24"/>
          <w:szCs w:val="24"/>
          <w:lang w:val="es-ES"/>
        </w:rPr>
        <w:t>Concluye</w:t>
      </w:r>
      <w:r w:rsidR="00361EB2" w:rsidRPr="00361EB2">
        <w:rPr>
          <w:rFonts w:ascii="Times New Roman" w:hAnsi="Times New Roman" w:cs="Times New Roman"/>
          <w:color w:val="FF0000"/>
          <w:sz w:val="24"/>
          <w:szCs w:val="24"/>
          <w:lang w:val="es-ES"/>
        </w:rPr>
        <w:t xml:space="preserve"> </w:t>
      </w:r>
      <w:r w:rsidRPr="00361EB2">
        <w:rPr>
          <w:rFonts w:ascii="Times New Roman" w:hAnsi="Times New Roman" w:cs="Times New Roman"/>
          <w:color w:val="212121"/>
          <w:sz w:val="24"/>
          <w:szCs w:val="24"/>
          <w:shd w:val="clear" w:color="auto" w:fill="FFFFFF"/>
        </w:rPr>
        <w:t xml:space="preserve">que entre </w:t>
      </w:r>
      <w:proofErr w:type="spellStart"/>
      <w:r w:rsidRPr="00361EB2">
        <w:rPr>
          <w:rFonts w:ascii="Times New Roman" w:hAnsi="Times New Roman" w:cs="Times New Roman"/>
          <w:color w:val="212121"/>
          <w:sz w:val="24"/>
          <w:szCs w:val="24"/>
          <w:shd w:val="clear" w:color="auto" w:fill="FFFFFF"/>
        </w:rPr>
        <w:t>los</w:t>
      </w:r>
      <w:proofErr w:type="spellEnd"/>
      <w:r w:rsidRPr="00361EB2">
        <w:rPr>
          <w:rFonts w:ascii="Times New Roman" w:hAnsi="Times New Roman" w:cs="Times New Roman"/>
          <w:color w:val="212121"/>
          <w:sz w:val="24"/>
          <w:szCs w:val="24"/>
          <w:shd w:val="clear" w:color="auto" w:fill="FFFFFF"/>
        </w:rPr>
        <w:t xml:space="preserve"> componentes de </w:t>
      </w:r>
      <w:proofErr w:type="spellStart"/>
      <w:r w:rsidRPr="00361EB2">
        <w:rPr>
          <w:rFonts w:ascii="Times New Roman" w:hAnsi="Times New Roman" w:cs="Times New Roman"/>
          <w:color w:val="212121"/>
          <w:sz w:val="24"/>
          <w:szCs w:val="24"/>
          <w:shd w:val="clear" w:color="auto" w:fill="FFFFFF"/>
        </w:rPr>
        <w:t>las</w:t>
      </w:r>
      <w:proofErr w:type="spellEnd"/>
      <w:r w:rsidRPr="00361EB2">
        <w:rPr>
          <w:rFonts w:ascii="Times New Roman" w:hAnsi="Times New Roman" w:cs="Times New Roman"/>
          <w:color w:val="212121"/>
          <w:sz w:val="24"/>
          <w:szCs w:val="24"/>
          <w:shd w:val="clear" w:color="auto" w:fill="FFFFFF"/>
        </w:rPr>
        <w:t xml:space="preserve"> causas externas, </w:t>
      </w:r>
      <w:proofErr w:type="spellStart"/>
      <w:r w:rsidRPr="00361EB2">
        <w:rPr>
          <w:rFonts w:ascii="Times New Roman" w:hAnsi="Times New Roman" w:cs="Times New Roman"/>
          <w:color w:val="212121"/>
          <w:sz w:val="24"/>
          <w:szCs w:val="24"/>
          <w:shd w:val="clear" w:color="auto" w:fill="FFFFFF"/>
        </w:rPr>
        <w:t>los</w:t>
      </w:r>
      <w:proofErr w:type="spellEnd"/>
      <w:r w:rsidRPr="00361EB2">
        <w:rPr>
          <w:rFonts w:ascii="Times New Roman" w:hAnsi="Times New Roman" w:cs="Times New Roman"/>
          <w:color w:val="212121"/>
          <w:sz w:val="24"/>
          <w:szCs w:val="24"/>
          <w:shd w:val="clear" w:color="auto" w:fill="FFFFFF"/>
        </w:rPr>
        <w:t xml:space="preserve"> </w:t>
      </w:r>
      <w:proofErr w:type="spellStart"/>
      <w:r w:rsidRPr="00361EB2">
        <w:rPr>
          <w:rFonts w:ascii="Times New Roman" w:hAnsi="Times New Roman" w:cs="Times New Roman"/>
          <w:color w:val="212121"/>
          <w:sz w:val="24"/>
          <w:szCs w:val="24"/>
          <w:shd w:val="clear" w:color="auto" w:fill="FFFFFF"/>
        </w:rPr>
        <w:t>accidentes</w:t>
      </w:r>
      <w:proofErr w:type="spellEnd"/>
      <w:r w:rsidRPr="00361EB2">
        <w:rPr>
          <w:rFonts w:ascii="Times New Roman" w:hAnsi="Times New Roman" w:cs="Times New Roman"/>
          <w:color w:val="212121"/>
          <w:sz w:val="24"/>
          <w:szCs w:val="24"/>
          <w:shd w:val="clear" w:color="auto" w:fill="FFFFFF"/>
        </w:rPr>
        <w:t xml:space="preserve"> de </w:t>
      </w:r>
      <w:proofErr w:type="spellStart"/>
      <w:r w:rsidRPr="00361EB2">
        <w:rPr>
          <w:rFonts w:ascii="Times New Roman" w:hAnsi="Times New Roman" w:cs="Times New Roman"/>
          <w:color w:val="212121"/>
          <w:sz w:val="24"/>
          <w:szCs w:val="24"/>
          <w:shd w:val="clear" w:color="auto" w:fill="FFFFFF"/>
        </w:rPr>
        <w:t>trá</w:t>
      </w:r>
      <w:r w:rsidR="00361EB2" w:rsidRPr="00361EB2">
        <w:rPr>
          <w:rFonts w:ascii="Times New Roman" w:hAnsi="Times New Roman" w:cs="Times New Roman"/>
          <w:color w:val="212121"/>
          <w:sz w:val="24"/>
          <w:szCs w:val="24"/>
          <w:shd w:val="clear" w:color="auto" w:fill="FFFFFF"/>
        </w:rPr>
        <w:t>nsito</w:t>
      </w:r>
      <w:proofErr w:type="spellEnd"/>
      <w:r w:rsidR="00361EB2" w:rsidRPr="00361EB2">
        <w:rPr>
          <w:rFonts w:ascii="Times New Roman" w:hAnsi="Times New Roman" w:cs="Times New Roman"/>
          <w:color w:val="212121"/>
          <w:sz w:val="24"/>
          <w:szCs w:val="24"/>
          <w:shd w:val="clear" w:color="auto" w:fill="FFFFFF"/>
        </w:rPr>
        <w:t xml:space="preserve"> </w:t>
      </w:r>
      <w:proofErr w:type="spellStart"/>
      <w:r w:rsidR="00361EB2" w:rsidRPr="00361EB2">
        <w:rPr>
          <w:rFonts w:ascii="Times New Roman" w:hAnsi="Times New Roman" w:cs="Times New Roman"/>
          <w:color w:val="212121"/>
          <w:sz w:val="24"/>
          <w:szCs w:val="24"/>
          <w:shd w:val="clear" w:color="auto" w:fill="FFFFFF"/>
        </w:rPr>
        <w:t>son</w:t>
      </w:r>
      <w:proofErr w:type="spellEnd"/>
      <w:r w:rsidR="00361EB2" w:rsidRPr="00361EB2">
        <w:rPr>
          <w:rFonts w:ascii="Times New Roman" w:hAnsi="Times New Roman" w:cs="Times New Roman"/>
          <w:color w:val="212121"/>
          <w:sz w:val="24"/>
          <w:szCs w:val="24"/>
          <w:shd w:val="clear" w:color="auto" w:fill="FFFFFF"/>
        </w:rPr>
        <w:t xml:space="preserve"> </w:t>
      </w:r>
      <w:proofErr w:type="spellStart"/>
      <w:r w:rsidR="00361EB2" w:rsidRPr="00361EB2">
        <w:rPr>
          <w:rFonts w:ascii="Times New Roman" w:hAnsi="Times New Roman" w:cs="Times New Roman"/>
          <w:color w:val="212121"/>
          <w:sz w:val="24"/>
          <w:szCs w:val="24"/>
          <w:shd w:val="clear" w:color="auto" w:fill="FFFFFF"/>
        </w:rPr>
        <w:t>responsables</w:t>
      </w:r>
      <w:proofErr w:type="spellEnd"/>
      <w:r w:rsidR="00361EB2" w:rsidRPr="00361EB2">
        <w:rPr>
          <w:rFonts w:ascii="Times New Roman" w:hAnsi="Times New Roman" w:cs="Times New Roman"/>
          <w:color w:val="212121"/>
          <w:sz w:val="24"/>
          <w:szCs w:val="24"/>
          <w:shd w:val="clear" w:color="auto" w:fill="FFFFFF"/>
        </w:rPr>
        <w:t xml:space="preserve"> por</w:t>
      </w:r>
      <w:r w:rsidRPr="00361EB2">
        <w:rPr>
          <w:rFonts w:ascii="Times New Roman" w:hAnsi="Times New Roman" w:cs="Times New Roman"/>
          <w:color w:val="212121"/>
          <w:sz w:val="24"/>
          <w:szCs w:val="24"/>
          <w:shd w:val="clear" w:color="auto" w:fill="FFFFFF"/>
        </w:rPr>
        <w:t xml:space="preserve"> una </w:t>
      </w:r>
      <w:proofErr w:type="spellStart"/>
      <w:r w:rsidRPr="00361EB2">
        <w:rPr>
          <w:rFonts w:ascii="Times New Roman" w:hAnsi="Times New Roman" w:cs="Times New Roman"/>
          <w:color w:val="212121"/>
          <w:sz w:val="24"/>
          <w:szCs w:val="24"/>
          <w:shd w:val="clear" w:color="auto" w:fill="FFFFFF"/>
        </w:rPr>
        <w:t>mortalidad</w:t>
      </w:r>
      <w:proofErr w:type="spellEnd"/>
      <w:r w:rsidRPr="00361EB2">
        <w:rPr>
          <w:rFonts w:ascii="Times New Roman" w:hAnsi="Times New Roman" w:cs="Times New Roman"/>
          <w:color w:val="212121"/>
          <w:sz w:val="24"/>
          <w:szCs w:val="24"/>
          <w:shd w:val="clear" w:color="auto" w:fill="FFFFFF"/>
        </w:rPr>
        <w:t xml:space="preserve"> extremadamente alta </w:t>
      </w:r>
      <w:proofErr w:type="spellStart"/>
      <w:r w:rsidRPr="00361EB2">
        <w:rPr>
          <w:rFonts w:ascii="Times New Roman" w:hAnsi="Times New Roman" w:cs="Times New Roman"/>
          <w:color w:val="212121"/>
          <w:sz w:val="24"/>
          <w:szCs w:val="24"/>
          <w:shd w:val="clear" w:color="auto" w:fill="FFFFFF"/>
        </w:rPr>
        <w:t>en</w:t>
      </w:r>
      <w:proofErr w:type="spellEnd"/>
      <w:r w:rsidRPr="00361EB2">
        <w:rPr>
          <w:rFonts w:ascii="Times New Roman" w:hAnsi="Times New Roman" w:cs="Times New Roman"/>
          <w:color w:val="212121"/>
          <w:sz w:val="24"/>
          <w:szCs w:val="24"/>
          <w:shd w:val="clear" w:color="auto" w:fill="FFFFFF"/>
        </w:rPr>
        <w:t xml:space="preserve"> todas </w:t>
      </w:r>
      <w:proofErr w:type="spellStart"/>
      <w:r w:rsidRPr="00361EB2">
        <w:rPr>
          <w:rFonts w:ascii="Times New Roman" w:hAnsi="Times New Roman" w:cs="Times New Roman"/>
          <w:color w:val="212121"/>
          <w:sz w:val="24"/>
          <w:szCs w:val="24"/>
          <w:shd w:val="clear" w:color="auto" w:fill="FFFFFF"/>
        </w:rPr>
        <w:t>las</w:t>
      </w:r>
      <w:proofErr w:type="spellEnd"/>
      <w:r w:rsidRPr="00361EB2">
        <w:rPr>
          <w:rFonts w:ascii="Times New Roman" w:hAnsi="Times New Roman" w:cs="Times New Roman"/>
          <w:color w:val="212121"/>
          <w:sz w:val="24"/>
          <w:szCs w:val="24"/>
          <w:shd w:val="clear" w:color="auto" w:fill="FFFFFF"/>
        </w:rPr>
        <w:t xml:space="preserve"> sociedades.</w:t>
      </w:r>
    </w:p>
    <w:p w:rsidR="00514068" w:rsidRPr="006A1F0B" w:rsidRDefault="00514068" w:rsidP="00514068">
      <w:pPr>
        <w:autoSpaceDE w:val="0"/>
        <w:autoSpaceDN w:val="0"/>
        <w:adjustRightInd w:val="0"/>
        <w:jc w:val="both"/>
      </w:pPr>
      <w:proofErr w:type="spellStart"/>
      <w:r>
        <w:t>Palabras</w:t>
      </w:r>
      <w:proofErr w:type="spellEnd"/>
      <w:r>
        <w:t xml:space="preserve"> clave: </w:t>
      </w:r>
      <w:proofErr w:type="spellStart"/>
      <w:r>
        <w:rPr>
          <w:bCs/>
          <w:color w:val="000000"/>
        </w:rPr>
        <w:t>Epidemiologí</w:t>
      </w:r>
      <w:r w:rsidRPr="00D36646">
        <w:rPr>
          <w:bCs/>
          <w:color w:val="000000"/>
        </w:rPr>
        <w:t>a</w:t>
      </w:r>
      <w:proofErr w:type="spellEnd"/>
      <w:r>
        <w:rPr>
          <w:bCs/>
          <w:color w:val="000000"/>
        </w:rPr>
        <w:t xml:space="preserve">. </w:t>
      </w:r>
      <w:proofErr w:type="spellStart"/>
      <w:r w:rsidRPr="006A1F0B">
        <w:rPr>
          <w:bCs/>
          <w:color w:val="000000"/>
        </w:rPr>
        <w:t>Estudios</w:t>
      </w:r>
      <w:proofErr w:type="spellEnd"/>
      <w:r w:rsidRPr="006A1F0B">
        <w:rPr>
          <w:bCs/>
          <w:color w:val="000000"/>
        </w:rPr>
        <w:t xml:space="preserve"> de </w:t>
      </w:r>
      <w:r>
        <w:rPr>
          <w:bCs/>
          <w:color w:val="000000"/>
        </w:rPr>
        <w:t>s</w:t>
      </w:r>
      <w:r w:rsidRPr="006A1F0B">
        <w:rPr>
          <w:bCs/>
          <w:color w:val="000000"/>
        </w:rPr>
        <w:t xml:space="preserve">eries </w:t>
      </w:r>
      <w:proofErr w:type="spellStart"/>
      <w:r>
        <w:rPr>
          <w:bCs/>
          <w:color w:val="000000"/>
        </w:rPr>
        <w:t>t</w:t>
      </w:r>
      <w:r w:rsidRPr="006A1F0B">
        <w:rPr>
          <w:bCs/>
          <w:color w:val="000000"/>
        </w:rPr>
        <w:t>emporales</w:t>
      </w:r>
      <w:proofErr w:type="spellEnd"/>
      <w:r>
        <w:rPr>
          <w:bCs/>
          <w:color w:val="000000"/>
        </w:rPr>
        <w:t>.</w:t>
      </w:r>
      <w:r w:rsidRPr="006A1F0B">
        <w:t xml:space="preserve"> </w:t>
      </w:r>
      <w:r>
        <w:t>Causas e</w:t>
      </w:r>
      <w:r w:rsidRPr="006A1F0B">
        <w:t>xternas</w:t>
      </w:r>
      <w:r>
        <w:t>.</w:t>
      </w:r>
      <w:r w:rsidRPr="006A1F0B">
        <w:t xml:space="preserve"> </w:t>
      </w:r>
      <w:proofErr w:type="spellStart"/>
      <w:r w:rsidRPr="006A1F0B">
        <w:rPr>
          <w:bCs/>
          <w:color w:val="000000"/>
        </w:rPr>
        <w:t>Accidentes</w:t>
      </w:r>
      <w:proofErr w:type="spellEnd"/>
      <w:r w:rsidRPr="006A1F0B">
        <w:rPr>
          <w:bCs/>
          <w:color w:val="000000"/>
        </w:rPr>
        <w:t xml:space="preserve"> d</w:t>
      </w:r>
      <w:r>
        <w:rPr>
          <w:bCs/>
          <w:color w:val="000000"/>
        </w:rPr>
        <w:t xml:space="preserve">e </w:t>
      </w:r>
      <w:proofErr w:type="spellStart"/>
      <w:r>
        <w:rPr>
          <w:bCs/>
          <w:color w:val="000000"/>
        </w:rPr>
        <w:t>t</w:t>
      </w:r>
      <w:r w:rsidRPr="006A1F0B">
        <w:rPr>
          <w:bCs/>
          <w:color w:val="000000"/>
        </w:rPr>
        <w:t>ránsito</w:t>
      </w:r>
      <w:proofErr w:type="spellEnd"/>
      <w:r>
        <w:rPr>
          <w:bCs/>
          <w:color w:val="000000"/>
        </w:rPr>
        <w:t xml:space="preserve">. </w:t>
      </w:r>
      <w:proofErr w:type="spellStart"/>
      <w:r w:rsidRPr="006A1F0B">
        <w:rPr>
          <w:bCs/>
          <w:color w:val="000000"/>
        </w:rPr>
        <w:t>Mortalidad</w:t>
      </w:r>
      <w:proofErr w:type="spellEnd"/>
      <w:r>
        <w:rPr>
          <w:bCs/>
          <w:color w:val="000000"/>
        </w:rPr>
        <w:t>.</w:t>
      </w:r>
      <w:r w:rsidRPr="006A1F0B">
        <w:rPr>
          <w:bCs/>
          <w:color w:val="000000"/>
        </w:rPr>
        <w:t> </w:t>
      </w:r>
    </w:p>
    <w:p w:rsidR="00514068" w:rsidRPr="00FF7A60" w:rsidRDefault="00514068" w:rsidP="00EF79E1">
      <w:pPr>
        <w:spacing w:line="360" w:lineRule="auto"/>
        <w:jc w:val="both"/>
      </w:pPr>
    </w:p>
    <w:p w:rsidR="009439F5" w:rsidRPr="00FF7A60" w:rsidRDefault="009D08DF" w:rsidP="00EF79E1">
      <w:pPr>
        <w:spacing w:line="360" w:lineRule="auto"/>
        <w:jc w:val="both"/>
        <w:rPr>
          <w:b/>
        </w:rPr>
      </w:pPr>
      <w:r w:rsidRPr="00FF7A60">
        <w:rPr>
          <w:b/>
        </w:rPr>
        <w:t>INTRODUÇÃO</w:t>
      </w:r>
    </w:p>
    <w:p w:rsidR="00321F51" w:rsidRDefault="00C150A1" w:rsidP="00321F51">
      <w:pPr>
        <w:pStyle w:val="Recuodecorpodetexto"/>
        <w:spacing w:line="480" w:lineRule="auto"/>
        <w:ind w:left="0" w:firstLine="708"/>
        <w:rPr>
          <w:szCs w:val="24"/>
        </w:rPr>
      </w:pPr>
      <w:r>
        <w:rPr>
          <w:szCs w:val="24"/>
        </w:rPr>
        <w:t xml:space="preserve">Os acidentes de trânsito destacam-se como importante problema de saúde pública em escala global, nacional e regional, sendo responsáveis por um grande número de </w:t>
      </w:r>
      <w:proofErr w:type="gramStart"/>
      <w:r>
        <w:rPr>
          <w:szCs w:val="24"/>
        </w:rPr>
        <w:t>mortes</w:t>
      </w:r>
      <w:r w:rsidR="008731DF" w:rsidRPr="008731DF">
        <w:rPr>
          <w:szCs w:val="24"/>
          <w:vertAlign w:val="superscript"/>
        </w:rPr>
        <w:t>(</w:t>
      </w:r>
      <w:proofErr w:type="gramEnd"/>
      <w:r w:rsidRPr="00E02198">
        <w:rPr>
          <w:szCs w:val="24"/>
          <w:vertAlign w:val="superscript"/>
        </w:rPr>
        <w:t>1</w:t>
      </w:r>
      <w:r w:rsidR="008731DF">
        <w:rPr>
          <w:szCs w:val="24"/>
          <w:vertAlign w:val="superscript"/>
        </w:rPr>
        <w:t>)</w:t>
      </w:r>
      <w:r>
        <w:rPr>
          <w:szCs w:val="24"/>
        </w:rPr>
        <w:t xml:space="preserve">. </w:t>
      </w:r>
      <w:r w:rsidR="00071FC4">
        <w:rPr>
          <w:szCs w:val="24"/>
        </w:rPr>
        <w:t>C</w:t>
      </w:r>
      <w:r w:rsidR="00914B0E" w:rsidRPr="001D238C">
        <w:rPr>
          <w:szCs w:val="24"/>
        </w:rPr>
        <w:t>ausam aproximadamente 1,3 milhões de óbitos anualmente, 90% dos quais em países de baix</w:t>
      </w:r>
      <w:r w:rsidR="00914B0E">
        <w:rPr>
          <w:szCs w:val="24"/>
        </w:rPr>
        <w:t>o</w:t>
      </w:r>
      <w:r w:rsidR="00914B0E" w:rsidRPr="001D238C">
        <w:rPr>
          <w:szCs w:val="24"/>
        </w:rPr>
        <w:t xml:space="preserve"> e médi</w:t>
      </w:r>
      <w:r w:rsidR="00914B0E">
        <w:rPr>
          <w:szCs w:val="24"/>
        </w:rPr>
        <w:t>o poder econômico</w:t>
      </w:r>
      <w:r w:rsidR="00321F51">
        <w:rPr>
          <w:szCs w:val="24"/>
        </w:rPr>
        <w:t>.</w:t>
      </w:r>
      <w:r w:rsidR="00321F51" w:rsidRPr="00321F51">
        <w:t xml:space="preserve"> </w:t>
      </w:r>
      <w:r w:rsidR="00321F51">
        <w:rPr>
          <w:szCs w:val="24"/>
        </w:rPr>
        <w:t xml:space="preserve">O Brasil ocupa a quinta posição entre os países com maior número de mortes por acidentes de trânsito, precedido pela Índia, China, Estados Unidos e </w:t>
      </w:r>
      <w:proofErr w:type="gramStart"/>
      <w:r w:rsidR="00321F51">
        <w:rPr>
          <w:szCs w:val="24"/>
        </w:rPr>
        <w:t>Rússia</w:t>
      </w:r>
      <w:r w:rsidR="00321F51" w:rsidRPr="008731DF">
        <w:rPr>
          <w:szCs w:val="24"/>
          <w:vertAlign w:val="superscript"/>
        </w:rPr>
        <w:t>(</w:t>
      </w:r>
      <w:proofErr w:type="gramEnd"/>
      <w:r w:rsidR="00321F51">
        <w:rPr>
          <w:szCs w:val="24"/>
          <w:vertAlign w:val="superscript"/>
        </w:rPr>
        <w:t>2)</w:t>
      </w:r>
      <w:r w:rsidR="00321F51">
        <w:rPr>
          <w:szCs w:val="24"/>
        </w:rPr>
        <w:t>.</w:t>
      </w:r>
    </w:p>
    <w:p w:rsidR="00914B0E" w:rsidRDefault="00071FC4" w:rsidP="00914B0E">
      <w:pPr>
        <w:pStyle w:val="Recuodecorpodetexto"/>
        <w:spacing w:line="480" w:lineRule="auto"/>
        <w:ind w:left="0" w:firstLine="709"/>
        <w:rPr>
          <w:szCs w:val="24"/>
        </w:rPr>
      </w:pPr>
      <w:r>
        <w:rPr>
          <w:szCs w:val="24"/>
        </w:rPr>
        <w:t>Ess</w:t>
      </w:r>
      <w:r w:rsidR="00F54618">
        <w:rPr>
          <w:szCs w:val="24"/>
        </w:rPr>
        <w:t>a</w:t>
      </w:r>
      <w:r>
        <w:rPr>
          <w:szCs w:val="24"/>
        </w:rPr>
        <w:t xml:space="preserve">s </w:t>
      </w:r>
      <w:r w:rsidR="00F54618">
        <w:rPr>
          <w:szCs w:val="24"/>
        </w:rPr>
        <w:t>ocorrências</w:t>
      </w:r>
      <w:r>
        <w:rPr>
          <w:szCs w:val="24"/>
        </w:rPr>
        <w:t xml:space="preserve"> s</w:t>
      </w:r>
      <w:r w:rsidR="006E0C4D">
        <w:rPr>
          <w:szCs w:val="24"/>
        </w:rPr>
        <w:t xml:space="preserve">ão </w:t>
      </w:r>
      <w:r w:rsidR="006E0C4D" w:rsidRPr="00581DEF">
        <w:rPr>
          <w:szCs w:val="24"/>
        </w:rPr>
        <w:t>decorre</w:t>
      </w:r>
      <w:r w:rsidR="006E0C4D">
        <w:rPr>
          <w:szCs w:val="24"/>
        </w:rPr>
        <w:t>ntes</w:t>
      </w:r>
      <w:r w:rsidR="006E0C4D" w:rsidRPr="00581DEF">
        <w:rPr>
          <w:szCs w:val="24"/>
        </w:rPr>
        <w:t xml:space="preserve"> da associação</w:t>
      </w:r>
      <w:r w:rsidR="006E0C4D">
        <w:rPr>
          <w:szCs w:val="24"/>
        </w:rPr>
        <w:t xml:space="preserve"> de vários</w:t>
      </w:r>
      <w:r w:rsidR="006E0C4D" w:rsidRPr="00581DEF">
        <w:rPr>
          <w:szCs w:val="24"/>
        </w:rPr>
        <w:t xml:space="preserve"> fatores relacionados às </w:t>
      </w:r>
      <w:r w:rsidR="006E0C4D">
        <w:rPr>
          <w:szCs w:val="24"/>
        </w:rPr>
        <w:t xml:space="preserve">condições de infraestrutura das </w:t>
      </w:r>
      <w:r w:rsidR="006E0C4D" w:rsidRPr="00581DEF">
        <w:rPr>
          <w:szCs w:val="24"/>
        </w:rPr>
        <w:t>vias</w:t>
      </w:r>
      <w:r w:rsidR="006E0C4D">
        <w:rPr>
          <w:szCs w:val="24"/>
        </w:rPr>
        <w:t xml:space="preserve"> e rodovias</w:t>
      </w:r>
      <w:r w:rsidR="006E0C4D" w:rsidRPr="00581DEF">
        <w:rPr>
          <w:szCs w:val="24"/>
        </w:rPr>
        <w:t xml:space="preserve">, </w:t>
      </w:r>
      <w:r w:rsidR="009C2877">
        <w:rPr>
          <w:szCs w:val="24"/>
        </w:rPr>
        <w:t>d</w:t>
      </w:r>
      <w:r w:rsidR="006E0C4D" w:rsidRPr="00581DEF">
        <w:rPr>
          <w:szCs w:val="24"/>
        </w:rPr>
        <w:t xml:space="preserve">o ambiente, </w:t>
      </w:r>
      <w:r w:rsidR="009C2877">
        <w:rPr>
          <w:szCs w:val="24"/>
        </w:rPr>
        <w:t>dos</w:t>
      </w:r>
      <w:r w:rsidR="006E0C4D" w:rsidRPr="00581DEF">
        <w:rPr>
          <w:szCs w:val="24"/>
        </w:rPr>
        <w:t xml:space="preserve"> veículos e </w:t>
      </w:r>
      <w:r w:rsidR="009C2877">
        <w:rPr>
          <w:szCs w:val="24"/>
        </w:rPr>
        <w:t>do comportamento dos</w:t>
      </w:r>
      <w:r w:rsidR="006E0C4D" w:rsidRPr="00581DEF">
        <w:rPr>
          <w:szCs w:val="24"/>
        </w:rPr>
        <w:t xml:space="preserve"> </w:t>
      </w:r>
      <w:proofErr w:type="gramStart"/>
      <w:r w:rsidR="006E0C4D" w:rsidRPr="00581DEF">
        <w:rPr>
          <w:szCs w:val="24"/>
        </w:rPr>
        <w:t>usuários</w:t>
      </w:r>
      <w:r w:rsidR="006E0C4D">
        <w:rPr>
          <w:vertAlign w:val="superscript"/>
        </w:rPr>
        <w:t>(</w:t>
      </w:r>
      <w:proofErr w:type="gramEnd"/>
      <w:r w:rsidR="00392BA7">
        <w:rPr>
          <w:vertAlign w:val="superscript"/>
        </w:rPr>
        <w:t>3</w:t>
      </w:r>
      <w:r w:rsidR="006E0C4D">
        <w:rPr>
          <w:vertAlign w:val="superscript"/>
        </w:rPr>
        <w:t>)</w:t>
      </w:r>
      <w:r w:rsidR="006E0C4D">
        <w:t xml:space="preserve">. </w:t>
      </w:r>
      <w:r w:rsidR="00914B0E" w:rsidRPr="00613DE5">
        <w:rPr>
          <w:szCs w:val="24"/>
        </w:rPr>
        <w:t xml:space="preserve">Para as vítimas, as </w:t>
      </w:r>
      <w:r w:rsidR="00914B0E">
        <w:rPr>
          <w:szCs w:val="24"/>
        </w:rPr>
        <w:t>consequências dessas ocorrências</w:t>
      </w:r>
      <w:r w:rsidR="00914B0E" w:rsidRPr="00613DE5">
        <w:rPr>
          <w:szCs w:val="24"/>
        </w:rPr>
        <w:t xml:space="preserve"> são as mortes, sequelas, traumas, necessidade de assistência pré-hospitalar e intra-hospitalar especializada</w:t>
      </w:r>
      <w:r w:rsidR="00914B0E">
        <w:rPr>
          <w:szCs w:val="24"/>
        </w:rPr>
        <w:t xml:space="preserve"> e</w:t>
      </w:r>
      <w:r w:rsidR="00914B0E" w:rsidRPr="00914B0E">
        <w:rPr>
          <w:szCs w:val="24"/>
        </w:rPr>
        <w:t xml:space="preserve"> </w:t>
      </w:r>
      <w:r w:rsidR="00914B0E" w:rsidRPr="00905B50">
        <w:rPr>
          <w:szCs w:val="24"/>
        </w:rPr>
        <w:t xml:space="preserve">aos anos potenciais de vida </w:t>
      </w:r>
      <w:proofErr w:type="gramStart"/>
      <w:r w:rsidR="00914B0E" w:rsidRPr="00905B50">
        <w:rPr>
          <w:szCs w:val="24"/>
        </w:rPr>
        <w:t>perdidos</w:t>
      </w:r>
      <w:r w:rsidR="00914B0E" w:rsidRPr="008731DF">
        <w:rPr>
          <w:szCs w:val="24"/>
          <w:vertAlign w:val="superscript"/>
        </w:rPr>
        <w:t>(</w:t>
      </w:r>
      <w:proofErr w:type="gramEnd"/>
      <w:r w:rsidR="00914B0E" w:rsidRPr="000055D6">
        <w:rPr>
          <w:szCs w:val="24"/>
          <w:vertAlign w:val="superscript"/>
        </w:rPr>
        <w:t>1</w:t>
      </w:r>
      <w:r w:rsidR="00914B0E">
        <w:rPr>
          <w:szCs w:val="24"/>
          <w:vertAlign w:val="superscript"/>
        </w:rPr>
        <w:t>)</w:t>
      </w:r>
      <w:r w:rsidR="00914B0E" w:rsidRPr="00613DE5">
        <w:rPr>
          <w:szCs w:val="24"/>
        </w:rPr>
        <w:t>.</w:t>
      </w:r>
    </w:p>
    <w:p w:rsidR="00651676" w:rsidRPr="003E2A56" w:rsidRDefault="00F54618" w:rsidP="00D869F5">
      <w:pPr>
        <w:pStyle w:val="Recuodecorpodetexto"/>
        <w:spacing w:line="480" w:lineRule="auto"/>
        <w:ind w:left="0" w:firstLine="709"/>
      </w:pPr>
      <w:r>
        <w:t>As estatísticas de acidentes de trânsito evidenciam a falta de segurança e investimentos nessa área, sendo o</w:t>
      </w:r>
      <w:r w:rsidR="00F02246" w:rsidRPr="00483A44">
        <w:rPr>
          <w:szCs w:val="24"/>
        </w:rPr>
        <w:t>s impactos des</w:t>
      </w:r>
      <w:r w:rsidR="00F02246">
        <w:rPr>
          <w:szCs w:val="24"/>
        </w:rPr>
        <w:t>tes eventos</w:t>
      </w:r>
      <w:r w:rsidR="00F02246" w:rsidRPr="00483A44">
        <w:rPr>
          <w:szCs w:val="24"/>
        </w:rPr>
        <w:t xml:space="preserve"> observados em indicadores negativos</w:t>
      </w:r>
      <w:r>
        <w:rPr>
          <w:szCs w:val="24"/>
        </w:rPr>
        <w:t>, pois</w:t>
      </w:r>
      <w:r w:rsidR="00F02246" w:rsidRPr="00483A44">
        <w:rPr>
          <w:szCs w:val="24"/>
        </w:rPr>
        <w:t xml:space="preserve"> </w:t>
      </w:r>
      <w:r>
        <w:t xml:space="preserve">acarretam custos elevados para </w:t>
      </w:r>
      <w:r w:rsidR="007808AB">
        <w:t>as vítimas</w:t>
      </w:r>
      <w:r>
        <w:t>, famílias</w:t>
      </w:r>
      <w:r w:rsidR="007808AB">
        <w:t>,</w:t>
      </w:r>
      <w:r>
        <w:t xml:space="preserve"> sociedade</w:t>
      </w:r>
      <w:r w:rsidR="007808AB">
        <w:t xml:space="preserve"> e sistema de </w:t>
      </w:r>
      <w:proofErr w:type="gramStart"/>
      <w:r w:rsidR="007808AB">
        <w:t>saúde</w:t>
      </w:r>
      <w:r w:rsidR="00F02246">
        <w:rPr>
          <w:szCs w:val="24"/>
          <w:vertAlign w:val="superscript"/>
        </w:rPr>
        <w:t>(</w:t>
      </w:r>
      <w:proofErr w:type="gramEnd"/>
      <w:r w:rsidR="00157314">
        <w:rPr>
          <w:szCs w:val="24"/>
          <w:vertAlign w:val="superscript"/>
        </w:rPr>
        <w:t>1,</w:t>
      </w:r>
      <w:r w:rsidR="007808AB">
        <w:rPr>
          <w:szCs w:val="24"/>
          <w:vertAlign w:val="superscript"/>
        </w:rPr>
        <w:t>4</w:t>
      </w:r>
      <w:r w:rsidR="00F02246">
        <w:rPr>
          <w:szCs w:val="24"/>
          <w:vertAlign w:val="superscript"/>
        </w:rPr>
        <w:t>)</w:t>
      </w:r>
      <w:r w:rsidR="00F02246" w:rsidRPr="00DA08A2">
        <w:rPr>
          <w:szCs w:val="24"/>
        </w:rPr>
        <w:t>.</w:t>
      </w:r>
      <w:r w:rsidR="00D869F5">
        <w:rPr>
          <w:szCs w:val="24"/>
        </w:rPr>
        <w:t xml:space="preserve"> </w:t>
      </w:r>
      <w:r w:rsidR="00D869F5" w:rsidRPr="002C3801">
        <w:rPr>
          <w:szCs w:val="24"/>
          <w:lang w:val="pt-PT"/>
        </w:rPr>
        <w:t>A</w:t>
      </w:r>
      <w:r w:rsidR="00D869F5">
        <w:rPr>
          <w:szCs w:val="24"/>
          <w:lang w:val="pt-PT"/>
        </w:rPr>
        <w:t xml:space="preserve"> prevenção e</w:t>
      </w:r>
      <w:r w:rsidR="00D869F5" w:rsidRPr="002C3801">
        <w:rPr>
          <w:szCs w:val="24"/>
          <w:lang w:val="pt-PT"/>
        </w:rPr>
        <w:t xml:space="preserve"> diminuição das mortes por ocorrências de trânsito, está associada ao empenho do poder público no adequado planejamento e direcionamento de recursos humanos e financeiros </w:t>
      </w:r>
      <w:r w:rsidR="00D869F5" w:rsidRPr="002C3801">
        <w:rPr>
          <w:szCs w:val="24"/>
          <w:lang w:val="pt-PT"/>
        </w:rPr>
        <w:lastRenderedPageBreak/>
        <w:t xml:space="preserve">e está relacionada com  políticas públicas </w:t>
      </w:r>
      <w:r w:rsidR="00651676" w:rsidRPr="003E2A56">
        <w:t>executadas de forma coordenada</w:t>
      </w:r>
      <w:r w:rsidR="00781386">
        <w:t xml:space="preserve"> </w:t>
      </w:r>
      <w:r w:rsidR="00D869F5">
        <w:t>entre todos os segmentos da</w:t>
      </w:r>
      <w:r w:rsidR="00781386">
        <w:t xml:space="preserve"> sociedade</w:t>
      </w:r>
      <w:r w:rsidR="00651676">
        <w:rPr>
          <w:vertAlign w:val="superscript"/>
        </w:rPr>
        <w:t>(</w:t>
      </w:r>
      <w:r w:rsidR="009F2F80">
        <w:rPr>
          <w:vertAlign w:val="superscript"/>
        </w:rPr>
        <w:t>5</w:t>
      </w:r>
      <w:r w:rsidR="00651676">
        <w:rPr>
          <w:vertAlign w:val="superscript"/>
        </w:rPr>
        <w:t>)</w:t>
      </w:r>
      <w:r w:rsidR="00651676" w:rsidRPr="003E2A56">
        <w:t xml:space="preserve">. </w:t>
      </w:r>
    </w:p>
    <w:p w:rsidR="00651676" w:rsidRDefault="00651676" w:rsidP="00E61512">
      <w:pPr>
        <w:pStyle w:val="Recuodecorpodetexto"/>
        <w:spacing w:line="480" w:lineRule="auto"/>
        <w:ind w:left="0" w:firstLine="709"/>
        <w:rPr>
          <w:szCs w:val="24"/>
        </w:rPr>
      </w:pPr>
      <w:r w:rsidRPr="002C3801">
        <w:rPr>
          <w:lang w:val="pt-PT"/>
        </w:rPr>
        <w:t>Diante d</w:t>
      </w:r>
      <w:r w:rsidR="009D08DF">
        <w:rPr>
          <w:lang w:val="pt-PT"/>
        </w:rPr>
        <w:t>essa perspectiva</w:t>
      </w:r>
      <w:r w:rsidRPr="002C3801">
        <w:rPr>
          <w:lang w:val="pt-PT"/>
        </w:rPr>
        <w:t xml:space="preserve"> e considerando a importância d</w:t>
      </w:r>
      <w:r>
        <w:rPr>
          <w:lang w:val="pt-PT"/>
        </w:rPr>
        <w:t xml:space="preserve">os acidentes </w:t>
      </w:r>
      <w:r w:rsidRPr="002C3801">
        <w:rPr>
          <w:lang w:val="pt-PT"/>
        </w:rPr>
        <w:t xml:space="preserve">de trânsito para a ocorrência </w:t>
      </w:r>
      <w:r w:rsidR="00E61512">
        <w:rPr>
          <w:lang w:val="pt-PT"/>
        </w:rPr>
        <w:t xml:space="preserve">de </w:t>
      </w:r>
      <w:r w:rsidR="00A610FD" w:rsidRPr="002C3801">
        <w:rPr>
          <w:lang w:val="pt-PT"/>
        </w:rPr>
        <w:t>morte</w:t>
      </w:r>
      <w:r w:rsidR="00E61512">
        <w:rPr>
          <w:lang w:val="pt-PT"/>
        </w:rPr>
        <w:t>s</w:t>
      </w:r>
      <w:r w:rsidRPr="002C3801">
        <w:t xml:space="preserve">, </w:t>
      </w:r>
      <w:r w:rsidR="00BE5C6C">
        <w:t xml:space="preserve">foram objetivos </w:t>
      </w:r>
      <w:r w:rsidR="00BE5C6C" w:rsidRPr="00E40732">
        <w:t>deste estudo</w:t>
      </w:r>
      <w:r w:rsidR="00BE5C6C">
        <w:t xml:space="preserve">, </w:t>
      </w:r>
      <w:r w:rsidR="009D08DF">
        <w:t>d</w:t>
      </w:r>
      <w:r w:rsidR="009D08DF" w:rsidRPr="00BF2151">
        <w:t xml:space="preserve">escrever as características sócio-demográficas </w:t>
      </w:r>
      <w:r w:rsidR="009D08DF">
        <w:t xml:space="preserve">dos mortos em </w:t>
      </w:r>
      <w:r w:rsidR="009D08DF" w:rsidRPr="00E41349">
        <w:t xml:space="preserve">acidentes </w:t>
      </w:r>
      <w:r w:rsidR="006A36B6" w:rsidRPr="00117DEA">
        <w:t>automobilísticos</w:t>
      </w:r>
      <w:r w:rsidR="00E41349" w:rsidRPr="00E41349">
        <w:rPr>
          <w:szCs w:val="24"/>
        </w:rPr>
        <w:t>,</w:t>
      </w:r>
      <w:r w:rsidR="00BE5C6C" w:rsidRPr="003567CA">
        <w:rPr>
          <w:szCs w:val="24"/>
        </w:rPr>
        <w:t xml:space="preserve"> resid</w:t>
      </w:r>
      <w:r w:rsidR="00BE5C6C">
        <w:rPr>
          <w:szCs w:val="24"/>
        </w:rPr>
        <w:t>entes na cidade de Maringá – PR e a</w:t>
      </w:r>
      <w:r w:rsidR="00BE5C6C" w:rsidRPr="00666CC8">
        <w:rPr>
          <w:szCs w:val="24"/>
        </w:rPr>
        <w:t>nalisar a tendência temporal da mortalidade, entre 1996 e 2012</w:t>
      </w:r>
      <w:r w:rsidR="00BE5C6C">
        <w:rPr>
          <w:szCs w:val="24"/>
        </w:rPr>
        <w:t>.</w:t>
      </w:r>
    </w:p>
    <w:p w:rsidR="000B0B88" w:rsidRPr="000E4754" w:rsidRDefault="000E4754" w:rsidP="00314BD7">
      <w:pPr>
        <w:pStyle w:val="Recuodecorpodetexto"/>
        <w:spacing w:line="480" w:lineRule="auto"/>
        <w:rPr>
          <w:b/>
          <w:szCs w:val="24"/>
          <w:lang w:eastAsia="pt-BR"/>
        </w:rPr>
      </w:pPr>
      <w:r w:rsidRPr="000E4754">
        <w:rPr>
          <w:b/>
          <w:szCs w:val="24"/>
          <w:lang w:eastAsia="pt-BR"/>
        </w:rPr>
        <w:t>METODOLOGIA</w:t>
      </w:r>
    </w:p>
    <w:p w:rsidR="006A36B6" w:rsidRDefault="00E61512" w:rsidP="00AF752D">
      <w:pPr>
        <w:autoSpaceDE w:val="0"/>
        <w:autoSpaceDN w:val="0"/>
        <w:adjustRightInd w:val="0"/>
        <w:spacing w:line="480" w:lineRule="auto"/>
        <w:ind w:firstLine="539"/>
        <w:jc w:val="both"/>
      </w:pPr>
      <w:r>
        <w:t>Trata-se de um estudo epidemiológico, descritivo</w:t>
      </w:r>
      <w:r w:rsidR="006A36B6">
        <w:t xml:space="preserve"> </w:t>
      </w:r>
      <w:r>
        <w:t>e</w:t>
      </w:r>
      <w:r w:rsidRPr="00A131F6">
        <w:t xml:space="preserve"> retrospectivo com abordagem </w:t>
      </w:r>
      <w:proofErr w:type="gramStart"/>
      <w:r w:rsidR="006A36B6">
        <w:t>longitudinal</w:t>
      </w:r>
      <w:r w:rsidR="006A36B6">
        <w:rPr>
          <w:vertAlign w:val="superscript"/>
        </w:rPr>
        <w:t>(</w:t>
      </w:r>
      <w:proofErr w:type="gramEnd"/>
      <w:r w:rsidR="006A36B6">
        <w:rPr>
          <w:vertAlign w:val="superscript"/>
        </w:rPr>
        <w:t>6</w:t>
      </w:r>
      <w:r w:rsidR="00314BD7" w:rsidRPr="00314BD7">
        <w:rPr>
          <w:vertAlign w:val="superscript"/>
        </w:rPr>
        <w:t>)</w:t>
      </w:r>
      <w:r w:rsidR="00C856E9" w:rsidRPr="00117DEA">
        <w:t xml:space="preserve">, da mortalidade por acidentes automobilísticos </w:t>
      </w:r>
      <w:r w:rsidR="006A36B6">
        <w:t>n</w:t>
      </w:r>
      <w:r w:rsidR="00C856E9" w:rsidRPr="00117DEA">
        <w:t xml:space="preserve">o Município de Maringá – PR, no período de 1996 a 2012. </w:t>
      </w:r>
      <w:proofErr w:type="gramStart"/>
      <w:r w:rsidR="006A36B6">
        <w:t>Observou-se</w:t>
      </w:r>
      <w:proofErr w:type="gramEnd"/>
      <w:r w:rsidR="006A36B6">
        <w:t xml:space="preserve"> nesse período, 368 óbitos de vítimas residentes no município de Maringá. Os dados sobre as mortes foram extraídos do Sistema de Informação sobre Mortalidade disponível na página do Departamento de Informática do Sistema Único de Saúde do Ministério da Saúde </w:t>
      </w:r>
      <w:r w:rsidR="006A36B6" w:rsidRPr="00D105DB">
        <w:t>(</w:t>
      </w:r>
      <w:proofErr w:type="spellStart"/>
      <w:proofErr w:type="gramStart"/>
      <w:r w:rsidR="006A36B6" w:rsidRPr="00D105DB">
        <w:t>Datasus</w:t>
      </w:r>
      <w:proofErr w:type="spellEnd"/>
      <w:proofErr w:type="gramEnd"/>
      <w:r w:rsidR="006A36B6" w:rsidRPr="00D105DB">
        <w:t>)</w:t>
      </w:r>
      <w:r w:rsidR="006A36B6">
        <w:t xml:space="preserve">, que utiliza as informações das declarações de óbito e dos censos demográficos do Instituto Brasileiro de Geografia e Estatística </w:t>
      </w:r>
      <w:r w:rsidR="006A36B6" w:rsidRPr="00D105DB">
        <w:t>(IBGE)</w:t>
      </w:r>
      <w:r w:rsidR="006A36B6">
        <w:t xml:space="preserve">. Os acidentes foram analisados segundo códigos da 10ª revisão da Classificação </w:t>
      </w:r>
      <w:r w:rsidR="006A36B6">
        <w:rPr>
          <w:lang w:val="pt-PT"/>
        </w:rPr>
        <w:t>E</w:t>
      </w:r>
      <w:r w:rsidR="006A36B6" w:rsidRPr="00E83315">
        <w:rPr>
          <w:lang w:val="pt-PT"/>
        </w:rPr>
        <w:t>statística</w:t>
      </w:r>
      <w:r w:rsidR="006A36B6">
        <w:rPr>
          <w:lang w:val="pt-PT"/>
        </w:rPr>
        <w:t xml:space="preserve"> </w:t>
      </w:r>
      <w:r w:rsidR="006A36B6">
        <w:t xml:space="preserve">Internacional de Doenças e Problemas Relacionados à </w:t>
      </w:r>
      <w:proofErr w:type="gramStart"/>
      <w:r w:rsidR="006A36B6">
        <w:t>Saúde</w:t>
      </w:r>
      <w:r w:rsidR="006A36B6" w:rsidRPr="00543DC4">
        <w:rPr>
          <w:vertAlign w:val="superscript"/>
        </w:rPr>
        <w:t>(</w:t>
      </w:r>
      <w:proofErr w:type="gramEnd"/>
      <w:r w:rsidR="006A36B6">
        <w:rPr>
          <w:vertAlign w:val="superscript"/>
        </w:rPr>
        <w:t>7)</w:t>
      </w:r>
      <w:r w:rsidR="006A36B6">
        <w:t xml:space="preserve"> e agrupados de </w:t>
      </w:r>
      <w:r w:rsidR="006A36B6" w:rsidRPr="00117DEA">
        <w:t>V40 a V49.</w:t>
      </w:r>
    </w:p>
    <w:p w:rsidR="00C856E9" w:rsidRPr="00117DEA" w:rsidRDefault="00C856E9" w:rsidP="00AF752D">
      <w:pPr>
        <w:autoSpaceDE w:val="0"/>
        <w:autoSpaceDN w:val="0"/>
        <w:adjustRightInd w:val="0"/>
        <w:spacing w:line="480" w:lineRule="auto"/>
        <w:ind w:firstLine="539"/>
        <w:jc w:val="both"/>
      </w:pPr>
      <w:r w:rsidRPr="00117DEA">
        <w:t xml:space="preserve">As tabulações dos dados de mortalidade </w:t>
      </w:r>
      <w:r>
        <w:t>foram</w:t>
      </w:r>
      <w:r w:rsidRPr="00117DEA">
        <w:t xml:space="preserve"> realizadas no </w:t>
      </w:r>
      <w:proofErr w:type="spellStart"/>
      <w:proofErr w:type="gramStart"/>
      <w:r w:rsidRPr="00117DEA">
        <w:t>TabNet</w:t>
      </w:r>
      <w:proofErr w:type="spellEnd"/>
      <w:proofErr w:type="gramEnd"/>
      <w:r w:rsidRPr="00117DEA">
        <w:rPr>
          <w:vertAlign w:val="superscript"/>
        </w:rPr>
        <w:t>®</w:t>
      </w:r>
      <w:r w:rsidRPr="00117DEA">
        <w:t xml:space="preserve"> e armazenados em planilha eletrônica do Excel</w:t>
      </w:r>
      <w:r w:rsidRPr="00117DEA">
        <w:rPr>
          <w:vertAlign w:val="superscript"/>
        </w:rPr>
        <w:t>®</w:t>
      </w:r>
      <w:r w:rsidRPr="00117DEA">
        <w:t xml:space="preserve">. </w:t>
      </w:r>
      <w:r w:rsidR="00A904F9">
        <w:t>Foram utilizadas para análise deste estudo as seguintes variáveis:</w:t>
      </w:r>
      <w:r w:rsidRPr="00117DEA">
        <w:t xml:space="preserve"> faixa etária (0 a</w:t>
      </w:r>
      <w:r w:rsidR="00AF752D">
        <w:t xml:space="preserve"> </w:t>
      </w:r>
      <w:r w:rsidRPr="00117DEA">
        <w:t>14,</w:t>
      </w:r>
      <w:r w:rsidR="00AF752D">
        <w:t xml:space="preserve"> </w:t>
      </w:r>
      <w:r w:rsidRPr="00117DEA">
        <w:t xml:space="preserve">15 a 19, 20 a 29, 30 a 39, 40 a 49, 50 a 59 e indivíduos com idade </w:t>
      </w:r>
      <w:r w:rsidRPr="00117DEA">
        <w:rPr>
          <w:u w:val="single"/>
        </w:rPr>
        <w:t>&gt;</w:t>
      </w:r>
      <w:r w:rsidRPr="00117DEA">
        <w:t xml:space="preserve"> </w:t>
      </w:r>
      <w:proofErr w:type="gramStart"/>
      <w:r w:rsidRPr="00117DEA">
        <w:t>a</w:t>
      </w:r>
      <w:proofErr w:type="gramEnd"/>
      <w:r w:rsidRPr="00117DEA">
        <w:t xml:space="preserve"> 60 anos), sexo</w:t>
      </w:r>
      <w:r w:rsidR="00A904F9">
        <w:t xml:space="preserve"> (</w:t>
      </w:r>
      <w:r w:rsidRPr="00117DEA">
        <w:t>masculino e feminino</w:t>
      </w:r>
      <w:r w:rsidR="00A904F9">
        <w:t>)</w:t>
      </w:r>
      <w:r w:rsidRPr="00117DEA">
        <w:t>; raça/cor (branca, preta</w:t>
      </w:r>
      <w:r w:rsidR="00A904F9">
        <w:t>/parda, amarela)</w:t>
      </w:r>
      <w:r w:rsidRPr="00117DEA">
        <w:t>; escolaridade</w:t>
      </w:r>
      <w:r w:rsidR="00A904F9">
        <w:t xml:space="preserve"> (</w:t>
      </w:r>
      <w:r w:rsidRPr="00117DEA">
        <w:t>nenhuma, 1-3, 4-7, 8-11 e 12 anos e mais</w:t>
      </w:r>
      <w:r w:rsidR="00A904F9">
        <w:t>)</w:t>
      </w:r>
      <w:r w:rsidRPr="00117DEA">
        <w:t>; estado civil</w:t>
      </w:r>
      <w:r w:rsidR="00A904F9">
        <w:t xml:space="preserve"> (solteiro, casado e outros)</w:t>
      </w:r>
      <w:r w:rsidRPr="00117DEA">
        <w:t>; local de ocorrência</w:t>
      </w:r>
      <w:r w:rsidR="00A904F9">
        <w:t xml:space="preserve"> (</w:t>
      </w:r>
      <w:r w:rsidRPr="00117DEA">
        <w:t>hospital, via pública e outros</w:t>
      </w:r>
      <w:r w:rsidR="00A904F9">
        <w:t>)</w:t>
      </w:r>
      <w:r w:rsidRPr="00117DEA">
        <w:t>; acidente de trabalho</w:t>
      </w:r>
      <w:r w:rsidR="00A904F9">
        <w:t xml:space="preserve"> (</w:t>
      </w:r>
      <w:r w:rsidRPr="00117DEA">
        <w:t>sim</w:t>
      </w:r>
      <w:r w:rsidR="00A904F9">
        <w:t xml:space="preserve"> e</w:t>
      </w:r>
      <w:r w:rsidRPr="00117DEA">
        <w:t xml:space="preserve"> não</w:t>
      </w:r>
      <w:r w:rsidR="00A904F9">
        <w:t>) e</w:t>
      </w:r>
      <w:r w:rsidRPr="00117DEA">
        <w:t xml:space="preserve"> tipo de acidente</w:t>
      </w:r>
      <w:r w:rsidR="00A904F9">
        <w:t xml:space="preserve"> (c</w:t>
      </w:r>
      <w:r w:rsidRPr="00117DEA">
        <w:rPr>
          <w:bCs/>
        </w:rPr>
        <w:t>olisão com pedestre/animal, colisão com veículo a pedal,</w:t>
      </w:r>
      <w:r>
        <w:rPr>
          <w:bCs/>
        </w:rPr>
        <w:t xml:space="preserve"> </w:t>
      </w:r>
      <w:r w:rsidRPr="00117DEA">
        <w:t xml:space="preserve">colisão com veículo a motor de duas ou três rodas, colisão com automóvel/caminhonete, colisão com </w:t>
      </w:r>
      <w:r w:rsidRPr="00117DEA">
        <w:lastRenderedPageBreak/>
        <w:t>veículo de transporte pesado/ônibus, colisão com veículo não motorizado, colisão com objeto fixo parado, acidente sem colisão, outros acidentes e os não especificados</w:t>
      </w:r>
      <w:r w:rsidR="00A904F9">
        <w:t>)</w:t>
      </w:r>
      <w:r w:rsidRPr="00117DEA">
        <w:t>.</w:t>
      </w:r>
    </w:p>
    <w:p w:rsidR="00C856E9" w:rsidRPr="00117DEA" w:rsidRDefault="00A904F9" w:rsidP="00F51192">
      <w:pPr>
        <w:autoSpaceDE w:val="0"/>
        <w:autoSpaceDN w:val="0"/>
        <w:adjustRightInd w:val="0"/>
        <w:spacing w:line="480" w:lineRule="auto"/>
        <w:ind w:firstLine="539"/>
        <w:jc w:val="both"/>
      </w:pPr>
      <w:r w:rsidRPr="00E318CB">
        <w:t>Para modelar a contagem</w:t>
      </w:r>
      <w:r>
        <w:t xml:space="preserve"> anual</w:t>
      </w:r>
      <w:r w:rsidRPr="00E318CB">
        <w:t xml:space="preserve"> de mortes, a distribuição de Poisson </w:t>
      </w:r>
      <w:r>
        <w:t>adapta-se</w:t>
      </w:r>
      <w:r w:rsidRPr="00E318CB">
        <w:t xml:space="preserve"> à principal característica dos dados de contagem, valores inteiros não negativos.</w:t>
      </w:r>
      <w:r>
        <w:t xml:space="preserve"> </w:t>
      </w:r>
      <w:r w:rsidR="00C856E9" w:rsidRPr="00117DEA">
        <w:t xml:space="preserve">A análise de tendência da mortalidade realizada a partir do ajuste de um modelo de regressão de Poisson para séries temporais </w:t>
      </w:r>
      <w:r w:rsidR="00C856E9" w:rsidRPr="00A44822">
        <w:rPr>
          <w:position w:val="-12"/>
        </w:rPr>
        <w:object w:dxaOrig="1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8pt" o:ole="">
            <v:imagedata r:id="rId8" o:title=""/>
          </v:shape>
          <o:OLEObject Type="Embed" ProgID="Equation.DSMT4" ShapeID="_x0000_i1025" DrawAspect="Content" ObjectID="_1563017186" r:id="rId9"/>
        </w:object>
      </w:r>
      <w:r w:rsidR="00C856E9" w:rsidRPr="00A44822">
        <w:t xml:space="preserve"> com</w:t>
      </w:r>
      <m:oMath>
        <m:r>
          <w:rPr>
            <w:rFonts w:ascii="Cambria Math"/>
          </w:rPr>
          <m:t xml:space="preserve"> </m:t>
        </m:r>
        <m:func>
          <m:funcPr>
            <m:ctrlPr>
              <w:rPr>
                <w:rFonts w:ascii="Cambria Math" w:hAnsi="Cambria Math"/>
                <w:i/>
              </w:rPr>
            </m:ctrlPr>
          </m:funcPr>
          <m:fName>
            <m:r>
              <m:rPr>
                <m:sty m:val="p"/>
              </m:rPr>
              <w:rPr>
                <w:rFonts w:asci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i</m:t>
                    </m:r>
                  </m:sub>
                </m:sSub>
              </m:e>
            </m:d>
          </m:e>
        </m:func>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sSub>
          <m:sSubPr>
            <m:ctrlPr>
              <w:rPr>
                <w:rFonts w:ascii="Cambria Math" w:hAnsi="Cambria Math"/>
                <w:i/>
              </w:rPr>
            </m:ctrlPr>
          </m:sSubPr>
          <m:e>
            <m:r>
              <w:rPr>
                <w:rFonts w:ascii="Cambria Math" w:hAnsi="Cambria Math"/>
              </w:rPr>
              <m:t>t</m:t>
            </m:r>
          </m:e>
          <m:sub>
            <m:r>
              <w:rPr>
                <w:rFonts w:ascii="Cambria Math" w:hAnsi="Cambria Math"/>
              </w:rPr>
              <m:t>i</m:t>
            </m:r>
            <m:r>
              <w:rPr>
                <w:rFonts w:ascii="Cambria Math"/>
              </w:rPr>
              <m:t>,</m:t>
            </m:r>
            <w:proofErr w:type="gramStart"/>
            <m:r>
              <w:rPr>
                <w:rFonts w:ascii="Cambria Math"/>
              </w:rPr>
              <m:t xml:space="preserve">  </m:t>
            </m:r>
            <w:proofErr w:type="gramEnd"/>
          </m:sub>
        </m:sSub>
        <m:r>
          <w:rPr>
            <w:rFonts w:ascii="Cambria Math"/>
          </w:rPr>
          <m:t xml:space="preserve"> </m:t>
        </m:r>
        <m:r>
          <w:rPr>
            <w:rFonts w:ascii="Cambria Math" w:hAnsi="Cambria Math"/>
          </w:rPr>
          <m:t>i</m:t>
        </m:r>
        <m:r>
          <w:rPr>
            <w:rFonts w:ascii="Cambria Math"/>
          </w:rPr>
          <m:t>=1,</m:t>
        </m:r>
        <m:r>
          <m:t>…</m:t>
        </m:r>
        <m:r>
          <w:rPr>
            <w:rFonts w:ascii="Cambria Math"/>
          </w:rPr>
          <m:t xml:space="preserve">17 </m:t>
        </m:r>
      </m:oMath>
      <w:r w:rsidR="00C856E9" w:rsidRPr="00A44822">
        <w:t>sendo</w:t>
      </w:r>
      <w:r w:rsidR="00C856E9" w:rsidRPr="00A44822">
        <w:rPr>
          <w:position w:val="-12"/>
        </w:rPr>
        <w:object w:dxaOrig="300" w:dyaOrig="360">
          <v:shape id="_x0000_i1026" type="#_x0000_t75" style="width:15pt;height:18pt" o:ole="">
            <v:imagedata r:id="rId10" o:title=""/>
          </v:shape>
          <o:OLEObject Type="Embed" ProgID="Equation.DSMT4" ShapeID="_x0000_i1026" DrawAspect="Content" ObjectID="_1563017187" r:id="rId11"/>
        </w:object>
      </w:r>
      <w:r w:rsidR="00C856E9" w:rsidRPr="00A44822">
        <w:t xml:space="preserve"> </w:t>
      </w:r>
      <w:r w:rsidR="00C856E9" w:rsidRPr="00117DEA">
        <w:t xml:space="preserve">o intercepto, </w:t>
      </w:r>
      <w:r w:rsidR="00C856E9" w:rsidRPr="009C3BB3">
        <w:rPr>
          <w:position w:val="-12"/>
        </w:rPr>
        <w:object w:dxaOrig="260" w:dyaOrig="360">
          <v:shape id="_x0000_i1027" type="#_x0000_t75" style="width:13.5pt;height:18pt" o:ole="">
            <v:imagedata r:id="rId12" o:title=""/>
          </v:shape>
          <o:OLEObject Type="Embed" ProgID="Equation.DSMT4" ShapeID="_x0000_i1027" DrawAspect="Content" ObjectID="_1563017188" r:id="rId13"/>
        </w:object>
      </w:r>
      <w:r w:rsidR="00C856E9" w:rsidRPr="00117DEA">
        <w:t xml:space="preserve"> o </w:t>
      </w:r>
      <w:r w:rsidR="002C7096">
        <w:t xml:space="preserve">coeficiente que acompanha a variável independente ano </w:t>
      </w:r>
      <w:r w:rsidR="00C856E9" w:rsidRPr="00117DEA">
        <w:t xml:space="preserve">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C856E9" w:rsidRPr="00117DEA">
        <w:t xml:space="preserve"> é o i-ésimo ano de estudo. </w:t>
      </w:r>
      <w:r w:rsidR="00C856E9">
        <w:t>Foi</w:t>
      </w:r>
      <w:r w:rsidR="00C856E9" w:rsidRPr="00117DEA">
        <w:t xml:space="preserve"> utilizada a função de ligação canônica, que no caso da distribuição de Poisson, é a função logarítmica. A partir do coeficiente de tendência estimado e seu respectivo erro padrão, </w:t>
      </w:r>
      <w:r w:rsidR="00C856E9">
        <w:t>foi</w:t>
      </w:r>
      <w:r w:rsidR="00C856E9" w:rsidRPr="00117DEA">
        <w:t xml:space="preserve"> possível verificar a existência de tendência estatisticamente significativa crescente ou decrescente. Após o ajuste do modelo, o pressuposto de independência dos resíduos </w:t>
      </w:r>
      <w:r w:rsidR="00C856E9">
        <w:t>foi</w:t>
      </w:r>
      <w:r w:rsidR="00C856E9" w:rsidRPr="00117DEA">
        <w:t xml:space="preserve"> verificado a partir de </w:t>
      </w:r>
      <w:proofErr w:type="spellStart"/>
      <w:r w:rsidR="00C856E9" w:rsidRPr="00117DEA">
        <w:t>correlogramas</w:t>
      </w:r>
      <w:proofErr w:type="spellEnd"/>
      <w:r w:rsidR="00C856E9" w:rsidRPr="00117DEA">
        <w:t xml:space="preserve"> e pelo </w:t>
      </w:r>
      <w:proofErr w:type="spellStart"/>
      <w:r w:rsidR="00C856E9" w:rsidRPr="00117DEA">
        <w:t>Run’s</w:t>
      </w:r>
      <w:proofErr w:type="spellEnd"/>
      <w:r w:rsidR="00C856E9">
        <w:t xml:space="preserve"> </w:t>
      </w:r>
      <w:proofErr w:type="spellStart"/>
      <w:proofErr w:type="gramStart"/>
      <w:r w:rsidR="00C856E9" w:rsidRPr="00117DEA">
        <w:t>Tes</w:t>
      </w:r>
      <w:r w:rsidR="00C856E9">
        <w:t>t</w:t>
      </w:r>
      <w:proofErr w:type="spellEnd"/>
      <w:r w:rsidR="00E6367B" w:rsidRPr="00E6367B">
        <w:rPr>
          <w:vertAlign w:val="superscript"/>
        </w:rPr>
        <w:t>(</w:t>
      </w:r>
      <w:proofErr w:type="gramEnd"/>
      <w:r w:rsidR="00F04648">
        <w:rPr>
          <w:vertAlign w:val="superscript"/>
        </w:rPr>
        <w:t>8</w:t>
      </w:r>
      <w:r w:rsidR="00E6367B">
        <w:rPr>
          <w:vertAlign w:val="superscript"/>
        </w:rPr>
        <w:t>)</w:t>
      </w:r>
      <w:r w:rsidR="00C856E9" w:rsidRPr="00117DEA">
        <w:t xml:space="preserve">. A normalidade e variância constante também </w:t>
      </w:r>
      <w:r w:rsidR="00C856E9">
        <w:t>foram</w:t>
      </w:r>
      <w:r w:rsidR="00C856E9" w:rsidRPr="00117DEA">
        <w:t xml:space="preserve"> verificadas. A</w:t>
      </w:r>
      <w:r w:rsidR="0044449D">
        <w:t xml:space="preserve"> presença de tendência também pô</w:t>
      </w:r>
      <w:r w:rsidR="00C856E9" w:rsidRPr="00117DEA">
        <w:t xml:space="preserve">de ser </w:t>
      </w:r>
      <w:r w:rsidR="00C856E9">
        <w:t>verificada</w:t>
      </w:r>
      <w:r w:rsidR="00C856E9" w:rsidRPr="00117DEA">
        <w:t xml:space="preserve"> pelo teste de </w:t>
      </w:r>
      <w:proofErr w:type="spellStart"/>
      <w:r w:rsidR="00C856E9" w:rsidRPr="00117DEA">
        <w:t>Cox-</w:t>
      </w:r>
      <w:proofErr w:type="gramStart"/>
      <w:r w:rsidR="00C856E9" w:rsidRPr="00117DEA">
        <w:t>Stuart</w:t>
      </w:r>
      <w:proofErr w:type="spellEnd"/>
      <w:r w:rsidR="00E6367B" w:rsidRPr="00E6367B">
        <w:rPr>
          <w:vertAlign w:val="superscript"/>
        </w:rPr>
        <w:t>(</w:t>
      </w:r>
      <w:proofErr w:type="gramEnd"/>
      <w:r w:rsidR="00F04648">
        <w:rPr>
          <w:vertAlign w:val="superscript"/>
        </w:rPr>
        <w:t>9</w:t>
      </w:r>
      <w:r w:rsidR="00E6367B">
        <w:rPr>
          <w:vertAlign w:val="superscript"/>
        </w:rPr>
        <w:t>)</w:t>
      </w:r>
      <w:r w:rsidR="00C856E9" w:rsidRPr="00117DEA">
        <w:t>.</w:t>
      </w:r>
    </w:p>
    <w:p w:rsidR="00C856E9" w:rsidRDefault="00867EF9" w:rsidP="0080061D">
      <w:pPr>
        <w:autoSpaceDE w:val="0"/>
        <w:autoSpaceDN w:val="0"/>
        <w:adjustRightInd w:val="0"/>
        <w:spacing w:line="480" w:lineRule="auto"/>
        <w:ind w:firstLine="709"/>
        <w:jc w:val="both"/>
      </w:pPr>
      <w:r w:rsidRPr="00903AC2">
        <w:t>Na análise e interpretação dos resultados fo</w:t>
      </w:r>
      <w:r>
        <w:t>i utilizado o p</w:t>
      </w:r>
      <w:r w:rsidRPr="00903AC2">
        <w:t xml:space="preserve">rograma </w:t>
      </w:r>
      <w:r>
        <w:t>estatístico “R 3.1.1</w:t>
      </w:r>
      <w:proofErr w:type="gramStart"/>
      <w:r>
        <w:t>”</w:t>
      </w:r>
      <w:proofErr w:type="gramEnd"/>
      <w:r w:rsidRPr="00903AC2">
        <w:rPr>
          <w:vertAlign w:val="superscript"/>
        </w:rPr>
        <w:t>®</w:t>
      </w:r>
      <w:r>
        <w:t xml:space="preserve">, </w:t>
      </w:r>
      <w:r w:rsidRPr="00903AC2">
        <w:t>estabelec</w:t>
      </w:r>
      <w:r>
        <w:t>endo-se</w:t>
      </w:r>
      <w:r w:rsidRPr="00903AC2">
        <w:t xml:space="preserve"> o nível de significância de 5%.</w:t>
      </w:r>
      <w:r>
        <w:t xml:space="preserve"> </w:t>
      </w:r>
      <w:r w:rsidRPr="00E318CB">
        <w:t xml:space="preserve">Os resultados foram analisados em frequências simples e absolutas e apresentados em forma de tabelas e </w:t>
      </w:r>
      <w:r>
        <w:t>figuras</w:t>
      </w:r>
      <w:r w:rsidRPr="00E318CB">
        <w:t xml:space="preserve">. </w:t>
      </w:r>
      <w:r w:rsidR="00C856E9" w:rsidRPr="00117DEA">
        <w:t xml:space="preserve">Considerando que para este estudo </w:t>
      </w:r>
      <w:r w:rsidR="00C856E9">
        <w:t>foi</w:t>
      </w:r>
      <w:r w:rsidR="00C856E9" w:rsidRPr="00117DEA">
        <w:t xml:space="preserve"> utilizado dados de domínio público, disponibilizados em banco de dados do DATASUS do Ministério da Saúde</w:t>
      </w:r>
      <w:r w:rsidR="00C856E9">
        <w:t xml:space="preserve">, a pesquisa foi </w:t>
      </w:r>
      <w:r w:rsidR="00C856E9" w:rsidRPr="00117DEA">
        <w:t>dispensa</w:t>
      </w:r>
      <w:r w:rsidR="00C856E9">
        <w:t xml:space="preserve">da </w:t>
      </w:r>
      <w:r w:rsidR="00C856E9" w:rsidRPr="00117DEA">
        <w:t>d</w:t>
      </w:r>
      <w:r w:rsidR="00C856E9">
        <w:t xml:space="preserve">a análise de </w:t>
      </w:r>
      <w:r w:rsidR="00C856E9" w:rsidRPr="00117DEA">
        <w:t xml:space="preserve">submissão ética </w:t>
      </w:r>
      <w:r w:rsidR="00C856E9">
        <w:t>pelo</w:t>
      </w:r>
      <w:r w:rsidR="00C856E9" w:rsidRPr="00117DEA">
        <w:t xml:space="preserve"> Comitê Permanente de Ética em Pesquisa Envolvendo Seres Humanos</w:t>
      </w:r>
      <w:r w:rsidR="00C856E9">
        <w:t xml:space="preserve"> da Universidade Estadual de Maringá através do Ofício n</w:t>
      </w:r>
      <w:r>
        <w:t>.</w:t>
      </w:r>
      <w:r w:rsidR="00C856E9">
        <w:t xml:space="preserve"> 03/2015 - COPEP.</w:t>
      </w:r>
    </w:p>
    <w:p w:rsidR="002B2E26" w:rsidRDefault="00345E67" w:rsidP="00F51192">
      <w:pPr>
        <w:autoSpaceDE w:val="0"/>
        <w:autoSpaceDN w:val="0"/>
        <w:adjustRightInd w:val="0"/>
        <w:spacing w:line="480" w:lineRule="auto"/>
        <w:jc w:val="both"/>
        <w:rPr>
          <w:b/>
        </w:rPr>
      </w:pPr>
      <w:r w:rsidRPr="002B2E26">
        <w:rPr>
          <w:b/>
        </w:rPr>
        <w:t>RESULTADOS</w:t>
      </w:r>
    </w:p>
    <w:p w:rsidR="0044449D" w:rsidRPr="00D105DB" w:rsidRDefault="0044449D" w:rsidP="0044449D">
      <w:pPr>
        <w:autoSpaceDE w:val="0"/>
        <w:autoSpaceDN w:val="0"/>
        <w:adjustRightInd w:val="0"/>
        <w:spacing w:line="480" w:lineRule="auto"/>
        <w:jc w:val="both"/>
      </w:pPr>
      <w:r>
        <w:tab/>
      </w:r>
      <w:r w:rsidRPr="00D105DB">
        <w:t>Na Tabela 1 observa-se, o predomínio da mortalidade no sexo masculino (</w:t>
      </w:r>
      <w:r>
        <w:t>76,35</w:t>
      </w:r>
      <w:r w:rsidRPr="00D105DB">
        <w:t xml:space="preserve">%). A maior proporção de indivíduos do sexo masculino permitiu estabelecer uma relação </w:t>
      </w:r>
      <w:r w:rsidRPr="00D105DB">
        <w:lastRenderedPageBreak/>
        <w:t xml:space="preserve">masculino/feminino de </w:t>
      </w:r>
      <w:proofErr w:type="gramStart"/>
      <w:r w:rsidRPr="00D105DB">
        <w:t>5,6:</w:t>
      </w:r>
      <w:proofErr w:type="gramEnd"/>
      <w:r w:rsidRPr="00D105DB">
        <w:t xml:space="preserve">1. </w:t>
      </w:r>
      <w:r w:rsidRPr="003952AD">
        <w:t>A maior proporção de indivíduos do sexo masculino</w:t>
      </w:r>
      <w:r>
        <w:t xml:space="preserve"> </w:t>
      </w:r>
      <w:r w:rsidRPr="003952AD">
        <w:t xml:space="preserve">permitiu estabelecer uma relação masculino/feminino de </w:t>
      </w:r>
      <w:proofErr w:type="gramStart"/>
      <w:r w:rsidRPr="003952AD">
        <w:t>3,2:</w:t>
      </w:r>
      <w:proofErr w:type="gramEnd"/>
      <w:r w:rsidRPr="003952AD">
        <w:t>1.</w:t>
      </w:r>
    </w:p>
    <w:p w:rsidR="00C40D8A" w:rsidRPr="00EF549E" w:rsidRDefault="00C40D8A" w:rsidP="00C40D8A">
      <w:pPr>
        <w:autoSpaceDE w:val="0"/>
        <w:autoSpaceDN w:val="0"/>
        <w:adjustRightInd w:val="0"/>
        <w:jc w:val="both"/>
        <w:rPr>
          <w:bCs/>
        </w:rPr>
      </w:pPr>
      <w:r w:rsidRPr="00EF549E">
        <w:rPr>
          <w:bCs/>
        </w:rPr>
        <w:t xml:space="preserve">Tabela 1- Distribuição dos óbitos </w:t>
      </w:r>
      <w:r>
        <w:rPr>
          <w:bCs/>
        </w:rPr>
        <w:t xml:space="preserve">por acidentes automobilísticos, </w:t>
      </w:r>
      <w:r w:rsidRPr="00EF549E">
        <w:rPr>
          <w:bCs/>
        </w:rPr>
        <w:t>segundo variáveis sócio-demográficas. Maringá</w:t>
      </w:r>
      <w:r w:rsidR="0090736B">
        <w:rPr>
          <w:bCs/>
        </w:rPr>
        <w:t xml:space="preserve">, </w:t>
      </w:r>
      <w:r w:rsidRPr="00EF549E">
        <w:rPr>
          <w:bCs/>
        </w:rPr>
        <w:t xml:space="preserve">PR, </w:t>
      </w:r>
      <w:r>
        <w:rPr>
          <w:bCs/>
        </w:rPr>
        <w:t xml:space="preserve">Brasil, </w:t>
      </w:r>
      <w:r w:rsidRPr="00EF549E">
        <w:rPr>
          <w:bCs/>
        </w:rPr>
        <w:t xml:space="preserve">1996 a 2012. </w:t>
      </w:r>
    </w:p>
    <w:tbl>
      <w:tblPr>
        <w:tblStyle w:val="Tabelacomgrade"/>
        <w:tblW w:w="0" w:type="auto"/>
        <w:tblLayout w:type="fixed"/>
        <w:tblLook w:val="04A0"/>
      </w:tblPr>
      <w:tblGrid>
        <w:gridCol w:w="2161"/>
        <w:gridCol w:w="2777"/>
        <w:gridCol w:w="1853"/>
        <w:gridCol w:w="2389"/>
      </w:tblGrid>
      <w:tr w:rsidR="00C40D8A" w:rsidRPr="00C40D8A" w:rsidTr="004246D0">
        <w:tc>
          <w:tcPr>
            <w:tcW w:w="2161" w:type="dxa"/>
            <w:tcBorders>
              <w:left w:val="nil"/>
              <w:bottom w:val="single" w:sz="4" w:space="0" w:color="auto"/>
              <w:right w:val="nil"/>
            </w:tcBorders>
          </w:tcPr>
          <w:p w:rsidR="00C40D8A" w:rsidRPr="00C40D8A" w:rsidRDefault="00C40D8A" w:rsidP="00E87B2C">
            <w:pPr>
              <w:jc w:val="center"/>
              <w:rPr>
                <w:sz w:val="24"/>
                <w:szCs w:val="24"/>
              </w:rPr>
            </w:pPr>
            <w:r w:rsidRPr="00C40D8A">
              <w:rPr>
                <w:sz w:val="24"/>
                <w:szCs w:val="24"/>
              </w:rPr>
              <w:t>Variáveis</w:t>
            </w:r>
          </w:p>
        </w:tc>
        <w:tc>
          <w:tcPr>
            <w:tcW w:w="2777" w:type="dxa"/>
            <w:tcBorders>
              <w:left w:val="nil"/>
              <w:bottom w:val="single" w:sz="4" w:space="0" w:color="auto"/>
              <w:right w:val="nil"/>
            </w:tcBorders>
          </w:tcPr>
          <w:p w:rsidR="00C40D8A" w:rsidRPr="00C40D8A" w:rsidRDefault="00C40D8A" w:rsidP="00E87B2C">
            <w:pPr>
              <w:jc w:val="center"/>
              <w:rPr>
                <w:sz w:val="24"/>
                <w:szCs w:val="24"/>
              </w:rPr>
            </w:pPr>
            <w:r w:rsidRPr="00C40D8A">
              <w:rPr>
                <w:sz w:val="24"/>
                <w:szCs w:val="24"/>
              </w:rPr>
              <w:t>Categorias</w:t>
            </w:r>
          </w:p>
        </w:tc>
        <w:tc>
          <w:tcPr>
            <w:tcW w:w="1853" w:type="dxa"/>
            <w:tcBorders>
              <w:left w:val="nil"/>
              <w:bottom w:val="single" w:sz="4" w:space="0" w:color="auto"/>
              <w:right w:val="nil"/>
            </w:tcBorders>
          </w:tcPr>
          <w:p w:rsidR="00C40D8A" w:rsidRPr="00C40D8A" w:rsidRDefault="00C40D8A" w:rsidP="00E87B2C">
            <w:pPr>
              <w:jc w:val="center"/>
              <w:rPr>
                <w:sz w:val="24"/>
                <w:szCs w:val="24"/>
              </w:rPr>
            </w:pPr>
            <w:r w:rsidRPr="00C40D8A">
              <w:rPr>
                <w:sz w:val="24"/>
                <w:szCs w:val="24"/>
              </w:rPr>
              <w:t>n</w:t>
            </w:r>
          </w:p>
        </w:tc>
        <w:tc>
          <w:tcPr>
            <w:tcW w:w="2389" w:type="dxa"/>
            <w:tcBorders>
              <w:left w:val="nil"/>
              <w:bottom w:val="single" w:sz="4" w:space="0" w:color="auto"/>
              <w:right w:val="nil"/>
            </w:tcBorders>
          </w:tcPr>
          <w:p w:rsidR="00C40D8A" w:rsidRPr="00C40D8A" w:rsidRDefault="00C40D8A" w:rsidP="00E87B2C">
            <w:pPr>
              <w:jc w:val="center"/>
              <w:rPr>
                <w:sz w:val="24"/>
                <w:szCs w:val="24"/>
              </w:rPr>
            </w:pPr>
            <w:r w:rsidRPr="00C40D8A">
              <w:rPr>
                <w:sz w:val="24"/>
                <w:szCs w:val="24"/>
              </w:rPr>
              <w:t>%</w:t>
            </w:r>
          </w:p>
        </w:tc>
      </w:tr>
      <w:tr w:rsidR="00C40D8A" w:rsidRPr="00EF549E" w:rsidTr="004246D0">
        <w:tc>
          <w:tcPr>
            <w:tcW w:w="2161" w:type="dxa"/>
            <w:vMerge w:val="restart"/>
            <w:tcBorders>
              <w:top w:val="single" w:sz="4" w:space="0" w:color="auto"/>
              <w:left w:val="nil"/>
              <w:bottom w:val="nil"/>
              <w:right w:val="nil"/>
            </w:tcBorders>
          </w:tcPr>
          <w:p w:rsidR="00C40D8A" w:rsidRPr="00EF549E" w:rsidRDefault="00C40D8A" w:rsidP="00E87B2C">
            <w:pPr>
              <w:spacing w:before="240"/>
              <w:jc w:val="center"/>
              <w:rPr>
                <w:sz w:val="24"/>
                <w:szCs w:val="24"/>
              </w:rPr>
            </w:pPr>
            <w:r w:rsidRPr="00EF549E">
              <w:rPr>
                <w:bCs/>
                <w:sz w:val="24"/>
                <w:szCs w:val="24"/>
              </w:rPr>
              <w:t>Sexo</w:t>
            </w:r>
          </w:p>
        </w:tc>
        <w:tc>
          <w:tcPr>
            <w:tcW w:w="2777" w:type="dxa"/>
            <w:tcBorders>
              <w:top w:val="single" w:sz="4" w:space="0" w:color="auto"/>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Masculino</w:t>
            </w:r>
          </w:p>
        </w:tc>
        <w:tc>
          <w:tcPr>
            <w:tcW w:w="1853" w:type="dxa"/>
            <w:tcBorders>
              <w:top w:val="single" w:sz="4" w:space="0" w:color="auto"/>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281</w:t>
            </w:r>
          </w:p>
        </w:tc>
        <w:tc>
          <w:tcPr>
            <w:tcW w:w="2389" w:type="dxa"/>
            <w:tcBorders>
              <w:top w:val="single" w:sz="4" w:space="0" w:color="auto"/>
              <w:left w:val="nil"/>
              <w:bottom w:val="nil"/>
              <w:right w:val="nil"/>
            </w:tcBorders>
          </w:tcPr>
          <w:p w:rsidR="00C40D8A" w:rsidRPr="00EF549E" w:rsidRDefault="00C40D8A" w:rsidP="00E87B2C">
            <w:pPr>
              <w:jc w:val="center"/>
              <w:rPr>
                <w:sz w:val="24"/>
                <w:szCs w:val="24"/>
              </w:rPr>
            </w:pPr>
            <w:r w:rsidRPr="00EF549E">
              <w:rPr>
                <w:sz w:val="24"/>
                <w:szCs w:val="24"/>
              </w:rPr>
              <w:t>76,35</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Feminino</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87</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23,65</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rPr>
                <w:b/>
                <w:bCs/>
                <w:sz w:val="24"/>
                <w:szCs w:val="24"/>
              </w:rPr>
            </w:pPr>
          </w:p>
        </w:tc>
        <w:tc>
          <w:tcPr>
            <w:tcW w:w="1853" w:type="dxa"/>
            <w:tcBorders>
              <w:top w:val="nil"/>
              <w:left w:val="nil"/>
              <w:bottom w:val="nil"/>
              <w:right w:val="nil"/>
            </w:tcBorders>
          </w:tcPr>
          <w:p w:rsidR="00C40D8A" w:rsidRPr="00EF549E" w:rsidRDefault="00C40D8A" w:rsidP="00E87B2C">
            <w:pPr>
              <w:rPr>
                <w:sz w:val="24"/>
                <w:szCs w:val="24"/>
              </w:rPr>
            </w:pPr>
          </w:p>
        </w:tc>
        <w:tc>
          <w:tcPr>
            <w:tcW w:w="2389" w:type="dxa"/>
            <w:tcBorders>
              <w:top w:val="nil"/>
              <w:left w:val="nil"/>
              <w:bottom w:val="nil"/>
              <w:right w:val="nil"/>
            </w:tcBorders>
          </w:tcPr>
          <w:p w:rsidR="00C40D8A" w:rsidRPr="00EF549E" w:rsidRDefault="00C40D8A" w:rsidP="00E87B2C">
            <w:pPr>
              <w:rPr>
                <w:sz w:val="24"/>
                <w:szCs w:val="24"/>
              </w:rPr>
            </w:pPr>
          </w:p>
        </w:tc>
      </w:tr>
      <w:tr w:rsidR="00C40D8A" w:rsidRPr="00EF549E" w:rsidTr="00E87B2C">
        <w:tc>
          <w:tcPr>
            <w:tcW w:w="2161" w:type="dxa"/>
            <w:vMerge w:val="restart"/>
            <w:tcBorders>
              <w:top w:val="nil"/>
              <w:left w:val="nil"/>
              <w:bottom w:val="nil"/>
              <w:right w:val="nil"/>
            </w:tcBorders>
          </w:tcPr>
          <w:p w:rsidR="00C40D8A" w:rsidRPr="00EF549E" w:rsidRDefault="00C40D8A" w:rsidP="00E87B2C">
            <w:pPr>
              <w:spacing w:before="840"/>
              <w:jc w:val="center"/>
              <w:rPr>
                <w:sz w:val="24"/>
                <w:szCs w:val="24"/>
              </w:rPr>
            </w:pPr>
            <w:r w:rsidRPr="00EF549E">
              <w:rPr>
                <w:bCs/>
                <w:sz w:val="24"/>
                <w:szCs w:val="24"/>
              </w:rPr>
              <w:t>Faixa etária</w:t>
            </w: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0 – 14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25</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6,79</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15 – 19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38</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10,32</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20 – 29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93</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25,27</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30 - 39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85</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23,09</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40 - 49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55</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14,95</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50 – 59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36</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9,79</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u w:val="single"/>
              </w:rPr>
              <w:t>&gt;</w:t>
            </w:r>
            <w:r w:rsidRPr="00EF549E">
              <w:rPr>
                <w:sz w:val="24"/>
                <w:szCs w:val="24"/>
              </w:rPr>
              <w:t xml:space="preserve"> 60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36</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9,79</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rPr>
                <w:sz w:val="24"/>
                <w:szCs w:val="24"/>
              </w:rPr>
            </w:pPr>
          </w:p>
        </w:tc>
        <w:tc>
          <w:tcPr>
            <w:tcW w:w="1853" w:type="dxa"/>
            <w:tcBorders>
              <w:top w:val="nil"/>
              <w:left w:val="nil"/>
              <w:bottom w:val="nil"/>
              <w:right w:val="nil"/>
            </w:tcBorders>
          </w:tcPr>
          <w:p w:rsidR="00C40D8A" w:rsidRPr="00EF549E" w:rsidRDefault="00C40D8A" w:rsidP="00E87B2C">
            <w:pPr>
              <w:autoSpaceDE w:val="0"/>
              <w:autoSpaceDN w:val="0"/>
              <w:adjustRightInd w:val="0"/>
              <w:jc w:val="right"/>
              <w:rPr>
                <w:sz w:val="24"/>
                <w:szCs w:val="24"/>
              </w:rPr>
            </w:pPr>
          </w:p>
        </w:tc>
        <w:tc>
          <w:tcPr>
            <w:tcW w:w="2389" w:type="dxa"/>
            <w:tcBorders>
              <w:top w:val="nil"/>
              <w:left w:val="nil"/>
              <w:bottom w:val="nil"/>
              <w:right w:val="nil"/>
            </w:tcBorders>
          </w:tcPr>
          <w:p w:rsidR="00C40D8A" w:rsidRPr="00EF549E" w:rsidRDefault="00C40D8A" w:rsidP="00E87B2C">
            <w:pPr>
              <w:rPr>
                <w:sz w:val="24"/>
                <w:szCs w:val="24"/>
              </w:rPr>
            </w:pPr>
          </w:p>
        </w:tc>
      </w:tr>
      <w:tr w:rsidR="00C40D8A" w:rsidRPr="00EF549E" w:rsidTr="00E87B2C">
        <w:tc>
          <w:tcPr>
            <w:tcW w:w="2161" w:type="dxa"/>
            <w:vMerge w:val="restart"/>
            <w:tcBorders>
              <w:top w:val="nil"/>
              <w:left w:val="nil"/>
              <w:bottom w:val="nil"/>
              <w:right w:val="nil"/>
            </w:tcBorders>
          </w:tcPr>
          <w:p w:rsidR="00C40D8A" w:rsidRPr="00EF549E" w:rsidRDefault="00C40D8A" w:rsidP="00E87B2C">
            <w:pPr>
              <w:spacing w:before="480"/>
              <w:jc w:val="center"/>
              <w:rPr>
                <w:sz w:val="24"/>
                <w:szCs w:val="24"/>
              </w:rPr>
            </w:pPr>
            <w:r w:rsidRPr="00EF549E">
              <w:rPr>
                <w:bCs/>
                <w:sz w:val="24"/>
                <w:szCs w:val="24"/>
              </w:rPr>
              <w:t>Cor/Raça</w:t>
            </w: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Branca</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300</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81,52</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Preta/Parda</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24</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6,53</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Amarela</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10</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2,71</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Ignorado</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34</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9,24</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rPr>
                <w:sz w:val="24"/>
                <w:szCs w:val="24"/>
              </w:rPr>
            </w:pPr>
          </w:p>
        </w:tc>
        <w:tc>
          <w:tcPr>
            <w:tcW w:w="1853" w:type="dxa"/>
            <w:tcBorders>
              <w:top w:val="nil"/>
              <w:left w:val="nil"/>
              <w:bottom w:val="nil"/>
              <w:right w:val="nil"/>
            </w:tcBorders>
          </w:tcPr>
          <w:p w:rsidR="00C40D8A" w:rsidRPr="00EF549E" w:rsidRDefault="00C40D8A" w:rsidP="00E87B2C">
            <w:pPr>
              <w:rPr>
                <w:sz w:val="24"/>
                <w:szCs w:val="24"/>
              </w:rPr>
            </w:pPr>
          </w:p>
        </w:tc>
        <w:tc>
          <w:tcPr>
            <w:tcW w:w="2389" w:type="dxa"/>
            <w:tcBorders>
              <w:top w:val="nil"/>
              <w:left w:val="nil"/>
              <w:bottom w:val="nil"/>
              <w:right w:val="nil"/>
            </w:tcBorders>
          </w:tcPr>
          <w:p w:rsidR="00C40D8A" w:rsidRPr="00EF549E" w:rsidRDefault="00C40D8A" w:rsidP="00E87B2C">
            <w:pPr>
              <w:rPr>
                <w:sz w:val="24"/>
                <w:szCs w:val="24"/>
              </w:rPr>
            </w:pPr>
          </w:p>
        </w:tc>
      </w:tr>
      <w:tr w:rsidR="00C40D8A" w:rsidRPr="00EF549E" w:rsidTr="00E87B2C">
        <w:tc>
          <w:tcPr>
            <w:tcW w:w="2161" w:type="dxa"/>
            <w:vMerge w:val="restart"/>
            <w:tcBorders>
              <w:top w:val="nil"/>
              <w:left w:val="nil"/>
              <w:bottom w:val="nil"/>
              <w:right w:val="nil"/>
            </w:tcBorders>
          </w:tcPr>
          <w:p w:rsidR="00C40D8A" w:rsidRPr="00EF549E" w:rsidRDefault="00C40D8A" w:rsidP="00E87B2C">
            <w:pPr>
              <w:spacing w:before="720"/>
              <w:jc w:val="center"/>
              <w:rPr>
                <w:sz w:val="24"/>
                <w:szCs w:val="24"/>
              </w:rPr>
            </w:pPr>
            <w:r w:rsidRPr="00EF549E">
              <w:rPr>
                <w:bCs/>
                <w:sz w:val="24"/>
                <w:szCs w:val="24"/>
              </w:rPr>
              <w:t>Escolaridade</w:t>
            </w: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Nenhuma</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proofErr w:type="gramStart"/>
            <w:r w:rsidRPr="00EF549E">
              <w:rPr>
                <w:bCs/>
                <w:sz w:val="24"/>
                <w:szCs w:val="24"/>
              </w:rPr>
              <w:t>6</w:t>
            </w:r>
            <w:proofErr w:type="gramEnd"/>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1,64</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1 - 3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38</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10,32</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4 - 7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71</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19,29</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rPr>
              <w:t>8 - 11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105</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28,54</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b/>
                <w:bCs/>
                <w:sz w:val="24"/>
                <w:szCs w:val="24"/>
              </w:rPr>
            </w:pPr>
            <w:r w:rsidRPr="00EF549E">
              <w:rPr>
                <w:sz w:val="24"/>
                <w:szCs w:val="24"/>
                <w:u w:val="single"/>
              </w:rPr>
              <w:t>&gt;</w:t>
            </w:r>
            <w:r w:rsidRPr="00EF549E">
              <w:rPr>
                <w:sz w:val="24"/>
                <w:szCs w:val="24"/>
              </w:rPr>
              <w:t>12 anos</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69</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18,75</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Ignorado</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bCs/>
                <w:sz w:val="24"/>
                <w:szCs w:val="24"/>
              </w:rPr>
            </w:pPr>
            <w:r w:rsidRPr="00EF549E">
              <w:rPr>
                <w:bCs/>
                <w:sz w:val="24"/>
                <w:szCs w:val="24"/>
              </w:rPr>
              <w:t>79</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21,46</w:t>
            </w:r>
          </w:p>
        </w:tc>
      </w:tr>
      <w:tr w:rsidR="00C40D8A" w:rsidRPr="00EF549E" w:rsidTr="00E87B2C">
        <w:tc>
          <w:tcPr>
            <w:tcW w:w="2161" w:type="dxa"/>
            <w:vMerge/>
            <w:tcBorders>
              <w:top w:val="nil"/>
              <w:left w:val="nil"/>
              <w:bottom w:val="nil"/>
              <w:right w:val="nil"/>
            </w:tcBorders>
          </w:tcPr>
          <w:p w:rsidR="00C40D8A" w:rsidRPr="00EF549E" w:rsidRDefault="00C40D8A" w:rsidP="00E87B2C">
            <w:pPr>
              <w:jc w:val="center"/>
              <w:rPr>
                <w:sz w:val="24"/>
                <w:szCs w:val="24"/>
              </w:rPr>
            </w:pPr>
          </w:p>
        </w:tc>
        <w:tc>
          <w:tcPr>
            <w:tcW w:w="2777" w:type="dxa"/>
            <w:tcBorders>
              <w:top w:val="nil"/>
              <w:left w:val="nil"/>
              <w:bottom w:val="nil"/>
              <w:right w:val="nil"/>
            </w:tcBorders>
          </w:tcPr>
          <w:p w:rsidR="00C40D8A" w:rsidRPr="00EF549E" w:rsidRDefault="00C40D8A" w:rsidP="00E87B2C">
            <w:pPr>
              <w:rPr>
                <w:sz w:val="24"/>
                <w:szCs w:val="24"/>
              </w:rPr>
            </w:pPr>
          </w:p>
        </w:tc>
        <w:tc>
          <w:tcPr>
            <w:tcW w:w="1853" w:type="dxa"/>
            <w:tcBorders>
              <w:top w:val="nil"/>
              <w:left w:val="nil"/>
              <w:bottom w:val="nil"/>
              <w:right w:val="nil"/>
            </w:tcBorders>
          </w:tcPr>
          <w:p w:rsidR="00C40D8A" w:rsidRPr="00EF549E" w:rsidRDefault="00C40D8A" w:rsidP="00E87B2C">
            <w:pPr>
              <w:rPr>
                <w:sz w:val="24"/>
                <w:szCs w:val="24"/>
              </w:rPr>
            </w:pPr>
          </w:p>
        </w:tc>
        <w:tc>
          <w:tcPr>
            <w:tcW w:w="2389" w:type="dxa"/>
            <w:tcBorders>
              <w:top w:val="nil"/>
              <w:left w:val="nil"/>
              <w:bottom w:val="nil"/>
              <w:right w:val="nil"/>
            </w:tcBorders>
          </w:tcPr>
          <w:p w:rsidR="00C40D8A" w:rsidRPr="00EF549E" w:rsidRDefault="00C40D8A" w:rsidP="00E87B2C">
            <w:pPr>
              <w:jc w:val="center"/>
              <w:rPr>
                <w:sz w:val="24"/>
                <w:szCs w:val="24"/>
              </w:rPr>
            </w:pPr>
          </w:p>
        </w:tc>
      </w:tr>
      <w:tr w:rsidR="00C40D8A" w:rsidRPr="00EF549E" w:rsidTr="00E87B2C">
        <w:tc>
          <w:tcPr>
            <w:tcW w:w="2161" w:type="dxa"/>
            <w:vMerge w:val="restart"/>
            <w:tcBorders>
              <w:top w:val="nil"/>
              <w:left w:val="nil"/>
              <w:bottom w:val="single" w:sz="4" w:space="0" w:color="000000" w:themeColor="text1"/>
              <w:right w:val="nil"/>
            </w:tcBorders>
          </w:tcPr>
          <w:p w:rsidR="00C40D8A" w:rsidRPr="00EF549E" w:rsidRDefault="00C40D8A" w:rsidP="00AF752D">
            <w:pPr>
              <w:spacing w:before="240"/>
              <w:jc w:val="center"/>
              <w:rPr>
                <w:sz w:val="24"/>
                <w:szCs w:val="24"/>
              </w:rPr>
            </w:pPr>
            <w:r w:rsidRPr="00EF549E">
              <w:rPr>
                <w:bCs/>
                <w:sz w:val="24"/>
                <w:szCs w:val="24"/>
              </w:rPr>
              <w:t>Estado civil</w:t>
            </w: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Solteiro</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163</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44,30</w:t>
            </w:r>
          </w:p>
        </w:tc>
      </w:tr>
      <w:tr w:rsidR="00C40D8A" w:rsidRPr="00EF549E" w:rsidTr="00E87B2C">
        <w:tc>
          <w:tcPr>
            <w:tcW w:w="2161" w:type="dxa"/>
            <w:vMerge/>
            <w:tcBorders>
              <w:top w:val="single" w:sz="4" w:space="0" w:color="000000" w:themeColor="text1"/>
              <w:left w:val="nil"/>
              <w:bottom w:val="single" w:sz="4" w:space="0" w:color="000000" w:themeColor="text1"/>
              <w:right w:val="nil"/>
            </w:tcBorders>
          </w:tcPr>
          <w:p w:rsidR="00C40D8A" w:rsidRPr="00EF549E" w:rsidRDefault="00C40D8A" w:rsidP="00E87B2C">
            <w:pP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Casado</w:t>
            </w:r>
          </w:p>
        </w:tc>
        <w:tc>
          <w:tcPr>
            <w:tcW w:w="1853"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148</w:t>
            </w:r>
          </w:p>
        </w:tc>
        <w:tc>
          <w:tcPr>
            <w:tcW w:w="2389" w:type="dxa"/>
            <w:tcBorders>
              <w:top w:val="nil"/>
              <w:left w:val="nil"/>
              <w:bottom w:val="nil"/>
              <w:right w:val="nil"/>
            </w:tcBorders>
          </w:tcPr>
          <w:p w:rsidR="00C40D8A" w:rsidRPr="00EF549E" w:rsidRDefault="00C40D8A" w:rsidP="00E87B2C">
            <w:pPr>
              <w:jc w:val="center"/>
              <w:rPr>
                <w:sz w:val="24"/>
                <w:szCs w:val="24"/>
              </w:rPr>
            </w:pPr>
            <w:r w:rsidRPr="00EF549E">
              <w:rPr>
                <w:sz w:val="24"/>
                <w:szCs w:val="24"/>
              </w:rPr>
              <w:t>40,21</w:t>
            </w:r>
          </w:p>
        </w:tc>
      </w:tr>
      <w:tr w:rsidR="00C40D8A" w:rsidRPr="00EF549E" w:rsidTr="00E87B2C">
        <w:tc>
          <w:tcPr>
            <w:tcW w:w="2161" w:type="dxa"/>
            <w:vMerge/>
            <w:tcBorders>
              <w:top w:val="single" w:sz="4" w:space="0" w:color="000000" w:themeColor="text1"/>
              <w:left w:val="nil"/>
              <w:bottom w:val="single" w:sz="4" w:space="0" w:color="000000" w:themeColor="text1"/>
              <w:right w:val="nil"/>
            </w:tcBorders>
          </w:tcPr>
          <w:p w:rsidR="00C40D8A" w:rsidRPr="00EF549E" w:rsidRDefault="00C40D8A" w:rsidP="00E87B2C">
            <w:pPr>
              <w:rPr>
                <w:sz w:val="24"/>
                <w:szCs w:val="24"/>
              </w:rPr>
            </w:pPr>
          </w:p>
        </w:tc>
        <w:tc>
          <w:tcPr>
            <w:tcW w:w="2777" w:type="dxa"/>
            <w:tcBorders>
              <w:top w:val="nil"/>
              <w:left w:val="nil"/>
              <w:bottom w:val="nil"/>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Outros</w:t>
            </w:r>
          </w:p>
        </w:tc>
        <w:tc>
          <w:tcPr>
            <w:tcW w:w="1853" w:type="dxa"/>
            <w:tcBorders>
              <w:top w:val="nil"/>
              <w:left w:val="nil"/>
              <w:bottom w:val="nil"/>
              <w:right w:val="nil"/>
            </w:tcBorders>
          </w:tcPr>
          <w:p w:rsidR="00C40D8A" w:rsidRPr="00EF549E" w:rsidRDefault="00AF752D" w:rsidP="00E87B2C">
            <w:pPr>
              <w:autoSpaceDE w:val="0"/>
              <w:autoSpaceDN w:val="0"/>
              <w:adjustRightInd w:val="0"/>
              <w:jc w:val="center"/>
              <w:rPr>
                <w:sz w:val="24"/>
                <w:szCs w:val="24"/>
              </w:rPr>
            </w:pPr>
            <w:r>
              <w:rPr>
                <w:sz w:val="24"/>
                <w:szCs w:val="24"/>
              </w:rPr>
              <w:t>39</w:t>
            </w:r>
          </w:p>
        </w:tc>
        <w:tc>
          <w:tcPr>
            <w:tcW w:w="2389" w:type="dxa"/>
            <w:tcBorders>
              <w:top w:val="nil"/>
              <w:left w:val="nil"/>
              <w:bottom w:val="nil"/>
              <w:right w:val="nil"/>
            </w:tcBorders>
          </w:tcPr>
          <w:p w:rsidR="00C40D8A" w:rsidRPr="00EF549E" w:rsidRDefault="00AF752D" w:rsidP="00E87B2C">
            <w:pPr>
              <w:jc w:val="center"/>
              <w:rPr>
                <w:sz w:val="24"/>
                <w:szCs w:val="24"/>
              </w:rPr>
            </w:pPr>
            <w:r>
              <w:rPr>
                <w:sz w:val="24"/>
                <w:szCs w:val="24"/>
              </w:rPr>
              <w:t>10,60</w:t>
            </w:r>
          </w:p>
        </w:tc>
      </w:tr>
      <w:tr w:rsidR="00C40D8A" w:rsidRPr="00EF549E" w:rsidTr="00E87B2C">
        <w:tc>
          <w:tcPr>
            <w:tcW w:w="2161" w:type="dxa"/>
            <w:vMerge/>
            <w:tcBorders>
              <w:top w:val="single" w:sz="4" w:space="0" w:color="000000" w:themeColor="text1"/>
              <w:left w:val="nil"/>
              <w:right w:val="nil"/>
            </w:tcBorders>
          </w:tcPr>
          <w:p w:rsidR="00C40D8A" w:rsidRPr="00EF549E" w:rsidRDefault="00C40D8A" w:rsidP="00E87B2C">
            <w:pPr>
              <w:rPr>
                <w:sz w:val="24"/>
                <w:szCs w:val="24"/>
              </w:rPr>
            </w:pPr>
          </w:p>
        </w:tc>
        <w:tc>
          <w:tcPr>
            <w:tcW w:w="2777" w:type="dxa"/>
            <w:tcBorders>
              <w:top w:val="nil"/>
              <w:left w:val="nil"/>
              <w:bottom w:val="single" w:sz="4" w:space="0" w:color="auto"/>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Ignorado</w:t>
            </w:r>
          </w:p>
        </w:tc>
        <w:tc>
          <w:tcPr>
            <w:tcW w:w="1853" w:type="dxa"/>
            <w:tcBorders>
              <w:top w:val="nil"/>
              <w:left w:val="nil"/>
              <w:bottom w:val="single" w:sz="4" w:space="0" w:color="auto"/>
              <w:right w:val="nil"/>
            </w:tcBorders>
          </w:tcPr>
          <w:p w:rsidR="00C40D8A" w:rsidRPr="00EF549E" w:rsidRDefault="00C40D8A" w:rsidP="00E87B2C">
            <w:pPr>
              <w:autoSpaceDE w:val="0"/>
              <w:autoSpaceDN w:val="0"/>
              <w:adjustRightInd w:val="0"/>
              <w:jc w:val="center"/>
              <w:rPr>
                <w:sz w:val="24"/>
                <w:szCs w:val="24"/>
              </w:rPr>
            </w:pPr>
            <w:r w:rsidRPr="00EF549E">
              <w:rPr>
                <w:sz w:val="24"/>
                <w:szCs w:val="24"/>
              </w:rPr>
              <w:t>18</w:t>
            </w:r>
          </w:p>
        </w:tc>
        <w:tc>
          <w:tcPr>
            <w:tcW w:w="2389" w:type="dxa"/>
            <w:tcBorders>
              <w:top w:val="nil"/>
              <w:left w:val="nil"/>
              <w:bottom w:val="single" w:sz="4" w:space="0" w:color="auto"/>
              <w:right w:val="nil"/>
            </w:tcBorders>
          </w:tcPr>
          <w:p w:rsidR="00C40D8A" w:rsidRPr="00EF549E" w:rsidRDefault="00C40D8A" w:rsidP="00E87B2C">
            <w:pPr>
              <w:jc w:val="center"/>
              <w:rPr>
                <w:sz w:val="24"/>
                <w:szCs w:val="24"/>
              </w:rPr>
            </w:pPr>
            <w:r w:rsidRPr="00EF549E">
              <w:rPr>
                <w:sz w:val="24"/>
                <w:szCs w:val="24"/>
              </w:rPr>
              <w:t>4,89</w:t>
            </w:r>
          </w:p>
        </w:tc>
      </w:tr>
    </w:tbl>
    <w:p w:rsidR="00C40D8A" w:rsidRDefault="00C40D8A" w:rsidP="00C40D8A">
      <w:pPr>
        <w:autoSpaceDE w:val="0"/>
        <w:autoSpaceDN w:val="0"/>
        <w:adjustRightInd w:val="0"/>
        <w:jc w:val="both"/>
      </w:pPr>
      <w:r w:rsidRPr="00C40D8A">
        <w:t>Fonte: Ministério da Saúde/</w:t>
      </w:r>
      <w:r w:rsidRPr="00C40D8A">
        <w:rPr>
          <w:rStyle w:val="st"/>
        </w:rPr>
        <w:t>Secretaria de Vigilância em Saúde</w:t>
      </w:r>
      <w:r w:rsidRPr="00C40D8A">
        <w:t>/</w:t>
      </w:r>
      <w:r w:rsidRPr="00C40D8A">
        <w:rPr>
          <w:rStyle w:val="st"/>
        </w:rPr>
        <w:t xml:space="preserve">Coordenação Geral de </w:t>
      </w:r>
      <w:r w:rsidRPr="00C40D8A">
        <w:rPr>
          <w:rStyle w:val="nfase"/>
          <w:i w:val="0"/>
        </w:rPr>
        <w:t>Informações</w:t>
      </w:r>
      <w:r w:rsidRPr="00C40D8A">
        <w:rPr>
          <w:rStyle w:val="st"/>
        </w:rPr>
        <w:t xml:space="preserve"> e Análise Epidemiológica/</w:t>
      </w:r>
      <w:r w:rsidRPr="00C40D8A">
        <w:t>Sistema de Informações sobre Mortalidade.</w:t>
      </w:r>
    </w:p>
    <w:p w:rsidR="00BA2C05" w:rsidRDefault="00BA2C05" w:rsidP="00C40D8A">
      <w:pPr>
        <w:autoSpaceDE w:val="0"/>
        <w:autoSpaceDN w:val="0"/>
        <w:adjustRightInd w:val="0"/>
        <w:jc w:val="both"/>
      </w:pPr>
    </w:p>
    <w:p w:rsidR="0044449D" w:rsidRPr="00361F9B" w:rsidRDefault="0044449D" w:rsidP="0044449D">
      <w:pPr>
        <w:autoSpaceDE w:val="0"/>
        <w:autoSpaceDN w:val="0"/>
        <w:adjustRightInd w:val="0"/>
        <w:spacing w:line="480" w:lineRule="auto"/>
        <w:ind w:firstLine="708"/>
        <w:jc w:val="both"/>
      </w:pPr>
      <w:r>
        <w:t>Quanto à faixa etária, observou-se que a maioria (</w:t>
      </w:r>
      <w:r w:rsidR="006E20D6">
        <w:t>48,36</w:t>
      </w:r>
      <w:r>
        <w:t xml:space="preserve">%) era de adultos jovens, com idade entre 20 e 39 anos. </w:t>
      </w:r>
      <w:r w:rsidRPr="00905357">
        <w:t>A</w:t>
      </w:r>
      <w:r>
        <w:t xml:space="preserve"> seguir, a </w:t>
      </w:r>
      <w:r w:rsidRPr="00905357">
        <w:t xml:space="preserve">faixa etária de </w:t>
      </w:r>
      <w:r>
        <w:t xml:space="preserve">indivíduos com idades entre </w:t>
      </w:r>
      <w:r w:rsidR="006E20D6">
        <w:t>40 e 4</w:t>
      </w:r>
      <w:r>
        <w:t xml:space="preserve">9 </w:t>
      </w:r>
      <w:r w:rsidRPr="00905357">
        <w:t>anos foi a mais presente no grupo analisado (</w:t>
      </w:r>
      <w:r>
        <w:t>1</w:t>
      </w:r>
      <w:r w:rsidR="006E20D6">
        <w:t>4,95</w:t>
      </w:r>
      <w:r w:rsidRPr="00905357">
        <w:t>%)</w:t>
      </w:r>
      <w:r>
        <w:t>,</w:t>
      </w:r>
      <w:r w:rsidRPr="00905357">
        <w:t xml:space="preserve"> e as menores frequências foram observadas nas faixas etárias extremas, até </w:t>
      </w:r>
      <w:r>
        <w:t>14</w:t>
      </w:r>
      <w:r w:rsidRPr="00905357">
        <w:t xml:space="preserve"> anos e de 60 anos ou mais.</w:t>
      </w:r>
      <w:r>
        <w:t xml:space="preserve"> A idade mínima foi de um ano e a máxima de </w:t>
      </w:r>
      <w:r w:rsidR="006E20D6">
        <w:t>81</w:t>
      </w:r>
      <w:r>
        <w:t xml:space="preserve"> anos (média de 30 anos, </w:t>
      </w:r>
      <w:proofErr w:type="spellStart"/>
      <w:r w:rsidRPr="00B72025">
        <w:t>dp</w:t>
      </w:r>
      <w:proofErr w:type="spellEnd"/>
      <w:r>
        <w:t>= 11,60, mediana de 25 anos e moda de 21 anos).</w:t>
      </w:r>
    </w:p>
    <w:p w:rsidR="00BA2C05" w:rsidRDefault="006E20D6" w:rsidP="00D417B7">
      <w:pPr>
        <w:autoSpaceDE w:val="0"/>
        <w:autoSpaceDN w:val="0"/>
        <w:adjustRightInd w:val="0"/>
        <w:spacing w:line="480" w:lineRule="auto"/>
        <w:ind w:firstLine="709"/>
        <w:jc w:val="both"/>
      </w:pPr>
      <w:r>
        <w:t>Em</w:t>
      </w:r>
      <w:r w:rsidR="00BA2C05" w:rsidRPr="00EF549E">
        <w:t xml:space="preserve"> relação à raça/cor, observ</w:t>
      </w:r>
      <w:r>
        <w:t>a</w:t>
      </w:r>
      <w:r w:rsidR="00BA2C05">
        <w:t xml:space="preserve">-se </w:t>
      </w:r>
      <w:r w:rsidR="00BA2C05" w:rsidRPr="00EF549E">
        <w:t>que a frequência de óbitos foi maior em indivíduos da raça branca (81,52%), seguid</w:t>
      </w:r>
      <w:r>
        <w:t>a</w:t>
      </w:r>
      <w:r w:rsidR="00BA2C05" w:rsidRPr="00EF549E">
        <w:t xml:space="preserve"> por indivíduos das raças </w:t>
      </w:r>
      <w:proofErr w:type="gramStart"/>
      <w:r w:rsidR="00BA2C05" w:rsidRPr="00EF549E">
        <w:t>preta/parda</w:t>
      </w:r>
      <w:proofErr w:type="gramEnd"/>
      <w:r w:rsidR="00BA2C05" w:rsidRPr="00EF549E">
        <w:t xml:space="preserve"> (6,53%). A variável </w:t>
      </w:r>
      <w:r w:rsidR="00BA2C05" w:rsidRPr="00EF549E">
        <w:lastRenderedPageBreak/>
        <w:t>escolaridade mostrou que a maioria da</w:t>
      </w:r>
      <w:r w:rsidR="009B4B04">
        <w:t>s vítimas</w:t>
      </w:r>
      <w:r w:rsidR="00BA2C05" w:rsidRPr="00EF549E">
        <w:t xml:space="preserve"> possuía de </w:t>
      </w:r>
      <w:r>
        <w:t>oito</w:t>
      </w:r>
      <w:r w:rsidR="00BA2C05" w:rsidRPr="00EF549E">
        <w:t xml:space="preserve"> a 11 anos de estudo (28,54%)</w:t>
      </w:r>
      <w:r>
        <w:t>. Entre as vítimas</w:t>
      </w:r>
      <w:r w:rsidR="00BA2C05" w:rsidRPr="00EF549E">
        <w:t xml:space="preserve">, </w:t>
      </w:r>
      <w:r w:rsidRPr="00EF549E">
        <w:t>44,30%</w:t>
      </w:r>
      <w:r>
        <w:t xml:space="preserve"> </w:t>
      </w:r>
      <w:r w:rsidRPr="00EF549E">
        <w:t>era</w:t>
      </w:r>
      <w:r>
        <w:t>m</w:t>
      </w:r>
      <w:r w:rsidRPr="00EF549E">
        <w:t xml:space="preserve"> solteir</w:t>
      </w:r>
      <w:r>
        <w:t>os; e</w:t>
      </w:r>
      <w:r w:rsidR="00BA2C05" w:rsidRPr="00EF549E">
        <w:t xml:space="preserve"> 40,21%</w:t>
      </w:r>
      <w:r>
        <w:t>,</w:t>
      </w:r>
      <w:r w:rsidRPr="006E20D6">
        <w:t xml:space="preserve"> </w:t>
      </w:r>
      <w:r w:rsidRPr="00EF549E">
        <w:t>casados</w:t>
      </w:r>
      <w:r>
        <w:t>.</w:t>
      </w:r>
    </w:p>
    <w:p w:rsidR="006E20D6" w:rsidRDefault="00BA73BC" w:rsidP="00D417B7">
      <w:pPr>
        <w:autoSpaceDE w:val="0"/>
        <w:autoSpaceDN w:val="0"/>
        <w:adjustRightInd w:val="0"/>
        <w:spacing w:line="480" w:lineRule="auto"/>
        <w:ind w:firstLine="709"/>
        <w:jc w:val="both"/>
      </w:pPr>
      <w:r>
        <w:t xml:space="preserve">Na análise das características dos acidentes (Tabela 2), verificou-se que o local mais frequente de óbitos foi </w:t>
      </w:r>
      <w:proofErr w:type="gramStart"/>
      <w:r>
        <w:t>a</w:t>
      </w:r>
      <w:proofErr w:type="gramEnd"/>
      <w:r>
        <w:t xml:space="preserve"> via pública (62,77%) seguido dos hospitais (30,98%). Em relação à informação sobre acidente de trabalho, apenas </w:t>
      </w:r>
      <w:r w:rsidR="008522CF">
        <w:t>8,96</w:t>
      </w:r>
      <w:r>
        <w:t>% dos indivíduos que morreram desenvolviam atividades relacionadas ao trabalho.</w:t>
      </w:r>
    </w:p>
    <w:p w:rsidR="007F4BB5" w:rsidRPr="00EA3D0B" w:rsidRDefault="007F4BB5" w:rsidP="007F4BB5">
      <w:pPr>
        <w:autoSpaceDE w:val="0"/>
        <w:autoSpaceDN w:val="0"/>
        <w:adjustRightInd w:val="0"/>
        <w:jc w:val="both"/>
        <w:rPr>
          <w:bCs/>
        </w:rPr>
      </w:pPr>
      <w:r w:rsidRPr="00EA3D0B">
        <w:rPr>
          <w:bCs/>
        </w:rPr>
        <w:t xml:space="preserve">Tabela 2- </w:t>
      </w:r>
      <w:r w:rsidR="0056159D" w:rsidRPr="00EF549E">
        <w:rPr>
          <w:bCs/>
        </w:rPr>
        <w:t xml:space="preserve">Distribuição dos óbitos </w:t>
      </w:r>
      <w:r w:rsidR="0056159D">
        <w:rPr>
          <w:bCs/>
        </w:rPr>
        <w:t>por acidentes automobilísticos</w:t>
      </w:r>
      <w:r>
        <w:rPr>
          <w:bCs/>
        </w:rPr>
        <w:t xml:space="preserve">, </w:t>
      </w:r>
      <w:r w:rsidRPr="00EF549E">
        <w:rPr>
          <w:bCs/>
        </w:rPr>
        <w:t xml:space="preserve">segundo </w:t>
      </w:r>
      <w:r>
        <w:rPr>
          <w:bCs/>
        </w:rPr>
        <w:t>características dos acidentes</w:t>
      </w:r>
      <w:r w:rsidRPr="00EF549E">
        <w:rPr>
          <w:bCs/>
        </w:rPr>
        <w:t>. Maringá</w:t>
      </w:r>
      <w:r w:rsidR="0090736B">
        <w:rPr>
          <w:bCs/>
        </w:rPr>
        <w:t xml:space="preserve">, </w:t>
      </w:r>
      <w:r w:rsidRPr="00EF549E">
        <w:rPr>
          <w:bCs/>
        </w:rPr>
        <w:t xml:space="preserve">PR, </w:t>
      </w:r>
      <w:r>
        <w:rPr>
          <w:bCs/>
        </w:rPr>
        <w:t xml:space="preserve">Brasil, </w:t>
      </w:r>
      <w:r w:rsidRPr="00EF549E">
        <w:rPr>
          <w:bCs/>
        </w:rPr>
        <w:t xml:space="preserve">1996 a 2012. </w:t>
      </w:r>
    </w:p>
    <w:tbl>
      <w:tblPr>
        <w:tblStyle w:val="Tabelacomgrade"/>
        <w:tblW w:w="0" w:type="auto"/>
        <w:tblLayout w:type="fixed"/>
        <w:tblLook w:val="04A0"/>
      </w:tblPr>
      <w:tblGrid>
        <w:gridCol w:w="2376"/>
        <w:gridCol w:w="4395"/>
        <w:gridCol w:w="775"/>
        <w:gridCol w:w="1634"/>
      </w:tblGrid>
      <w:tr w:rsidR="007F4BB5" w:rsidRPr="00EA3D0B" w:rsidTr="00410AF3">
        <w:tc>
          <w:tcPr>
            <w:tcW w:w="2376" w:type="dxa"/>
            <w:tcBorders>
              <w:left w:val="nil"/>
              <w:bottom w:val="single" w:sz="4" w:space="0" w:color="auto"/>
              <w:right w:val="nil"/>
            </w:tcBorders>
          </w:tcPr>
          <w:p w:rsidR="007F4BB5" w:rsidRPr="007F4BB5" w:rsidRDefault="007F4BB5" w:rsidP="00E87B2C">
            <w:pPr>
              <w:jc w:val="center"/>
              <w:rPr>
                <w:sz w:val="24"/>
                <w:szCs w:val="24"/>
              </w:rPr>
            </w:pPr>
            <w:r w:rsidRPr="007F4BB5">
              <w:rPr>
                <w:sz w:val="24"/>
                <w:szCs w:val="24"/>
              </w:rPr>
              <w:t>Variáveis</w:t>
            </w:r>
          </w:p>
        </w:tc>
        <w:tc>
          <w:tcPr>
            <w:tcW w:w="4395" w:type="dxa"/>
            <w:tcBorders>
              <w:left w:val="nil"/>
              <w:bottom w:val="single" w:sz="4" w:space="0" w:color="auto"/>
              <w:right w:val="nil"/>
            </w:tcBorders>
          </w:tcPr>
          <w:p w:rsidR="007F4BB5" w:rsidRPr="007F4BB5" w:rsidRDefault="007F4BB5" w:rsidP="00E87B2C">
            <w:pPr>
              <w:jc w:val="center"/>
              <w:rPr>
                <w:sz w:val="24"/>
                <w:szCs w:val="24"/>
              </w:rPr>
            </w:pPr>
            <w:r w:rsidRPr="007F4BB5">
              <w:rPr>
                <w:sz w:val="24"/>
                <w:szCs w:val="24"/>
              </w:rPr>
              <w:t>Categorias</w:t>
            </w:r>
          </w:p>
        </w:tc>
        <w:tc>
          <w:tcPr>
            <w:tcW w:w="775" w:type="dxa"/>
            <w:tcBorders>
              <w:left w:val="nil"/>
              <w:bottom w:val="single" w:sz="4" w:space="0" w:color="auto"/>
              <w:right w:val="nil"/>
            </w:tcBorders>
          </w:tcPr>
          <w:p w:rsidR="007F4BB5" w:rsidRPr="007F4BB5" w:rsidRDefault="007F4BB5" w:rsidP="00BA4FD2">
            <w:pPr>
              <w:jc w:val="right"/>
              <w:rPr>
                <w:sz w:val="24"/>
                <w:szCs w:val="24"/>
              </w:rPr>
            </w:pPr>
            <w:r w:rsidRPr="007F4BB5">
              <w:rPr>
                <w:sz w:val="24"/>
                <w:szCs w:val="24"/>
              </w:rPr>
              <w:t>n</w:t>
            </w:r>
          </w:p>
        </w:tc>
        <w:tc>
          <w:tcPr>
            <w:tcW w:w="1634" w:type="dxa"/>
            <w:tcBorders>
              <w:left w:val="nil"/>
              <w:bottom w:val="single" w:sz="4" w:space="0" w:color="auto"/>
              <w:right w:val="nil"/>
            </w:tcBorders>
          </w:tcPr>
          <w:p w:rsidR="007F4BB5" w:rsidRPr="007F4BB5" w:rsidRDefault="007F4BB5" w:rsidP="00BA4FD2">
            <w:pPr>
              <w:jc w:val="right"/>
              <w:rPr>
                <w:sz w:val="24"/>
                <w:szCs w:val="24"/>
              </w:rPr>
            </w:pPr>
            <w:r w:rsidRPr="007F4BB5">
              <w:rPr>
                <w:sz w:val="24"/>
                <w:szCs w:val="24"/>
              </w:rPr>
              <w:t>%</w:t>
            </w:r>
          </w:p>
        </w:tc>
      </w:tr>
      <w:tr w:rsidR="007F4BB5" w:rsidRPr="00EA3D0B" w:rsidTr="00410AF3">
        <w:tc>
          <w:tcPr>
            <w:tcW w:w="2376" w:type="dxa"/>
            <w:vMerge w:val="restart"/>
            <w:tcBorders>
              <w:top w:val="nil"/>
              <w:left w:val="nil"/>
              <w:bottom w:val="nil"/>
              <w:right w:val="nil"/>
            </w:tcBorders>
          </w:tcPr>
          <w:p w:rsidR="007F4BB5" w:rsidRPr="00EA3D0B" w:rsidRDefault="007F4BB5" w:rsidP="00E87B2C">
            <w:pPr>
              <w:spacing w:before="360"/>
              <w:jc w:val="center"/>
              <w:rPr>
                <w:sz w:val="24"/>
                <w:szCs w:val="24"/>
              </w:rPr>
            </w:pPr>
            <w:r w:rsidRPr="00EA3D0B">
              <w:rPr>
                <w:bCs/>
                <w:sz w:val="24"/>
                <w:szCs w:val="24"/>
              </w:rPr>
              <w:t>Local de ocorrência do óbito</w:t>
            </w: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b/>
                <w:bCs/>
                <w:sz w:val="24"/>
                <w:szCs w:val="24"/>
              </w:rPr>
            </w:pPr>
            <w:r w:rsidRPr="00EA3D0B">
              <w:rPr>
                <w:sz w:val="24"/>
                <w:szCs w:val="24"/>
              </w:rPr>
              <w:t>Hospital</w:t>
            </w: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bCs/>
                <w:sz w:val="24"/>
                <w:szCs w:val="24"/>
              </w:rPr>
            </w:pPr>
            <w:r w:rsidRPr="00EA3D0B">
              <w:rPr>
                <w:bCs/>
                <w:sz w:val="24"/>
                <w:szCs w:val="24"/>
              </w:rPr>
              <w:t>114</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30,98</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b/>
                <w:bCs/>
                <w:sz w:val="24"/>
                <w:szCs w:val="24"/>
              </w:rPr>
            </w:pPr>
            <w:r w:rsidRPr="00EA3D0B">
              <w:rPr>
                <w:sz w:val="24"/>
                <w:szCs w:val="24"/>
              </w:rPr>
              <w:t>Via pública</w:t>
            </w: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bCs/>
                <w:sz w:val="24"/>
                <w:szCs w:val="24"/>
              </w:rPr>
            </w:pPr>
            <w:r w:rsidRPr="00EA3D0B">
              <w:rPr>
                <w:bCs/>
                <w:sz w:val="24"/>
                <w:szCs w:val="24"/>
              </w:rPr>
              <w:t>231</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62,77</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sz w:val="24"/>
                <w:szCs w:val="24"/>
              </w:rPr>
            </w:pPr>
            <w:r w:rsidRPr="00EA3D0B">
              <w:rPr>
                <w:sz w:val="24"/>
                <w:szCs w:val="24"/>
              </w:rPr>
              <w:t>Domicílio</w:t>
            </w:r>
          </w:p>
        </w:tc>
        <w:tc>
          <w:tcPr>
            <w:tcW w:w="775" w:type="dxa"/>
            <w:tcBorders>
              <w:top w:val="nil"/>
              <w:left w:val="nil"/>
              <w:bottom w:val="nil"/>
              <w:right w:val="nil"/>
            </w:tcBorders>
          </w:tcPr>
          <w:p w:rsidR="007F4BB5" w:rsidRPr="00EA3D0B" w:rsidRDefault="007F4BB5" w:rsidP="00BA4FD2">
            <w:pPr>
              <w:jc w:val="right"/>
              <w:rPr>
                <w:sz w:val="24"/>
                <w:szCs w:val="24"/>
              </w:rPr>
            </w:pPr>
            <w:proofErr w:type="gramStart"/>
            <w:r w:rsidRPr="00EA3D0B">
              <w:rPr>
                <w:sz w:val="24"/>
                <w:szCs w:val="24"/>
              </w:rPr>
              <w:t>2</w:t>
            </w:r>
            <w:proofErr w:type="gramEnd"/>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0,55</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b/>
                <w:bCs/>
                <w:sz w:val="24"/>
                <w:szCs w:val="24"/>
              </w:rPr>
            </w:pPr>
            <w:r w:rsidRPr="00EA3D0B">
              <w:rPr>
                <w:sz w:val="24"/>
                <w:szCs w:val="24"/>
              </w:rPr>
              <w:t>Outros</w:t>
            </w:r>
          </w:p>
        </w:tc>
        <w:tc>
          <w:tcPr>
            <w:tcW w:w="775"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11</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2,99</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sz w:val="24"/>
                <w:szCs w:val="24"/>
              </w:rPr>
            </w:pPr>
            <w:r w:rsidRPr="00EA3D0B">
              <w:rPr>
                <w:sz w:val="24"/>
                <w:szCs w:val="24"/>
              </w:rPr>
              <w:t>Ignorado</w:t>
            </w:r>
          </w:p>
        </w:tc>
        <w:tc>
          <w:tcPr>
            <w:tcW w:w="775"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10</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2,71</w:t>
            </w:r>
          </w:p>
        </w:tc>
      </w:tr>
      <w:tr w:rsidR="007F4BB5" w:rsidRPr="00EA3D0B" w:rsidTr="00410AF3">
        <w:tc>
          <w:tcPr>
            <w:tcW w:w="2376" w:type="dxa"/>
            <w:vMerge w:val="restart"/>
            <w:tcBorders>
              <w:top w:val="nil"/>
              <w:left w:val="nil"/>
              <w:bottom w:val="nil"/>
              <w:right w:val="nil"/>
            </w:tcBorders>
          </w:tcPr>
          <w:p w:rsidR="007F4BB5" w:rsidRPr="00EA3D0B" w:rsidRDefault="007F4BB5" w:rsidP="00155F00">
            <w:pPr>
              <w:spacing w:before="360"/>
              <w:jc w:val="center"/>
              <w:rPr>
                <w:sz w:val="24"/>
                <w:szCs w:val="24"/>
              </w:rPr>
            </w:pPr>
            <w:r w:rsidRPr="00EA3D0B">
              <w:rPr>
                <w:bCs/>
                <w:sz w:val="24"/>
                <w:szCs w:val="24"/>
              </w:rPr>
              <w:t>Acidente de trabalho</w:t>
            </w:r>
          </w:p>
        </w:tc>
        <w:tc>
          <w:tcPr>
            <w:tcW w:w="4395" w:type="dxa"/>
            <w:tcBorders>
              <w:top w:val="nil"/>
              <w:left w:val="nil"/>
              <w:bottom w:val="nil"/>
              <w:right w:val="nil"/>
            </w:tcBorders>
          </w:tcPr>
          <w:p w:rsidR="007F4BB5" w:rsidRPr="00EA3D0B" w:rsidRDefault="007F4BB5" w:rsidP="00E87B2C">
            <w:pPr>
              <w:autoSpaceDE w:val="0"/>
              <w:autoSpaceDN w:val="0"/>
              <w:adjustRightInd w:val="0"/>
              <w:rPr>
                <w:sz w:val="24"/>
                <w:szCs w:val="24"/>
              </w:rPr>
            </w:pP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bCs/>
                <w:sz w:val="24"/>
                <w:szCs w:val="24"/>
              </w:rPr>
            </w:pPr>
          </w:p>
        </w:tc>
        <w:tc>
          <w:tcPr>
            <w:tcW w:w="1634" w:type="dxa"/>
            <w:tcBorders>
              <w:top w:val="nil"/>
              <w:left w:val="nil"/>
              <w:bottom w:val="nil"/>
              <w:right w:val="nil"/>
            </w:tcBorders>
          </w:tcPr>
          <w:p w:rsidR="007F4BB5" w:rsidRPr="00EA3D0B" w:rsidRDefault="007F4BB5" w:rsidP="00BA4FD2">
            <w:pPr>
              <w:jc w:val="right"/>
              <w:rPr>
                <w:sz w:val="24"/>
                <w:szCs w:val="24"/>
              </w:rPr>
            </w:pP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b/>
                <w:bCs/>
                <w:sz w:val="24"/>
                <w:szCs w:val="24"/>
              </w:rPr>
            </w:pPr>
            <w:r w:rsidRPr="00EA3D0B">
              <w:rPr>
                <w:sz w:val="24"/>
                <w:szCs w:val="24"/>
              </w:rPr>
              <w:t>Sim</w:t>
            </w: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sz w:val="24"/>
                <w:szCs w:val="24"/>
              </w:rPr>
            </w:pPr>
            <w:r w:rsidRPr="00EA3D0B">
              <w:rPr>
                <w:sz w:val="24"/>
                <w:szCs w:val="24"/>
              </w:rPr>
              <w:t>33</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8,96</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b/>
                <w:bCs/>
                <w:sz w:val="24"/>
                <w:szCs w:val="24"/>
              </w:rPr>
            </w:pPr>
            <w:r w:rsidRPr="00EA3D0B">
              <w:rPr>
                <w:sz w:val="24"/>
                <w:szCs w:val="24"/>
              </w:rPr>
              <w:t>Não</w:t>
            </w: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bCs/>
                <w:sz w:val="24"/>
                <w:szCs w:val="24"/>
              </w:rPr>
            </w:pPr>
            <w:r w:rsidRPr="00EA3D0B">
              <w:rPr>
                <w:bCs/>
                <w:sz w:val="24"/>
                <w:szCs w:val="24"/>
              </w:rPr>
              <w:t>226</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61,42</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jc w:val="center"/>
              <w:rPr>
                <w:sz w:val="24"/>
                <w:szCs w:val="24"/>
              </w:rPr>
            </w:pPr>
            <w:r w:rsidRPr="00EA3D0B">
              <w:rPr>
                <w:sz w:val="24"/>
                <w:szCs w:val="24"/>
              </w:rPr>
              <w:t>Ignorado</w:t>
            </w: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bCs/>
                <w:sz w:val="24"/>
                <w:szCs w:val="24"/>
              </w:rPr>
            </w:pPr>
            <w:r w:rsidRPr="00EA3D0B">
              <w:rPr>
                <w:bCs/>
                <w:sz w:val="24"/>
                <w:szCs w:val="24"/>
              </w:rPr>
              <w:t>109</w:t>
            </w:r>
          </w:p>
        </w:tc>
        <w:tc>
          <w:tcPr>
            <w:tcW w:w="1634" w:type="dxa"/>
            <w:tcBorders>
              <w:top w:val="nil"/>
              <w:left w:val="nil"/>
              <w:bottom w:val="nil"/>
              <w:right w:val="nil"/>
            </w:tcBorders>
          </w:tcPr>
          <w:p w:rsidR="007F4BB5" w:rsidRPr="00EA3D0B" w:rsidRDefault="007F4BB5" w:rsidP="00BA4FD2">
            <w:pPr>
              <w:jc w:val="right"/>
              <w:rPr>
                <w:sz w:val="24"/>
                <w:szCs w:val="24"/>
              </w:rPr>
            </w:pPr>
            <w:r w:rsidRPr="00EA3D0B">
              <w:rPr>
                <w:sz w:val="24"/>
                <w:szCs w:val="24"/>
              </w:rPr>
              <w:t>29,62</w:t>
            </w:r>
          </w:p>
        </w:tc>
      </w:tr>
      <w:tr w:rsidR="007F4BB5" w:rsidRPr="00EA3D0B" w:rsidTr="00410AF3">
        <w:tc>
          <w:tcPr>
            <w:tcW w:w="2376" w:type="dxa"/>
            <w:vMerge/>
            <w:tcBorders>
              <w:top w:val="nil"/>
              <w:left w:val="nil"/>
              <w:bottom w:val="nil"/>
              <w:right w:val="nil"/>
            </w:tcBorders>
          </w:tcPr>
          <w:p w:rsidR="007F4BB5" w:rsidRPr="00EA3D0B" w:rsidRDefault="007F4BB5" w:rsidP="00E87B2C">
            <w:pPr>
              <w:jc w:val="center"/>
              <w:rPr>
                <w:sz w:val="24"/>
                <w:szCs w:val="24"/>
              </w:rPr>
            </w:pPr>
          </w:p>
        </w:tc>
        <w:tc>
          <w:tcPr>
            <w:tcW w:w="4395" w:type="dxa"/>
            <w:tcBorders>
              <w:top w:val="nil"/>
              <w:left w:val="nil"/>
              <w:bottom w:val="nil"/>
              <w:right w:val="nil"/>
            </w:tcBorders>
          </w:tcPr>
          <w:p w:rsidR="007F4BB5" w:rsidRPr="00EA3D0B" w:rsidRDefault="007F4BB5" w:rsidP="00E87B2C">
            <w:pPr>
              <w:autoSpaceDE w:val="0"/>
              <w:autoSpaceDN w:val="0"/>
              <w:adjustRightInd w:val="0"/>
              <w:rPr>
                <w:sz w:val="24"/>
                <w:szCs w:val="24"/>
              </w:rPr>
            </w:pPr>
          </w:p>
        </w:tc>
        <w:tc>
          <w:tcPr>
            <w:tcW w:w="775" w:type="dxa"/>
            <w:tcBorders>
              <w:top w:val="nil"/>
              <w:left w:val="nil"/>
              <w:bottom w:val="nil"/>
              <w:right w:val="nil"/>
            </w:tcBorders>
          </w:tcPr>
          <w:p w:rsidR="007F4BB5" w:rsidRPr="00EA3D0B" w:rsidRDefault="007F4BB5" w:rsidP="00BA4FD2">
            <w:pPr>
              <w:autoSpaceDE w:val="0"/>
              <w:autoSpaceDN w:val="0"/>
              <w:adjustRightInd w:val="0"/>
              <w:jc w:val="right"/>
              <w:rPr>
                <w:sz w:val="24"/>
                <w:szCs w:val="24"/>
              </w:rPr>
            </w:pPr>
          </w:p>
        </w:tc>
        <w:tc>
          <w:tcPr>
            <w:tcW w:w="1634" w:type="dxa"/>
            <w:tcBorders>
              <w:top w:val="nil"/>
              <w:left w:val="nil"/>
              <w:bottom w:val="nil"/>
              <w:right w:val="nil"/>
            </w:tcBorders>
          </w:tcPr>
          <w:p w:rsidR="007F4BB5" w:rsidRPr="00EA3D0B" w:rsidRDefault="007F4BB5" w:rsidP="00BA4FD2">
            <w:pPr>
              <w:jc w:val="right"/>
              <w:rPr>
                <w:sz w:val="24"/>
                <w:szCs w:val="24"/>
              </w:rPr>
            </w:pPr>
          </w:p>
        </w:tc>
      </w:tr>
      <w:tr w:rsidR="007F4BB5" w:rsidRPr="00EA3D0B" w:rsidTr="00410AF3">
        <w:tc>
          <w:tcPr>
            <w:tcW w:w="2376" w:type="dxa"/>
            <w:vMerge w:val="restart"/>
            <w:tcBorders>
              <w:top w:val="nil"/>
              <w:left w:val="nil"/>
              <w:bottom w:val="nil"/>
              <w:right w:val="nil"/>
            </w:tcBorders>
          </w:tcPr>
          <w:p w:rsidR="00BA4FD2" w:rsidRPr="00410AF3" w:rsidRDefault="00BA4FD2" w:rsidP="00410AF3">
            <w:pPr>
              <w:jc w:val="center"/>
              <w:rPr>
                <w:bCs/>
                <w:sz w:val="24"/>
                <w:szCs w:val="24"/>
              </w:rPr>
            </w:pPr>
            <w:r w:rsidRPr="00410AF3">
              <w:rPr>
                <w:bCs/>
                <w:sz w:val="24"/>
                <w:szCs w:val="24"/>
              </w:rPr>
              <w:t>CID – 10. V40 a V49</w:t>
            </w:r>
          </w:p>
          <w:p w:rsidR="007F4BB5" w:rsidRPr="00410AF3" w:rsidRDefault="00410AF3" w:rsidP="00410AF3">
            <w:pPr>
              <w:jc w:val="center"/>
              <w:rPr>
                <w:sz w:val="24"/>
                <w:szCs w:val="24"/>
              </w:rPr>
            </w:pPr>
            <w:r w:rsidRPr="00410AF3">
              <w:rPr>
                <w:sz w:val="24"/>
                <w:szCs w:val="24"/>
                <w:shd w:val="clear" w:color="auto" w:fill="FFFFFF"/>
              </w:rPr>
              <w:t>Ocupante de automóvel traumatizado em um acidente de transporte</w:t>
            </w:r>
            <w:r w:rsidR="00BA4FD2" w:rsidRPr="00410AF3">
              <w:rPr>
                <w:bCs/>
                <w:sz w:val="24"/>
                <w:szCs w:val="24"/>
              </w:rPr>
              <w:t xml:space="preserve"> - colisões</w:t>
            </w:r>
          </w:p>
        </w:tc>
        <w:tc>
          <w:tcPr>
            <w:tcW w:w="4395" w:type="dxa"/>
            <w:tcBorders>
              <w:top w:val="nil"/>
              <w:left w:val="nil"/>
              <w:bottom w:val="nil"/>
              <w:right w:val="nil"/>
            </w:tcBorders>
          </w:tcPr>
          <w:p w:rsidR="007F4BB5" w:rsidRPr="00410AF3" w:rsidRDefault="00BA4FD2" w:rsidP="00410AF3">
            <w:pPr>
              <w:autoSpaceDE w:val="0"/>
              <w:autoSpaceDN w:val="0"/>
              <w:adjustRightInd w:val="0"/>
              <w:jc w:val="both"/>
              <w:rPr>
                <w:b/>
                <w:bCs/>
                <w:sz w:val="24"/>
                <w:szCs w:val="24"/>
              </w:rPr>
            </w:pPr>
            <w:r w:rsidRPr="00410AF3">
              <w:rPr>
                <w:sz w:val="24"/>
                <w:szCs w:val="24"/>
              </w:rPr>
              <w:t>- C</w:t>
            </w:r>
            <w:r w:rsidR="007F4BB5" w:rsidRPr="00410AF3">
              <w:rPr>
                <w:sz w:val="24"/>
                <w:szCs w:val="24"/>
              </w:rPr>
              <w:t>om automóvel/</w:t>
            </w:r>
            <w:proofErr w:type="spellStart"/>
            <w:r w:rsidR="007F4BB5" w:rsidRPr="00410AF3">
              <w:rPr>
                <w:sz w:val="24"/>
                <w:szCs w:val="24"/>
              </w:rPr>
              <w:t>pickup</w:t>
            </w:r>
            <w:proofErr w:type="spellEnd"/>
            <w:r w:rsidR="007F4BB5" w:rsidRPr="00410AF3">
              <w:rPr>
                <w:sz w:val="24"/>
                <w:szCs w:val="24"/>
              </w:rPr>
              <w:t>/ caminhonete</w:t>
            </w:r>
          </w:p>
        </w:tc>
        <w:tc>
          <w:tcPr>
            <w:tcW w:w="775" w:type="dxa"/>
            <w:tcBorders>
              <w:top w:val="nil"/>
              <w:left w:val="nil"/>
              <w:bottom w:val="nil"/>
              <w:right w:val="nil"/>
            </w:tcBorders>
          </w:tcPr>
          <w:p w:rsidR="007F4BB5" w:rsidRPr="00410AF3" w:rsidRDefault="007F4BB5" w:rsidP="00410AF3">
            <w:pPr>
              <w:autoSpaceDE w:val="0"/>
              <w:autoSpaceDN w:val="0"/>
              <w:adjustRightInd w:val="0"/>
              <w:jc w:val="right"/>
              <w:rPr>
                <w:bCs/>
                <w:sz w:val="24"/>
                <w:szCs w:val="24"/>
              </w:rPr>
            </w:pPr>
            <w:r w:rsidRPr="00410AF3">
              <w:rPr>
                <w:bCs/>
                <w:sz w:val="24"/>
                <w:szCs w:val="24"/>
              </w:rPr>
              <w:t>100</w:t>
            </w:r>
          </w:p>
        </w:tc>
        <w:tc>
          <w:tcPr>
            <w:tcW w:w="1634" w:type="dxa"/>
            <w:tcBorders>
              <w:top w:val="nil"/>
              <w:left w:val="nil"/>
              <w:bottom w:val="nil"/>
              <w:right w:val="nil"/>
            </w:tcBorders>
          </w:tcPr>
          <w:p w:rsidR="007F4BB5" w:rsidRPr="00410AF3" w:rsidRDefault="007F4BB5" w:rsidP="00410AF3">
            <w:pPr>
              <w:jc w:val="right"/>
              <w:rPr>
                <w:sz w:val="24"/>
                <w:szCs w:val="24"/>
              </w:rPr>
            </w:pPr>
            <w:r w:rsidRPr="00410AF3">
              <w:rPr>
                <w:sz w:val="24"/>
                <w:szCs w:val="24"/>
              </w:rPr>
              <w:t>27,17</w:t>
            </w:r>
          </w:p>
        </w:tc>
      </w:tr>
      <w:tr w:rsidR="00692B99" w:rsidRPr="00EA3D0B" w:rsidTr="00410AF3">
        <w:tc>
          <w:tcPr>
            <w:tcW w:w="2376" w:type="dxa"/>
            <w:vMerge/>
            <w:tcBorders>
              <w:top w:val="nil"/>
              <w:left w:val="nil"/>
              <w:bottom w:val="nil"/>
              <w:right w:val="nil"/>
            </w:tcBorders>
          </w:tcPr>
          <w:p w:rsidR="00692B99" w:rsidRPr="00410AF3" w:rsidRDefault="00692B99" w:rsidP="00410AF3">
            <w:pPr>
              <w:jc w:val="center"/>
              <w:rPr>
                <w:bCs/>
                <w:sz w:val="24"/>
                <w:szCs w:val="24"/>
              </w:rPr>
            </w:pPr>
          </w:p>
        </w:tc>
        <w:tc>
          <w:tcPr>
            <w:tcW w:w="4395" w:type="dxa"/>
            <w:tcBorders>
              <w:top w:val="nil"/>
              <w:left w:val="nil"/>
              <w:bottom w:val="nil"/>
              <w:right w:val="nil"/>
            </w:tcBorders>
          </w:tcPr>
          <w:p w:rsidR="00692B99" w:rsidRPr="00410AF3" w:rsidRDefault="00692B99" w:rsidP="00410AF3">
            <w:pPr>
              <w:autoSpaceDE w:val="0"/>
              <w:autoSpaceDN w:val="0"/>
              <w:adjustRightInd w:val="0"/>
              <w:jc w:val="both"/>
              <w:rPr>
                <w:sz w:val="24"/>
                <w:szCs w:val="24"/>
              </w:rPr>
            </w:pPr>
            <w:r w:rsidRPr="00410AF3">
              <w:rPr>
                <w:sz w:val="24"/>
                <w:szCs w:val="24"/>
              </w:rPr>
              <w:t>- Acidente sem colisão</w:t>
            </w:r>
          </w:p>
          <w:p w:rsidR="00692B99" w:rsidRPr="00410AF3" w:rsidRDefault="00692B99" w:rsidP="00410AF3">
            <w:pPr>
              <w:autoSpaceDE w:val="0"/>
              <w:autoSpaceDN w:val="0"/>
              <w:adjustRightInd w:val="0"/>
              <w:jc w:val="both"/>
              <w:rPr>
                <w:sz w:val="24"/>
                <w:szCs w:val="24"/>
              </w:rPr>
            </w:pPr>
            <w:r w:rsidRPr="00410AF3">
              <w:rPr>
                <w:sz w:val="24"/>
                <w:szCs w:val="24"/>
              </w:rPr>
              <w:t>- Com veículo de transporte pesado/ônibus</w:t>
            </w:r>
          </w:p>
        </w:tc>
        <w:tc>
          <w:tcPr>
            <w:tcW w:w="775" w:type="dxa"/>
            <w:tcBorders>
              <w:top w:val="nil"/>
              <w:left w:val="nil"/>
              <w:bottom w:val="nil"/>
              <w:right w:val="nil"/>
            </w:tcBorders>
          </w:tcPr>
          <w:p w:rsidR="00692B99" w:rsidRPr="00410AF3" w:rsidRDefault="00692B99" w:rsidP="00410AF3">
            <w:pPr>
              <w:autoSpaceDE w:val="0"/>
              <w:autoSpaceDN w:val="0"/>
              <w:adjustRightInd w:val="0"/>
              <w:jc w:val="right"/>
              <w:rPr>
                <w:bCs/>
                <w:sz w:val="24"/>
                <w:szCs w:val="24"/>
              </w:rPr>
            </w:pPr>
            <w:r w:rsidRPr="00410AF3">
              <w:rPr>
                <w:sz w:val="24"/>
                <w:szCs w:val="24"/>
              </w:rPr>
              <w:t>67</w:t>
            </w:r>
          </w:p>
          <w:p w:rsidR="00692B99" w:rsidRPr="00410AF3" w:rsidRDefault="00692B99" w:rsidP="00410AF3">
            <w:pPr>
              <w:autoSpaceDE w:val="0"/>
              <w:autoSpaceDN w:val="0"/>
              <w:adjustRightInd w:val="0"/>
              <w:jc w:val="right"/>
              <w:rPr>
                <w:bCs/>
                <w:sz w:val="24"/>
                <w:szCs w:val="24"/>
              </w:rPr>
            </w:pPr>
            <w:r w:rsidRPr="00410AF3">
              <w:rPr>
                <w:bCs/>
                <w:sz w:val="24"/>
                <w:szCs w:val="24"/>
              </w:rPr>
              <w:t>57</w:t>
            </w:r>
          </w:p>
        </w:tc>
        <w:tc>
          <w:tcPr>
            <w:tcW w:w="1634" w:type="dxa"/>
            <w:tcBorders>
              <w:top w:val="nil"/>
              <w:left w:val="nil"/>
              <w:bottom w:val="nil"/>
              <w:right w:val="nil"/>
            </w:tcBorders>
          </w:tcPr>
          <w:p w:rsidR="00692B99" w:rsidRPr="00410AF3" w:rsidRDefault="00692B99" w:rsidP="00410AF3">
            <w:pPr>
              <w:jc w:val="right"/>
              <w:rPr>
                <w:sz w:val="24"/>
                <w:szCs w:val="24"/>
              </w:rPr>
            </w:pPr>
            <w:r w:rsidRPr="00410AF3">
              <w:rPr>
                <w:sz w:val="24"/>
                <w:szCs w:val="24"/>
              </w:rPr>
              <w:t>18,21</w:t>
            </w:r>
          </w:p>
          <w:p w:rsidR="00692B99" w:rsidRPr="00410AF3" w:rsidRDefault="00692B99" w:rsidP="00410AF3">
            <w:pPr>
              <w:jc w:val="right"/>
              <w:rPr>
                <w:sz w:val="24"/>
                <w:szCs w:val="24"/>
              </w:rPr>
            </w:pPr>
            <w:r w:rsidRPr="00410AF3">
              <w:rPr>
                <w:sz w:val="24"/>
                <w:szCs w:val="24"/>
              </w:rPr>
              <w:t>15,49</w:t>
            </w:r>
          </w:p>
        </w:tc>
      </w:tr>
      <w:tr w:rsidR="00692B99" w:rsidRPr="00EA3D0B" w:rsidTr="00410AF3">
        <w:tc>
          <w:tcPr>
            <w:tcW w:w="2376" w:type="dxa"/>
            <w:vMerge/>
            <w:tcBorders>
              <w:top w:val="nil"/>
              <w:left w:val="nil"/>
              <w:bottom w:val="nil"/>
              <w:right w:val="nil"/>
            </w:tcBorders>
          </w:tcPr>
          <w:p w:rsidR="00692B99" w:rsidRPr="00410AF3" w:rsidRDefault="00692B99" w:rsidP="00410AF3">
            <w:pPr>
              <w:jc w:val="center"/>
              <w:rPr>
                <w:bCs/>
                <w:sz w:val="24"/>
                <w:szCs w:val="24"/>
              </w:rPr>
            </w:pPr>
          </w:p>
        </w:tc>
        <w:tc>
          <w:tcPr>
            <w:tcW w:w="4395" w:type="dxa"/>
            <w:tcBorders>
              <w:top w:val="nil"/>
              <w:left w:val="nil"/>
              <w:bottom w:val="nil"/>
              <w:right w:val="nil"/>
            </w:tcBorders>
          </w:tcPr>
          <w:p w:rsidR="00692B99" w:rsidRPr="00410AF3" w:rsidRDefault="00692B99" w:rsidP="00410AF3">
            <w:pPr>
              <w:autoSpaceDE w:val="0"/>
              <w:autoSpaceDN w:val="0"/>
              <w:adjustRightInd w:val="0"/>
              <w:jc w:val="both"/>
              <w:rPr>
                <w:sz w:val="24"/>
                <w:szCs w:val="24"/>
              </w:rPr>
            </w:pPr>
            <w:r w:rsidRPr="00410AF3">
              <w:rPr>
                <w:sz w:val="24"/>
                <w:szCs w:val="24"/>
              </w:rPr>
              <w:t>-Colisão com objeto fixo parado</w:t>
            </w:r>
          </w:p>
        </w:tc>
        <w:tc>
          <w:tcPr>
            <w:tcW w:w="775" w:type="dxa"/>
            <w:tcBorders>
              <w:top w:val="nil"/>
              <w:left w:val="nil"/>
              <w:bottom w:val="nil"/>
              <w:right w:val="nil"/>
            </w:tcBorders>
          </w:tcPr>
          <w:p w:rsidR="00692B99" w:rsidRPr="00410AF3" w:rsidRDefault="00692B99" w:rsidP="00410AF3">
            <w:pPr>
              <w:autoSpaceDE w:val="0"/>
              <w:autoSpaceDN w:val="0"/>
              <w:adjustRightInd w:val="0"/>
              <w:jc w:val="right"/>
              <w:rPr>
                <w:sz w:val="24"/>
                <w:szCs w:val="24"/>
              </w:rPr>
            </w:pPr>
            <w:r w:rsidRPr="00410AF3">
              <w:rPr>
                <w:sz w:val="24"/>
                <w:szCs w:val="24"/>
              </w:rPr>
              <w:t>47</w:t>
            </w:r>
          </w:p>
        </w:tc>
        <w:tc>
          <w:tcPr>
            <w:tcW w:w="1634" w:type="dxa"/>
            <w:tcBorders>
              <w:top w:val="nil"/>
              <w:left w:val="nil"/>
              <w:bottom w:val="nil"/>
              <w:right w:val="nil"/>
            </w:tcBorders>
          </w:tcPr>
          <w:p w:rsidR="00692B99" w:rsidRPr="00410AF3" w:rsidRDefault="00692B99" w:rsidP="00410AF3">
            <w:pPr>
              <w:jc w:val="right"/>
              <w:rPr>
                <w:sz w:val="24"/>
                <w:szCs w:val="24"/>
              </w:rPr>
            </w:pPr>
            <w:r w:rsidRPr="00410AF3">
              <w:rPr>
                <w:sz w:val="24"/>
                <w:szCs w:val="24"/>
              </w:rPr>
              <w:t>12,77</w:t>
            </w:r>
          </w:p>
        </w:tc>
      </w:tr>
      <w:tr w:rsidR="007F4BB5" w:rsidRPr="00EA3D0B" w:rsidTr="00410AF3">
        <w:tc>
          <w:tcPr>
            <w:tcW w:w="2376" w:type="dxa"/>
            <w:vMerge/>
            <w:tcBorders>
              <w:top w:val="nil"/>
              <w:left w:val="nil"/>
              <w:bottom w:val="nil"/>
              <w:right w:val="nil"/>
            </w:tcBorders>
          </w:tcPr>
          <w:p w:rsidR="007F4BB5" w:rsidRPr="00410AF3" w:rsidRDefault="007F4BB5" w:rsidP="00410AF3">
            <w:pPr>
              <w:rPr>
                <w:sz w:val="24"/>
                <w:szCs w:val="24"/>
              </w:rPr>
            </w:pPr>
          </w:p>
        </w:tc>
        <w:tc>
          <w:tcPr>
            <w:tcW w:w="4395" w:type="dxa"/>
            <w:tcBorders>
              <w:top w:val="nil"/>
              <w:left w:val="nil"/>
              <w:bottom w:val="nil"/>
              <w:right w:val="nil"/>
            </w:tcBorders>
          </w:tcPr>
          <w:p w:rsidR="007F4BB5" w:rsidRPr="00410AF3" w:rsidRDefault="00BA4FD2" w:rsidP="00410AF3">
            <w:pPr>
              <w:autoSpaceDE w:val="0"/>
              <w:autoSpaceDN w:val="0"/>
              <w:adjustRightInd w:val="0"/>
              <w:jc w:val="both"/>
              <w:rPr>
                <w:sz w:val="24"/>
                <w:szCs w:val="24"/>
              </w:rPr>
            </w:pPr>
            <w:r w:rsidRPr="00410AF3">
              <w:rPr>
                <w:sz w:val="24"/>
                <w:szCs w:val="24"/>
              </w:rPr>
              <w:t>- C</w:t>
            </w:r>
            <w:r w:rsidR="007F4BB5" w:rsidRPr="00410AF3">
              <w:rPr>
                <w:sz w:val="24"/>
                <w:szCs w:val="24"/>
              </w:rPr>
              <w:t>om veículo não motorizado</w:t>
            </w:r>
          </w:p>
        </w:tc>
        <w:tc>
          <w:tcPr>
            <w:tcW w:w="775" w:type="dxa"/>
            <w:tcBorders>
              <w:top w:val="nil"/>
              <w:left w:val="nil"/>
              <w:bottom w:val="nil"/>
              <w:right w:val="nil"/>
            </w:tcBorders>
          </w:tcPr>
          <w:p w:rsidR="007F4BB5" w:rsidRPr="00410AF3" w:rsidRDefault="007F4BB5" w:rsidP="00410AF3">
            <w:pPr>
              <w:autoSpaceDE w:val="0"/>
              <w:autoSpaceDN w:val="0"/>
              <w:adjustRightInd w:val="0"/>
              <w:jc w:val="right"/>
              <w:rPr>
                <w:bCs/>
                <w:sz w:val="24"/>
                <w:szCs w:val="24"/>
              </w:rPr>
            </w:pPr>
            <w:proofErr w:type="gramStart"/>
            <w:r w:rsidRPr="00410AF3">
              <w:rPr>
                <w:bCs/>
                <w:sz w:val="24"/>
                <w:szCs w:val="24"/>
              </w:rPr>
              <w:t>1</w:t>
            </w:r>
            <w:proofErr w:type="gramEnd"/>
          </w:p>
        </w:tc>
        <w:tc>
          <w:tcPr>
            <w:tcW w:w="1634" w:type="dxa"/>
            <w:tcBorders>
              <w:top w:val="nil"/>
              <w:left w:val="nil"/>
              <w:bottom w:val="nil"/>
              <w:right w:val="nil"/>
            </w:tcBorders>
          </w:tcPr>
          <w:p w:rsidR="007F4BB5" w:rsidRPr="00410AF3" w:rsidRDefault="007F4BB5" w:rsidP="00410AF3">
            <w:pPr>
              <w:jc w:val="right"/>
              <w:rPr>
                <w:sz w:val="24"/>
                <w:szCs w:val="24"/>
              </w:rPr>
            </w:pPr>
            <w:r w:rsidRPr="00410AF3">
              <w:rPr>
                <w:sz w:val="24"/>
                <w:szCs w:val="24"/>
              </w:rPr>
              <w:t>0,27</w:t>
            </w:r>
          </w:p>
        </w:tc>
      </w:tr>
      <w:tr w:rsidR="007F4BB5" w:rsidRPr="00EA3D0B" w:rsidTr="00410AF3">
        <w:tc>
          <w:tcPr>
            <w:tcW w:w="2376" w:type="dxa"/>
            <w:vMerge/>
            <w:tcBorders>
              <w:top w:val="nil"/>
              <w:left w:val="nil"/>
              <w:bottom w:val="single" w:sz="4" w:space="0" w:color="auto"/>
              <w:right w:val="nil"/>
            </w:tcBorders>
          </w:tcPr>
          <w:p w:rsidR="007F4BB5" w:rsidRPr="00410AF3" w:rsidRDefault="007F4BB5" w:rsidP="00410AF3">
            <w:pPr>
              <w:rPr>
                <w:sz w:val="24"/>
                <w:szCs w:val="24"/>
              </w:rPr>
            </w:pPr>
          </w:p>
        </w:tc>
        <w:tc>
          <w:tcPr>
            <w:tcW w:w="4395" w:type="dxa"/>
            <w:tcBorders>
              <w:top w:val="nil"/>
              <w:left w:val="nil"/>
              <w:bottom w:val="single" w:sz="4" w:space="0" w:color="auto"/>
              <w:right w:val="nil"/>
            </w:tcBorders>
          </w:tcPr>
          <w:p w:rsidR="007F4BB5" w:rsidRPr="00410AF3" w:rsidRDefault="00BA4FD2" w:rsidP="00410AF3">
            <w:pPr>
              <w:autoSpaceDE w:val="0"/>
              <w:autoSpaceDN w:val="0"/>
              <w:adjustRightInd w:val="0"/>
              <w:jc w:val="both"/>
              <w:rPr>
                <w:b/>
                <w:bCs/>
                <w:sz w:val="24"/>
                <w:szCs w:val="24"/>
              </w:rPr>
            </w:pPr>
            <w:r w:rsidRPr="00410AF3">
              <w:rPr>
                <w:sz w:val="24"/>
                <w:szCs w:val="24"/>
              </w:rPr>
              <w:t xml:space="preserve">- </w:t>
            </w:r>
            <w:r w:rsidR="007F4BB5" w:rsidRPr="00410AF3">
              <w:rPr>
                <w:sz w:val="24"/>
                <w:szCs w:val="24"/>
              </w:rPr>
              <w:t>Outros acidentes e os não especificados</w:t>
            </w:r>
          </w:p>
        </w:tc>
        <w:tc>
          <w:tcPr>
            <w:tcW w:w="775" w:type="dxa"/>
            <w:tcBorders>
              <w:top w:val="nil"/>
              <w:left w:val="nil"/>
              <w:bottom w:val="single" w:sz="4" w:space="0" w:color="auto"/>
              <w:right w:val="nil"/>
            </w:tcBorders>
          </w:tcPr>
          <w:p w:rsidR="007F4BB5" w:rsidRPr="00410AF3" w:rsidRDefault="007F4BB5" w:rsidP="00410AF3">
            <w:pPr>
              <w:autoSpaceDE w:val="0"/>
              <w:autoSpaceDN w:val="0"/>
              <w:adjustRightInd w:val="0"/>
              <w:jc w:val="right"/>
              <w:rPr>
                <w:bCs/>
                <w:sz w:val="24"/>
                <w:szCs w:val="24"/>
              </w:rPr>
            </w:pPr>
            <w:r w:rsidRPr="00410AF3">
              <w:rPr>
                <w:bCs/>
                <w:sz w:val="24"/>
                <w:szCs w:val="24"/>
              </w:rPr>
              <w:t>96</w:t>
            </w:r>
          </w:p>
        </w:tc>
        <w:tc>
          <w:tcPr>
            <w:tcW w:w="1634" w:type="dxa"/>
            <w:tcBorders>
              <w:top w:val="nil"/>
              <w:left w:val="nil"/>
              <w:bottom w:val="single" w:sz="4" w:space="0" w:color="auto"/>
              <w:right w:val="nil"/>
            </w:tcBorders>
          </w:tcPr>
          <w:p w:rsidR="007F4BB5" w:rsidRPr="00410AF3" w:rsidRDefault="007F4BB5" w:rsidP="00410AF3">
            <w:pPr>
              <w:jc w:val="right"/>
              <w:rPr>
                <w:sz w:val="24"/>
                <w:szCs w:val="24"/>
              </w:rPr>
            </w:pPr>
            <w:r w:rsidRPr="00410AF3">
              <w:rPr>
                <w:sz w:val="24"/>
                <w:szCs w:val="24"/>
              </w:rPr>
              <w:t>26,09</w:t>
            </w:r>
          </w:p>
        </w:tc>
      </w:tr>
    </w:tbl>
    <w:p w:rsidR="007F4BB5" w:rsidRDefault="007F4BB5" w:rsidP="007F4BB5">
      <w:pPr>
        <w:autoSpaceDE w:val="0"/>
        <w:autoSpaceDN w:val="0"/>
        <w:adjustRightInd w:val="0"/>
        <w:jc w:val="both"/>
      </w:pPr>
      <w:r w:rsidRPr="00C40D8A">
        <w:t>Fonte: Ministério da Saúde/</w:t>
      </w:r>
      <w:r w:rsidRPr="00C40D8A">
        <w:rPr>
          <w:rStyle w:val="st"/>
        </w:rPr>
        <w:t>Secretaria de Vigilância em Saúde</w:t>
      </w:r>
      <w:r w:rsidRPr="00C40D8A">
        <w:t>/</w:t>
      </w:r>
      <w:r w:rsidRPr="00C40D8A">
        <w:rPr>
          <w:rStyle w:val="st"/>
        </w:rPr>
        <w:t xml:space="preserve">Coordenação Geral de </w:t>
      </w:r>
      <w:r w:rsidRPr="00C40D8A">
        <w:rPr>
          <w:rStyle w:val="nfase"/>
          <w:i w:val="0"/>
        </w:rPr>
        <w:t>Informações</w:t>
      </w:r>
      <w:r w:rsidRPr="00C40D8A">
        <w:rPr>
          <w:rStyle w:val="st"/>
        </w:rPr>
        <w:t xml:space="preserve"> e Análise Epidemiológica/</w:t>
      </w:r>
      <w:r w:rsidRPr="00C40D8A">
        <w:t>Sistema de Informações sobre Mortalidade.</w:t>
      </w:r>
    </w:p>
    <w:p w:rsidR="000E0F4F" w:rsidRDefault="000E0F4F" w:rsidP="007F4BB5">
      <w:pPr>
        <w:autoSpaceDE w:val="0"/>
        <w:autoSpaceDN w:val="0"/>
        <w:adjustRightInd w:val="0"/>
        <w:jc w:val="both"/>
      </w:pPr>
    </w:p>
    <w:p w:rsidR="000E0F4F" w:rsidRDefault="000E0F4F" w:rsidP="005B2950">
      <w:pPr>
        <w:autoSpaceDE w:val="0"/>
        <w:autoSpaceDN w:val="0"/>
        <w:adjustRightInd w:val="0"/>
        <w:spacing w:line="480" w:lineRule="auto"/>
        <w:ind w:firstLine="709"/>
        <w:jc w:val="both"/>
      </w:pPr>
      <w:r w:rsidRPr="00EF549E">
        <w:t>Quanto aos tipos de acidentes</w:t>
      </w:r>
      <w:r w:rsidR="00A44822">
        <w:t xml:space="preserve">, </w:t>
      </w:r>
      <w:r w:rsidRPr="00EF549E">
        <w:t>observou-se</w:t>
      </w:r>
      <w:r w:rsidR="00A44822">
        <w:t xml:space="preserve"> </w:t>
      </w:r>
      <w:r w:rsidRPr="00EF549E">
        <w:t>que foram mais frequentes as colisões com automóvel/</w:t>
      </w:r>
      <w:proofErr w:type="spellStart"/>
      <w:r w:rsidRPr="00EF549E">
        <w:t>pickup</w:t>
      </w:r>
      <w:proofErr w:type="spellEnd"/>
      <w:r w:rsidRPr="00EF549E">
        <w:t>/caminhonete (27,17%), outros acidentes e os não especificados</w:t>
      </w:r>
      <w:r>
        <w:t xml:space="preserve">, os quais incluem ocupantes de trem, bonde, veículos de transporte especiais, veículos </w:t>
      </w:r>
      <w:proofErr w:type="spellStart"/>
      <w:r>
        <w:t>utlizados</w:t>
      </w:r>
      <w:proofErr w:type="spellEnd"/>
      <w:r>
        <w:t xml:space="preserve"> em áreas industriais e agrícolas, etc.</w:t>
      </w:r>
      <w:r w:rsidRPr="00EF549E">
        <w:t xml:space="preserve"> (26,09%) e os acidentes sem colisão (18,21%). Merece destaque também as colisões com veículo de transporte pesado/ônibus (15,49%) e colisão com objeto fixo parado (12,77%)</w:t>
      </w:r>
      <w:r>
        <w:t>.</w:t>
      </w:r>
    </w:p>
    <w:p w:rsidR="0056159D" w:rsidRDefault="0056159D" w:rsidP="005B2950">
      <w:pPr>
        <w:autoSpaceDE w:val="0"/>
        <w:autoSpaceDN w:val="0"/>
        <w:adjustRightInd w:val="0"/>
        <w:spacing w:line="480" w:lineRule="auto"/>
        <w:ind w:firstLine="709"/>
        <w:jc w:val="both"/>
      </w:pPr>
    </w:p>
    <w:p w:rsidR="000E0F4F" w:rsidRDefault="000E0F4F" w:rsidP="00C23A3F">
      <w:pPr>
        <w:autoSpaceDE w:val="0"/>
        <w:autoSpaceDN w:val="0"/>
        <w:adjustRightInd w:val="0"/>
        <w:spacing w:line="480" w:lineRule="auto"/>
        <w:ind w:firstLine="709"/>
        <w:jc w:val="both"/>
      </w:pPr>
      <w:r>
        <w:rPr>
          <w:noProof/>
        </w:rPr>
        <w:lastRenderedPageBreak/>
        <w:t>O</w:t>
      </w:r>
      <w:r w:rsidRPr="00F54349">
        <w:rPr>
          <w:noProof/>
        </w:rPr>
        <w:t>s dados de contagem d</w:t>
      </w:r>
      <w:r w:rsidR="002E0212">
        <w:rPr>
          <w:noProof/>
        </w:rPr>
        <w:t>os óbitos</w:t>
      </w:r>
      <w:r>
        <w:rPr>
          <w:noProof/>
        </w:rPr>
        <w:t xml:space="preserve"> também foram avaliados mensalmente, </w:t>
      </w:r>
      <w:r w:rsidRPr="00F54349">
        <w:rPr>
          <w:noProof/>
        </w:rPr>
        <w:t>no período de janeiro de 1996 até dezembro de 2012, tot</w:t>
      </w:r>
      <w:r>
        <w:rPr>
          <w:noProof/>
        </w:rPr>
        <w:t>alizando 204 meses.</w:t>
      </w:r>
      <w:r w:rsidR="00F50A9A">
        <w:rPr>
          <w:noProof/>
        </w:rPr>
        <w:t xml:space="preserve"> </w:t>
      </w:r>
      <w:r w:rsidR="00380056">
        <w:rPr>
          <w:noProof/>
        </w:rPr>
        <w:t>A</w:t>
      </w:r>
      <w:r w:rsidR="00380056" w:rsidRPr="000538CB">
        <w:t xml:space="preserve"> Figura 1 apresenta o </w:t>
      </w:r>
      <w:proofErr w:type="spellStart"/>
      <w:r w:rsidR="00380056" w:rsidRPr="000538CB">
        <w:t>Box-Plot</w:t>
      </w:r>
      <w:proofErr w:type="spellEnd"/>
      <w:r w:rsidR="00380056" w:rsidRPr="000538CB">
        <w:t xml:space="preserve"> des</w:t>
      </w:r>
      <w:r w:rsidR="00380056">
        <w:t>s</w:t>
      </w:r>
      <w:r w:rsidR="00380056" w:rsidRPr="000538CB">
        <w:t>a variável</w:t>
      </w:r>
      <w:r w:rsidR="00380056">
        <w:t>.</w:t>
      </w:r>
      <w:r w:rsidR="00380056" w:rsidRPr="000538CB">
        <w:rPr>
          <w:bCs/>
        </w:rPr>
        <w:t xml:space="preserve"> Nota-se a presença de </w:t>
      </w:r>
      <w:proofErr w:type="spellStart"/>
      <w:r w:rsidR="00380056" w:rsidRPr="00A969BD">
        <w:rPr>
          <w:bCs/>
          <w:i/>
        </w:rPr>
        <w:t>outliers</w:t>
      </w:r>
      <w:proofErr w:type="spellEnd"/>
      <w:r w:rsidR="00380056" w:rsidRPr="000538CB">
        <w:rPr>
          <w:bCs/>
        </w:rPr>
        <w:t xml:space="preserve">, ou seja, meses em que o número de casos foi bem mais elevado. </w:t>
      </w:r>
      <w:r w:rsidR="00380056">
        <w:rPr>
          <w:noProof/>
        </w:rPr>
        <w:t>No</w:t>
      </w:r>
      <w:r w:rsidR="00380056" w:rsidRPr="00F54349">
        <w:rPr>
          <w:noProof/>
        </w:rPr>
        <w:t xml:space="preserve"> mês</w:t>
      </w:r>
      <w:r w:rsidR="00380056">
        <w:rPr>
          <w:noProof/>
        </w:rPr>
        <w:t xml:space="preserve"> de maio</w:t>
      </w:r>
      <w:r w:rsidR="00380056" w:rsidRPr="00F54349">
        <w:rPr>
          <w:noProof/>
        </w:rPr>
        <w:t xml:space="preserve"> de 2010</w:t>
      </w:r>
      <w:r w:rsidR="00380056">
        <w:rPr>
          <w:noProof/>
        </w:rPr>
        <w:t xml:space="preserve"> observou-se o maior número de mortos, </w:t>
      </w:r>
      <w:r w:rsidR="00380056" w:rsidRPr="00F54349">
        <w:rPr>
          <w:noProof/>
        </w:rPr>
        <w:t>12 óbitos</w:t>
      </w:r>
      <w:r w:rsidR="00380056">
        <w:rPr>
          <w:noProof/>
        </w:rPr>
        <w:t>, o qual é observado pelo limite superior do box-plot para o ano.</w:t>
      </w:r>
      <w:r w:rsidR="00380056" w:rsidRPr="000538CB">
        <w:rPr>
          <w:bCs/>
        </w:rPr>
        <w:t xml:space="preserve"> </w:t>
      </w:r>
      <w:r w:rsidR="00380056">
        <w:rPr>
          <w:noProof/>
        </w:rPr>
        <w:t xml:space="preserve">A média mensal de </w:t>
      </w:r>
      <w:r w:rsidR="00380056" w:rsidRPr="00F54349">
        <w:rPr>
          <w:noProof/>
        </w:rPr>
        <w:t xml:space="preserve">mortos </w:t>
      </w:r>
      <w:r w:rsidR="00380056">
        <w:rPr>
          <w:noProof/>
        </w:rPr>
        <w:t xml:space="preserve">foi de </w:t>
      </w:r>
      <w:r w:rsidR="00380056" w:rsidRPr="00F54349">
        <w:rPr>
          <w:noProof/>
        </w:rPr>
        <w:t>1</w:t>
      </w:r>
      <w:r w:rsidR="00380056">
        <w:rPr>
          <w:noProof/>
        </w:rPr>
        <w:t>,</w:t>
      </w:r>
      <w:r w:rsidR="00380056" w:rsidRPr="00F54349">
        <w:rPr>
          <w:noProof/>
        </w:rPr>
        <w:t>8</w:t>
      </w:r>
      <w:r w:rsidR="00380056">
        <w:rPr>
          <w:noProof/>
        </w:rPr>
        <w:t xml:space="preserve"> casos.</w:t>
      </w:r>
    </w:p>
    <w:p w:rsidR="007F4BB5" w:rsidRPr="00EA3D0B" w:rsidRDefault="000E0F4F" w:rsidP="007F4BB5">
      <w:pPr>
        <w:autoSpaceDE w:val="0"/>
        <w:autoSpaceDN w:val="0"/>
        <w:adjustRightInd w:val="0"/>
      </w:pPr>
      <w:r w:rsidRPr="000E0F4F">
        <w:rPr>
          <w:noProof/>
        </w:rPr>
        <w:drawing>
          <wp:inline distT="0" distB="0" distL="0" distR="0">
            <wp:extent cx="5759450" cy="3368486"/>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759450" cy="3368486"/>
                    </a:xfrm>
                    <a:prstGeom prst="rect">
                      <a:avLst/>
                    </a:prstGeom>
                  </pic:spPr>
                </pic:pic>
              </a:graphicData>
            </a:graphic>
          </wp:inline>
        </w:drawing>
      </w:r>
    </w:p>
    <w:p w:rsidR="000E0F4F" w:rsidRDefault="000E0F4F" w:rsidP="000E0F4F">
      <w:pPr>
        <w:jc w:val="both"/>
      </w:pPr>
      <w:r w:rsidRPr="00F54349">
        <w:t xml:space="preserve">Figura </w:t>
      </w:r>
      <w:r>
        <w:t xml:space="preserve">1- </w:t>
      </w:r>
      <w:proofErr w:type="spellStart"/>
      <w:r>
        <w:t>Box–</w:t>
      </w:r>
      <w:r w:rsidRPr="00F54349">
        <w:t>plot</w:t>
      </w:r>
      <w:proofErr w:type="spellEnd"/>
      <w:r>
        <w:t xml:space="preserve"> </w:t>
      </w:r>
      <w:r w:rsidRPr="00F54349">
        <w:t>do número mensal de casos fatais</w:t>
      </w:r>
      <w:r>
        <w:t xml:space="preserve">, </w:t>
      </w:r>
      <w:r w:rsidRPr="00F54349">
        <w:t>segundo o ano de ocorrência</w:t>
      </w:r>
      <w:r>
        <w:t xml:space="preserve">. </w:t>
      </w:r>
      <w:r w:rsidRPr="00F54349">
        <w:t>Maringá</w:t>
      </w:r>
      <w:r w:rsidR="0090736B">
        <w:t>,</w:t>
      </w:r>
      <w:r w:rsidRPr="00F54349">
        <w:t xml:space="preserve"> PR, </w:t>
      </w:r>
      <w:r>
        <w:t xml:space="preserve">Brasil, </w:t>
      </w:r>
      <w:r w:rsidRPr="00F54349">
        <w:t>1996 a 2012.</w:t>
      </w:r>
    </w:p>
    <w:p w:rsidR="000E0F4F" w:rsidRDefault="000E0F4F" w:rsidP="000E0F4F">
      <w:pPr>
        <w:jc w:val="both"/>
      </w:pPr>
    </w:p>
    <w:p w:rsidR="003B481F" w:rsidRDefault="0090736B" w:rsidP="00C0150B">
      <w:pPr>
        <w:spacing w:line="480" w:lineRule="auto"/>
        <w:ind w:firstLine="709"/>
        <w:jc w:val="both"/>
      </w:pPr>
      <w:r>
        <w:t xml:space="preserve">A Figura </w:t>
      </w:r>
      <w:r w:rsidR="007E7AEE">
        <w:t>2</w:t>
      </w:r>
      <w:r>
        <w:t xml:space="preserve"> apresenta o</w:t>
      </w:r>
      <w:r w:rsidRPr="00D306DE">
        <w:t xml:space="preserve"> modelo </w:t>
      </w:r>
      <w:r>
        <w:t xml:space="preserve">de Poisson </w:t>
      </w:r>
      <w:r w:rsidRPr="00D306DE">
        <w:t xml:space="preserve">para série anual </w:t>
      </w:r>
      <w:r w:rsidRPr="00F54349">
        <w:t>d</w:t>
      </w:r>
      <w:r>
        <w:t>os</w:t>
      </w:r>
      <w:r w:rsidRPr="00F54349">
        <w:t xml:space="preserve"> casos fatais</w:t>
      </w:r>
      <w:r w:rsidR="00C23A3F">
        <w:t>.</w:t>
      </w:r>
      <w:r w:rsidRPr="00F54349">
        <w:t xml:space="preserve"> </w:t>
      </w:r>
      <w:r>
        <w:rPr>
          <w:bCs/>
        </w:rPr>
        <w:t xml:space="preserve">Observa-se </w:t>
      </w:r>
      <w:r w:rsidRPr="008159BB">
        <w:rPr>
          <w:bCs/>
        </w:rPr>
        <w:t>em cinza o intervalo de confiança para a tendência estimada e a linha central em preto o modelo de Poisson ajustando a tendência.</w:t>
      </w:r>
      <w:r w:rsidR="007E7AEE" w:rsidRPr="007E7AEE">
        <w:t xml:space="preserve"> </w:t>
      </w:r>
      <w:r w:rsidR="007E7AEE">
        <w:t xml:space="preserve">Como o coeficiente da variável ano é positivo, tem-se uma tendência positiva. </w:t>
      </w:r>
      <w:r w:rsidR="003B481F" w:rsidRPr="00680DE7">
        <w:t>Em alguns anos, foram observadas variações importantes acima do esperado, com picos de mortes em 2007 (26 - 7,06%), 2009 (33 - 8,96%)</w:t>
      </w:r>
      <w:r w:rsidR="003B481F">
        <w:t xml:space="preserve"> e</w:t>
      </w:r>
      <w:r w:rsidR="003B481F" w:rsidRPr="00680DE7">
        <w:t xml:space="preserve"> 2010 (50 - 13,58%). </w:t>
      </w:r>
    </w:p>
    <w:p w:rsidR="003B481F" w:rsidRDefault="00C23A3F" w:rsidP="003B481F">
      <w:pPr>
        <w:autoSpaceDE w:val="0"/>
        <w:autoSpaceDN w:val="0"/>
        <w:adjustRightInd w:val="0"/>
        <w:spacing w:line="360" w:lineRule="auto"/>
        <w:ind w:firstLine="709"/>
        <w:jc w:val="both"/>
      </w:pPr>
      <w:r w:rsidRPr="0090736B">
        <w:rPr>
          <w:noProof/>
        </w:rPr>
        <w:lastRenderedPageBreak/>
        <w:drawing>
          <wp:inline distT="0" distB="0" distL="0" distR="0">
            <wp:extent cx="5372100" cy="2838450"/>
            <wp:effectExtent l="1905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372100" cy="2838450"/>
                    </a:xfrm>
                    <a:prstGeom prst="rect">
                      <a:avLst/>
                    </a:prstGeom>
                  </pic:spPr>
                </pic:pic>
              </a:graphicData>
            </a:graphic>
          </wp:inline>
        </w:drawing>
      </w:r>
    </w:p>
    <w:p w:rsidR="0090736B" w:rsidRDefault="007F4BB5" w:rsidP="0090736B">
      <w:pPr>
        <w:jc w:val="both"/>
      </w:pPr>
      <w:r>
        <w:t xml:space="preserve"> </w:t>
      </w:r>
      <w:r w:rsidR="0090736B">
        <w:t>Figura 2- Modelo para sé</w:t>
      </w:r>
      <w:r w:rsidR="0090736B" w:rsidRPr="00D306DE">
        <w:t>rie de contagem de Poisson</w:t>
      </w:r>
      <w:r w:rsidR="0090736B">
        <w:t xml:space="preserve"> </w:t>
      </w:r>
      <w:r w:rsidR="0090736B" w:rsidRPr="00F54349">
        <w:t xml:space="preserve">do número </w:t>
      </w:r>
      <w:r w:rsidR="0090736B">
        <w:t xml:space="preserve">anual </w:t>
      </w:r>
      <w:r w:rsidR="0090736B" w:rsidRPr="00F54349">
        <w:t xml:space="preserve">de casos fatais </w:t>
      </w:r>
      <w:r w:rsidR="0090736B">
        <w:t xml:space="preserve">por acidentes automobilísticos, </w:t>
      </w:r>
      <w:r w:rsidR="0090736B" w:rsidRPr="00F54349">
        <w:t>segundo o ano de ocorrência</w:t>
      </w:r>
      <w:r w:rsidR="0090736B">
        <w:t xml:space="preserve">. </w:t>
      </w:r>
      <w:r w:rsidR="0090736B" w:rsidRPr="00F54349">
        <w:t>Maringá</w:t>
      </w:r>
      <w:r w:rsidR="0090736B">
        <w:t>,</w:t>
      </w:r>
      <w:r w:rsidR="0090736B" w:rsidRPr="00F54349">
        <w:t xml:space="preserve"> PR, </w:t>
      </w:r>
      <w:r w:rsidR="0090736B">
        <w:t xml:space="preserve">Brasil, </w:t>
      </w:r>
      <w:r w:rsidR="0090736B" w:rsidRPr="00F54349">
        <w:t>1996 a 2012.</w:t>
      </w:r>
    </w:p>
    <w:p w:rsidR="003B481F" w:rsidRDefault="003B481F" w:rsidP="0090736B">
      <w:pPr>
        <w:jc w:val="both"/>
      </w:pPr>
    </w:p>
    <w:p w:rsidR="003B481F" w:rsidRDefault="003B481F" w:rsidP="00C23A3F">
      <w:pPr>
        <w:spacing w:line="480" w:lineRule="auto"/>
        <w:ind w:firstLine="709"/>
        <w:jc w:val="both"/>
      </w:pPr>
      <w:r>
        <w:t>S</w:t>
      </w:r>
      <w:r w:rsidRPr="002566CB">
        <w:t>e aumentarmos</w:t>
      </w:r>
      <w:r>
        <w:t xml:space="preserve"> </w:t>
      </w:r>
      <w:r w:rsidRPr="002566CB">
        <w:t>uma unidade de tempo</w:t>
      </w:r>
      <w:r>
        <w:t>,</w:t>
      </w:r>
      <w:r w:rsidRPr="002566CB">
        <w:t xml:space="preserve"> a variação </w:t>
      </w:r>
      <w:r>
        <w:t xml:space="preserve">relativa </w:t>
      </w:r>
      <w:r w:rsidRPr="002566CB">
        <w:t>no valor esperado fica dad</w:t>
      </w:r>
      <w:r>
        <w:t>a</w:t>
      </w:r>
      <w:r w:rsidRPr="002566CB">
        <w:t xml:space="preserve"> por</w:t>
      </w:r>
      <w:r>
        <w:t xml:space="preserve"> </w:t>
      </w:r>
      <w:r w:rsidRPr="002566CB">
        <w:rPr>
          <w:position w:val="-28"/>
        </w:rPr>
        <w:object w:dxaOrig="3140" w:dyaOrig="660">
          <v:shape id="_x0000_i1028" type="#_x0000_t75" style="width:157.5pt;height:33pt" o:ole="">
            <v:imagedata r:id="rId16" o:title=""/>
          </v:shape>
          <o:OLEObject Type="Embed" ProgID="Equation.DSMT4" ShapeID="_x0000_i1028" DrawAspect="Content" ObjectID="_1563017189" r:id="rId17"/>
        </w:object>
      </w:r>
      <w:r w:rsidRPr="002566CB">
        <w:t xml:space="preserve">, ou seja, o número esperado de </w:t>
      </w:r>
      <w:r>
        <w:t>mortos</w:t>
      </w:r>
      <w:r w:rsidRPr="002566CB">
        <w:t xml:space="preserve"> aumenta aproximadamente 5</w:t>
      </w:r>
      <w:r>
        <w:t>,2</w:t>
      </w:r>
      <w:r w:rsidRPr="002566CB">
        <w:t xml:space="preserve">% ao ano. </w:t>
      </w:r>
    </w:p>
    <w:p w:rsidR="0087178B" w:rsidRDefault="0087178B" w:rsidP="00C23A3F">
      <w:pPr>
        <w:spacing w:line="480" w:lineRule="auto"/>
        <w:ind w:firstLine="709"/>
        <w:jc w:val="both"/>
      </w:pPr>
      <w:r>
        <w:t xml:space="preserve">Observa-se também a partir do modelo estimado que se fosse considerado o momento inicial da análise, o parâmetro </w:t>
      </w:r>
      <w:r w:rsidRPr="00B13E25">
        <w:rPr>
          <w:position w:val="-12"/>
        </w:rPr>
        <w:object w:dxaOrig="300" w:dyaOrig="360">
          <v:shape id="_x0000_i1029" type="#_x0000_t75" style="width:15pt;height:18pt" o:ole="">
            <v:imagedata r:id="rId10" o:title=""/>
          </v:shape>
          <o:OLEObject Type="Embed" ProgID="Equation.DSMT4" ShapeID="_x0000_i1029" DrawAspect="Content" ObjectID="_1563017190" r:id="rId18"/>
        </w:object>
      </w:r>
      <w:r>
        <w:t xml:space="preserve">= 2,62, ou seja, o intercepto do modelo no eixo y, ter-se-ia uma estimativa de </w:t>
      </w:r>
      <w:proofErr w:type="spellStart"/>
      <w:r>
        <w:t>exp</w:t>
      </w:r>
      <w:proofErr w:type="spellEnd"/>
      <w:r w:rsidR="00155F00">
        <w:t xml:space="preserve"> </w:t>
      </w:r>
      <w:r>
        <w:t>(2,62</w:t>
      </w:r>
      <w:proofErr w:type="gramStart"/>
      <w:r>
        <w:t>)</w:t>
      </w:r>
      <w:proofErr w:type="gramEnd"/>
      <w:r>
        <w:t xml:space="preserve">= 13,73 mortes/ano. Em contrapartida, no final do período analisado a estimativa para 2012, o 17º ano, é dada por </w:t>
      </w:r>
      <w:proofErr w:type="spellStart"/>
      <w:proofErr w:type="gramStart"/>
      <w:r>
        <w:t>exp</w:t>
      </w:r>
      <w:proofErr w:type="spellEnd"/>
      <w:r>
        <w:t>(</w:t>
      </w:r>
      <w:proofErr w:type="gramEnd"/>
      <w:r>
        <w:t>2,62 + 0,052 x 17)= 33,2 mortos/ano. Se o comportamento da série temporal continua</w:t>
      </w:r>
      <w:r w:rsidR="00C23A3F">
        <w:t>sse</w:t>
      </w:r>
      <w:r>
        <w:t xml:space="preserve"> o mesmo por quatro anos, o modelo ajustado indicaria que em 21 anos o número de vítimas fatais por acidentes automobilísticos seria triplicado.</w:t>
      </w:r>
    </w:p>
    <w:p w:rsidR="00A44822" w:rsidRDefault="00A44822" w:rsidP="00C23A3F">
      <w:pPr>
        <w:spacing w:line="480" w:lineRule="auto"/>
        <w:ind w:firstLine="709"/>
        <w:jc w:val="both"/>
      </w:pPr>
      <w:r w:rsidRPr="00D306DE">
        <w:t>O intervalo de confiança</w:t>
      </w:r>
      <w:r>
        <w:t xml:space="preserve"> </w:t>
      </w:r>
      <w:r w:rsidRPr="00D306DE">
        <w:t xml:space="preserve">normal foi construído na escala da função de ligação (logarítmica), depois transformado para a escala da variável </w:t>
      </w:r>
      <w:r>
        <w:t>número de óbitos</w:t>
      </w:r>
      <w:r w:rsidRPr="00D306DE">
        <w:t>. A presença da tendência</w:t>
      </w:r>
      <w:r>
        <w:t xml:space="preserve"> </w:t>
      </w:r>
      <w:r w:rsidRPr="00D306DE">
        <w:t xml:space="preserve">também foi confirmada pelo teste de </w:t>
      </w:r>
      <w:proofErr w:type="spellStart"/>
      <w:r w:rsidRPr="00D306DE">
        <w:t>Cox-</w:t>
      </w:r>
      <w:proofErr w:type="gramStart"/>
      <w:r w:rsidRPr="00D306DE">
        <w:t>Stuart</w:t>
      </w:r>
      <w:proofErr w:type="spellEnd"/>
      <w:r w:rsidR="007D35E4" w:rsidRPr="007D35E4">
        <w:rPr>
          <w:vertAlign w:val="superscript"/>
        </w:rPr>
        <w:t>(</w:t>
      </w:r>
      <w:proofErr w:type="gramEnd"/>
      <w:r w:rsidR="00DD7B5B">
        <w:rPr>
          <w:vertAlign w:val="superscript"/>
        </w:rPr>
        <w:t>9</w:t>
      </w:r>
      <w:r w:rsidR="007D35E4">
        <w:rPr>
          <w:vertAlign w:val="superscript"/>
        </w:rPr>
        <w:t>)</w:t>
      </w:r>
      <w:r w:rsidRPr="00D306DE">
        <w:t xml:space="preserve"> (p-valor&lt; 0</w:t>
      </w:r>
      <w:r>
        <w:t>,</w:t>
      </w:r>
      <w:r w:rsidRPr="00D306DE">
        <w:t>0001).</w:t>
      </w:r>
    </w:p>
    <w:p w:rsidR="007D35E4" w:rsidRPr="00743D41" w:rsidRDefault="007D35E4" w:rsidP="00743D41">
      <w:pPr>
        <w:spacing w:line="480" w:lineRule="auto"/>
        <w:ind w:firstLine="709"/>
        <w:jc w:val="both"/>
        <w:rPr>
          <w:position w:val="-12"/>
          <w:vertAlign w:val="superscript"/>
        </w:rPr>
      </w:pPr>
      <w:r>
        <w:t xml:space="preserve">As estimativas dos parâmetros </w:t>
      </w:r>
      <w:r w:rsidR="005F1267" w:rsidRPr="002566CB">
        <w:t>do</w:t>
      </w:r>
      <w:r w:rsidR="005F1267">
        <w:t xml:space="preserve"> modelo de regressão de Poisson mostraram as seguintes medidas: para o </w:t>
      </w:r>
      <w:r w:rsidR="005F1267">
        <w:rPr>
          <w:color w:val="000000"/>
        </w:rPr>
        <w:t>i</w:t>
      </w:r>
      <w:r w:rsidR="005F1267" w:rsidRPr="002566CB">
        <w:rPr>
          <w:color w:val="000000"/>
        </w:rPr>
        <w:t>ntercepto</w:t>
      </w:r>
      <w:r w:rsidR="005F1267">
        <w:rPr>
          <w:color w:val="000000"/>
        </w:rPr>
        <w:t xml:space="preserve"> (</w:t>
      </w:r>
      <w:r w:rsidR="005F1267" w:rsidRPr="002566CB">
        <w:rPr>
          <w:position w:val="-12"/>
        </w:rPr>
        <w:object w:dxaOrig="300" w:dyaOrig="360">
          <v:shape id="_x0000_i1030" type="#_x0000_t75" style="width:15pt;height:18pt" o:ole="">
            <v:imagedata r:id="rId10" o:title=""/>
          </v:shape>
          <o:OLEObject Type="Embed" ProgID="Equation.DSMT4" ShapeID="_x0000_i1030" DrawAspect="Content" ObjectID="_1563017191" r:id="rId19"/>
        </w:object>
      </w:r>
      <w:r w:rsidR="005F1267">
        <w:rPr>
          <w:color w:val="000000"/>
        </w:rPr>
        <w:t>) a estimativa foi de 2,620, erro padrão de 0,11 e p-</w:t>
      </w:r>
      <w:r w:rsidR="005F1267">
        <w:rPr>
          <w:color w:val="000000"/>
        </w:rPr>
        <w:lastRenderedPageBreak/>
        <w:t xml:space="preserve">valor &lt; 0,001. Para </w:t>
      </w:r>
      <w:proofErr w:type="gramStart"/>
      <w:r w:rsidR="005F1267">
        <w:rPr>
          <w:color w:val="000000"/>
        </w:rPr>
        <w:t>a variável ano (</w:t>
      </w:r>
      <w:r w:rsidR="005F1267" w:rsidRPr="002566CB">
        <w:rPr>
          <w:position w:val="-12"/>
        </w:rPr>
        <w:object w:dxaOrig="260" w:dyaOrig="360">
          <v:shape id="_x0000_i1031" type="#_x0000_t75" style="width:13.5pt;height:18pt" o:ole="">
            <v:imagedata r:id="rId12" o:title=""/>
          </v:shape>
          <o:OLEObject Type="Embed" ProgID="Equation.DSMT4" ShapeID="_x0000_i1031" DrawAspect="Content" ObjectID="_1563017192" r:id="rId20"/>
        </w:object>
      </w:r>
      <w:r w:rsidR="005F1267">
        <w:rPr>
          <w:color w:val="000000"/>
        </w:rPr>
        <w:t>)</w:t>
      </w:r>
      <w:proofErr w:type="gramEnd"/>
      <w:r w:rsidR="005F1267">
        <w:rPr>
          <w:color w:val="000000"/>
        </w:rPr>
        <w:t xml:space="preserve"> a estimativa foi de 0,052, erro padrão de 0,01 e p-valor &lt; 0,001. </w:t>
      </w:r>
      <w:r>
        <w:t>Assim o</w:t>
      </w:r>
      <w:r w:rsidRPr="002566CB">
        <w:t xml:space="preserve"> modelo ajustado </w:t>
      </w:r>
      <w:r>
        <w:t>foi</w:t>
      </w:r>
      <w:r w:rsidRPr="002566CB">
        <w:t xml:space="preserve"> dado por:</w:t>
      </w:r>
      <w:r>
        <w:t xml:space="preserve"> </w:t>
      </w:r>
      <w:r w:rsidRPr="002566CB">
        <w:rPr>
          <w:position w:val="-12"/>
        </w:rPr>
        <w:object w:dxaOrig="2880" w:dyaOrig="360">
          <v:shape id="_x0000_i1032" type="#_x0000_t75" style="width:2in;height:18pt" o:ole="">
            <v:imagedata r:id="rId21" o:title=""/>
          </v:shape>
          <o:OLEObject Type="Embed" ProgID="Equation.DSMT4" ShapeID="_x0000_i1032" DrawAspect="Content" ObjectID="_1563017193" r:id="rId22"/>
        </w:object>
      </w:r>
      <w:r w:rsidRPr="003151B8">
        <w:rPr>
          <w:position w:val="-12"/>
          <w:vertAlign w:val="superscript"/>
        </w:rPr>
        <w:t>.</w:t>
      </w:r>
      <w:r w:rsidR="0080061D">
        <w:rPr>
          <w:position w:val="-12"/>
          <w:vertAlign w:val="superscript"/>
        </w:rPr>
        <w:t xml:space="preserve"> </w:t>
      </w:r>
      <w:r w:rsidRPr="00A766EE">
        <w:t xml:space="preserve">Foram </w:t>
      </w:r>
      <w:r w:rsidR="00743D41">
        <w:t xml:space="preserve">também </w:t>
      </w:r>
      <w:r w:rsidRPr="00A766EE">
        <w:t xml:space="preserve">analisados </w:t>
      </w:r>
      <w:r>
        <w:t xml:space="preserve">também </w:t>
      </w:r>
      <w:r w:rsidRPr="00A766EE">
        <w:t>os pressupostos de normalidade e independência dos resíduos. Pelo tes</w:t>
      </w:r>
      <w:r>
        <w:t xml:space="preserve">te de </w:t>
      </w:r>
      <w:proofErr w:type="spellStart"/>
      <w:r>
        <w:t>Shapiro-</w:t>
      </w:r>
      <w:proofErr w:type="gramStart"/>
      <w:r>
        <w:t>Wilk</w:t>
      </w:r>
      <w:proofErr w:type="spellEnd"/>
      <w:r w:rsidR="00ED0B5A" w:rsidRPr="00ED0B5A">
        <w:rPr>
          <w:vertAlign w:val="superscript"/>
        </w:rPr>
        <w:t>(</w:t>
      </w:r>
      <w:proofErr w:type="gramEnd"/>
      <w:r w:rsidR="00ED0B5A">
        <w:rPr>
          <w:vertAlign w:val="superscript"/>
        </w:rPr>
        <w:t>1</w:t>
      </w:r>
      <w:r w:rsidR="00DD7B5B">
        <w:rPr>
          <w:vertAlign w:val="superscript"/>
        </w:rPr>
        <w:t>0</w:t>
      </w:r>
      <w:r w:rsidR="00ED0B5A">
        <w:rPr>
          <w:vertAlign w:val="superscript"/>
        </w:rPr>
        <w:t>)</w:t>
      </w:r>
      <w:r>
        <w:t xml:space="preserve"> (p-valor= 0,</w:t>
      </w:r>
      <w:r w:rsidRPr="00A766EE">
        <w:t xml:space="preserve">067) não foi rejeitada a hipótese de que os resíduos seguem distribuição normal e para verificar a ausência de autocorrelação foi utilizado o teste de </w:t>
      </w:r>
      <w:proofErr w:type="spellStart"/>
      <w:r w:rsidRPr="00A766EE">
        <w:t>Durbin-Watson</w:t>
      </w:r>
      <w:proofErr w:type="spellEnd"/>
      <w:r w:rsidR="00ED0B5A" w:rsidRPr="00ED0B5A">
        <w:rPr>
          <w:vertAlign w:val="superscript"/>
        </w:rPr>
        <w:t>(</w:t>
      </w:r>
      <w:r w:rsidR="00ED0B5A">
        <w:rPr>
          <w:vertAlign w:val="superscript"/>
        </w:rPr>
        <w:t>1</w:t>
      </w:r>
      <w:r w:rsidR="00DD7B5B">
        <w:rPr>
          <w:vertAlign w:val="superscript"/>
        </w:rPr>
        <w:t>1</w:t>
      </w:r>
      <w:r w:rsidR="00ED0B5A">
        <w:rPr>
          <w:vertAlign w:val="superscript"/>
        </w:rPr>
        <w:t>)</w:t>
      </w:r>
      <w:r>
        <w:rPr>
          <w:vertAlign w:val="superscript"/>
        </w:rPr>
        <w:t xml:space="preserve"> </w:t>
      </w:r>
      <w:r>
        <w:t>(p-valor= 0,</w:t>
      </w:r>
      <w:r w:rsidRPr="00A766EE">
        <w:t>45</w:t>
      </w:r>
      <w:r w:rsidR="00ED0B5A">
        <w:t>0</w:t>
      </w:r>
      <w:r w:rsidRPr="00A766EE">
        <w:t xml:space="preserve">) o qual não rejeitou a hipótese de </w:t>
      </w:r>
      <w:proofErr w:type="spellStart"/>
      <w:r w:rsidRPr="00A766EE">
        <w:t>autocorrelaçao</w:t>
      </w:r>
      <w:proofErr w:type="spellEnd"/>
      <w:r w:rsidRPr="00A766EE">
        <w:t xml:space="preserve"> nula.</w:t>
      </w:r>
    </w:p>
    <w:p w:rsidR="0040295A" w:rsidRDefault="00345E67" w:rsidP="007839EE">
      <w:pPr>
        <w:spacing w:line="360" w:lineRule="auto"/>
        <w:jc w:val="both"/>
        <w:rPr>
          <w:b/>
        </w:rPr>
      </w:pPr>
      <w:r w:rsidRPr="0040295A">
        <w:rPr>
          <w:b/>
        </w:rPr>
        <w:t>DISCUSSÃO</w:t>
      </w:r>
    </w:p>
    <w:p w:rsidR="007A591B" w:rsidRDefault="006D67D5" w:rsidP="007A591B">
      <w:pPr>
        <w:spacing w:line="480" w:lineRule="auto"/>
        <w:ind w:firstLine="709"/>
        <w:jc w:val="both"/>
      </w:pPr>
      <w:r w:rsidRPr="0051339E">
        <w:t xml:space="preserve">Entre os componentes das causas externas, </w:t>
      </w:r>
      <w:r w:rsidR="007A591B">
        <w:t>os acidentes</w:t>
      </w:r>
      <w:r w:rsidRPr="0051339E">
        <w:t xml:space="preserve"> de trânsito contribuem de forma significativa com </w:t>
      </w:r>
      <w:r w:rsidR="00743D41" w:rsidRPr="0051339E">
        <w:t xml:space="preserve">uma mortalidade extremamente alta </w:t>
      </w:r>
      <w:r w:rsidRPr="0051339E">
        <w:t xml:space="preserve">em todas as sociedades, </w:t>
      </w:r>
      <w:r w:rsidR="00743D41">
        <w:t>acometendo indistintamente todos os indivíduos</w:t>
      </w:r>
      <w:r w:rsidRPr="0051339E">
        <w:t xml:space="preserve">. </w:t>
      </w:r>
      <w:r w:rsidRPr="0051339E">
        <w:rPr>
          <w:vertAlign w:val="superscript"/>
        </w:rPr>
        <w:t xml:space="preserve"> </w:t>
      </w:r>
      <w:r w:rsidR="007A591B" w:rsidRPr="00E54EFF">
        <w:t>Esses eventos constituem um fenômeno de grande</w:t>
      </w:r>
      <w:r w:rsidR="00E54EFF" w:rsidRPr="00E54EFF">
        <w:t xml:space="preserve"> </w:t>
      </w:r>
      <w:r w:rsidR="00E54EFF">
        <w:t xml:space="preserve">magnitude </w:t>
      </w:r>
      <w:r w:rsidR="00E54EFF" w:rsidRPr="00E54EFF">
        <w:t>e envolve uma dinâmica complexa entre hospedeiro (homem), agente (veículo) e o meio ambiente (via</w:t>
      </w:r>
      <w:proofErr w:type="gramStart"/>
      <w:r w:rsidR="00E54EFF" w:rsidRPr="00E54EFF">
        <w:t>)</w:t>
      </w:r>
      <w:r w:rsidR="00E54EFF" w:rsidRPr="00E54EFF">
        <w:rPr>
          <w:vertAlign w:val="superscript"/>
        </w:rPr>
        <w:t>(</w:t>
      </w:r>
      <w:proofErr w:type="gramEnd"/>
      <w:r w:rsidR="00E54EFF" w:rsidRPr="00E54EFF">
        <w:rPr>
          <w:vertAlign w:val="superscript"/>
        </w:rPr>
        <w:t>1,5)</w:t>
      </w:r>
      <w:r w:rsidR="00D5495C">
        <w:t xml:space="preserve">, determinando assim um </w:t>
      </w:r>
      <w:r w:rsidR="00D5495C" w:rsidRPr="009D25AC">
        <w:t>ponto preocupante e crítico nas estatísticas mundiais de mortalidade</w:t>
      </w:r>
      <w:r w:rsidR="00D5495C">
        <w:t>.</w:t>
      </w:r>
    </w:p>
    <w:p w:rsidR="00E54EFF" w:rsidRPr="0058327D" w:rsidRDefault="00E54EFF" w:rsidP="007A591B">
      <w:pPr>
        <w:spacing w:line="480" w:lineRule="auto"/>
        <w:ind w:firstLine="709"/>
        <w:jc w:val="both"/>
      </w:pPr>
      <w:r>
        <w:t>O</w:t>
      </w:r>
      <w:r w:rsidRPr="00BE092D">
        <w:t>s dados deste estudo comprovaram</w:t>
      </w:r>
      <w:r>
        <w:t>,</w:t>
      </w:r>
      <w:r w:rsidRPr="00BE092D">
        <w:t xml:space="preserve"> mais uma vez</w:t>
      </w:r>
      <w:r>
        <w:t>,</w:t>
      </w:r>
      <w:r w:rsidRPr="00BE092D">
        <w:t xml:space="preserve"> o predomínio </w:t>
      </w:r>
      <w:r>
        <w:t>absoluto de mortos</w:t>
      </w:r>
      <w:r w:rsidR="009C0459">
        <w:t xml:space="preserve"> de indivíduos</w:t>
      </w:r>
      <w:r>
        <w:t xml:space="preserve"> </w:t>
      </w:r>
      <w:r w:rsidRPr="00BE092D">
        <w:t>do sexo masculino</w:t>
      </w:r>
      <w:r w:rsidR="00D450E3">
        <w:t xml:space="preserve">, assemelhando-se </w:t>
      </w:r>
      <w:r w:rsidR="00D450E3" w:rsidRPr="00895399">
        <w:t xml:space="preserve">a </w:t>
      </w:r>
      <w:r w:rsidR="00D450E3">
        <w:t xml:space="preserve">outros </w:t>
      </w:r>
      <w:r w:rsidR="00D450E3" w:rsidRPr="00895399">
        <w:t>estudos, onde a predominância d</w:t>
      </w:r>
      <w:r w:rsidR="009C0459">
        <w:t xml:space="preserve">a mortalidade </w:t>
      </w:r>
      <w:r w:rsidR="00B86368">
        <w:t xml:space="preserve">de </w:t>
      </w:r>
      <w:r w:rsidR="009C0459">
        <w:t>homens</w:t>
      </w:r>
      <w:r w:rsidR="00D450E3" w:rsidRPr="00895399">
        <w:t xml:space="preserve"> </w:t>
      </w:r>
      <w:r w:rsidR="00D450E3">
        <w:t>em</w:t>
      </w:r>
      <w:r w:rsidR="00D450E3" w:rsidRPr="00895399">
        <w:t xml:space="preserve"> acidentes </w:t>
      </w:r>
      <w:r w:rsidR="00B86368">
        <w:t>de trânsito</w:t>
      </w:r>
      <w:r w:rsidR="00D450E3" w:rsidRPr="00895399">
        <w:t xml:space="preserve"> ultrapass</w:t>
      </w:r>
      <w:r w:rsidR="00D450E3">
        <w:t>ou</w:t>
      </w:r>
      <w:r w:rsidR="00BB5E0F">
        <w:t xml:space="preserve"> os </w:t>
      </w:r>
      <w:r w:rsidR="009C0459">
        <w:t>7</w:t>
      </w:r>
      <w:r w:rsidR="00D450E3" w:rsidRPr="00895399">
        <w:t>0</w:t>
      </w:r>
      <w:r w:rsidR="00D450E3">
        <w:t>,0</w:t>
      </w:r>
      <w:r w:rsidR="00D450E3" w:rsidRPr="00895399">
        <w:t>%</w:t>
      </w:r>
      <w:proofErr w:type="gramStart"/>
      <w:r w:rsidR="009C0459" w:rsidRPr="009C0459">
        <w:rPr>
          <w:vertAlign w:val="superscript"/>
        </w:rPr>
        <w:t>(</w:t>
      </w:r>
      <w:proofErr w:type="gramEnd"/>
      <w:r w:rsidR="00D450E3" w:rsidRPr="008F0A82">
        <w:rPr>
          <w:vertAlign w:val="superscript"/>
        </w:rPr>
        <w:t>1</w:t>
      </w:r>
      <w:r w:rsidR="00D450E3">
        <w:rPr>
          <w:vertAlign w:val="superscript"/>
        </w:rPr>
        <w:t>,1</w:t>
      </w:r>
      <w:r w:rsidR="009C0459">
        <w:rPr>
          <w:vertAlign w:val="superscript"/>
        </w:rPr>
        <w:t>2)</w:t>
      </w:r>
      <w:r>
        <w:t xml:space="preserve">. </w:t>
      </w:r>
      <w:r w:rsidR="0058327D" w:rsidRPr="0058327D">
        <w:rPr>
          <w:color w:val="000000"/>
          <w:shd w:val="clear" w:color="auto" w:fill="FFFFFF"/>
        </w:rPr>
        <w:t xml:space="preserve">Homens apresentaram risco de óbito por acidentes de </w:t>
      </w:r>
      <w:r w:rsidR="0058327D">
        <w:rPr>
          <w:color w:val="000000"/>
          <w:shd w:val="clear" w:color="auto" w:fill="FFFFFF"/>
        </w:rPr>
        <w:t>trânsito</w:t>
      </w:r>
      <w:r w:rsidR="0058327D" w:rsidRPr="0058327D">
        <w:rPr>
          <w:color w:val="000000"/>
          <w:shd w:val="clear" w:color="auto" w:fill="FFFFFF"/>
        </w:rPr>
        <w:t xml:space="preserve"> 4,5 vezes maior do que as </w:t>
      </w:r>
      <w:proofErr w:type="gramStart"/>
      <w:r w:rsidR="0058327D" w:rsidRPr="0058327D">
        <w:rPr>
          <w:color w:val="000000"/>
          <w:shd w:val="clear" w:color="auto" w:fill="FFFFFF"/>
        </w:rPr>
        <w:t>mulheres</w:t>
      </w:r>
      <w:r w:rsidR="0058327D" w:rsidRPr="003B1134">
        <w:rPr>
          <w:vertAlign w:val="superscript"/>
          <w:lang w:val="pt-PT"/>
        </w:rPr>
        <w:t>(</w:t>
      </w:r>
      <w:proofErr w:type="gramEnd"/>
      <w:r w:rsidR="0058327D">
        <w:rPr>
          <w:vertAlign w:val="superscript"/>
          <w:lang w:val="pt-PT"/>
        </w:rPr>
        <w:t>12)</w:t>
      </w:r>
      <w:r w:rsidR="0058327D" w:rsidRPr="0058327D">
        <w:rPr>
          <w:color w:val="000000"/>
          <w:shd w:val="clear" w:color="auto" w:fill="FFFFFF"/>
        </w:rPr>
        <w:t>.</w:t>
      </w:r>
      <w:r w:rsidR="0058327D" w:rsidRPr="0058327D">
        <w:rPr>
          <w:rStyle w:val="apple-converted-space"/>
          <w:color w:val="000000"/>
          <w:shd w:val="clear" w:color="auto" w:fill="FFFFFF"/>
        </w:rPr>
        <w:t> </w:t>
      </w:r>
      <w:r w:rsidR="00946377">
        <w:rPr>
          <w:rStyle w:val="apple-converted-space"/>
          <w:color w:val="000000"/>
          <w:shd w:val="clear" w:color="auto" w:fill="FFFFFF"/>
        </w:rPr>
        <w:t xml:space="preserve"> Comportamentos de risco como uso de álcool e drogas, velocidade excessiva e  a não utilização de equipamentos de proteção individual, provavelmente justificam o maior envolvimento de indivíduos do sexo masculino em acidentes graves no trânsito.</w:t>
      </w:r>
    </w:p>
    <w:p w:rsidR="00A07169" w:rsidRDefault="000450BA" w:rsidP="0058327D">
      <w:pPr>
        <w:autoSpaceDE w:val="0"/>
        <w:autoSpaceDN w:val="0"/>
        <w:adjustRightInd w:val="0"/>
        <w:spacing w:line="480" w:lineRule="auto"/>
        <w:jc w:val="both"/>
        <w:rPr>
          <w:lang w:val="pt-PT"/>
        </w:rPr>
      </w:pPr>
      <w:r w:rsidRPr="00AA6E65">
        <w:tab/>
      </w:r>
      <w:r w:rsidR="00A07169" w:rsidRPr="00C02230">
        <w:rPr>
          <w:lang w:val="pt-PT"/>
        </w:rPr>
        <w:t>No presente estudo, aproximadamente metade das vítimas (48,36%) eram indivíduos jovens, com idade entre 20 e 39 anos</w:t>
      </w:r>
      <w:r w:rsidR="00A07169">
        <w:rPr>
          <w:lang w:val="pt-PT"/>
        </w:rPr>
        <w:t xml:space="preserve">. Os menores percentuais de mortos foram observados nas faixas etárias extremas entre 0 e 14 anos (6,79%) e de indivíduos com idade ≥ 60 anos (9,79%). Na Espanha, dados de um estudo, revelou que do total de homens mortos por acidentes de trânsito, 2,4% tinham idade entre 0 e 14 anos, 47,1% entre 15 e 34 anos e 32,7% </w:t>
      </w:r>
      <w:r w:rsidR="00A07169">
        <w:rPr>
          <w:lang w:val="pt-PT"/>
        </w:rPr>
        <w:lastRenderedPageBreak/>
        <w:t xml:space="preserve">entre 35 e 64 anos. No grupo de indivíduos com idade ≥ 65 anos foram 17,8%. </w:t>
      </w:r>
      <w:r w:rsidR="00A07169">
        <w:t xml:space="preserve">Entre as mulheres, 37,4% tinham idade </w:t>
      </w:r>
      <w:r w:rsidR="00A07169">
        <w:rPr>
          <w:lang w:val="pt-PT"/>
        </w:rPr>
        <w:t xml:space="preserve">entre 15 e 34 anos, 26,1% entre 35 e 64 anos e 31,0% 65 anos ou </w:t>
      </w:r>
      <w:proofErr w:type="gramStart"/>
      <w:r w:rsidR="00A07169">
        <w:rPr>
          <w:lang w:val="pt-PT"/>
        </w:rPr>
        <w:t>mais</w:t>
      </w:r>
      <w:r w:rsidR="008407B1" w:rsidRPr="008407B1">
        <w:rPr>
          <w:vertAlign w:val="superscript"/>
          <w:lang w:val="pt-PT"/>
        </w:rPr>
        <w:t>(</w:t>
      </w:r>
      <w:proofErr w:type="gramEnd"/>
      <w:r w:rsidR="00A07169" w:rsidRPr="00916440">
        <w:rPr>
          <w:vertAlign w:val="superscript"/>
        </w:rPr>
        <w:t>1</w:t>
      </w:r>
      <w:r w:rsidR="008407B1">
        <w:rPr>
          <w:vertAlign w:val="superscript"/>
        </w:rPr>
        <w:t>)</w:t>
      </w:r>
      <w:r w:rsidR="00A07169">
        <w:rPr>
          <w:lang w:val="pt-PT"/>
        </w:rPr>
        <w:t>.</w:t>
      </w:r>
    </w:p>
    <w:p w:rsidR="00FE394F" w:rsidRDefault="00A07169" w:rsidP="00121ED4">
      <w:pPr>
        <w:autoSpaceDE w:val="0"/>
        <w:autoSpaceDN w:val="0"/>
        <w:adjustRightInd w:val="0"/>
        <w:spacing w:line="480" w:lineRule="auto"/>
        <w:ind w:firstLine="709"/>
        <w:jc w:val="both"/>
      </w:pPr>
      <w:r w:rsidRPr="00D91568">
        <w:rPr>
          <w:lang w:val="pt-PT"/>
        </w:rPr>
        <w:t>Resultados de um estudo</w:t>
      </w:r>
      <w:r w:rsidR="003B1134" w:rsidRPr="003B1134">
        <w:rPr>
          <w:vertAlign w:val="superscript"/>
          <w:lang w:val="pt-PT"/>
        </w:rPr>
        <w:t>(</w:t>
      </w:r>
      <w:r>
        <w:rPr>
          <w:vertAlign w:val="superscript"/>
          <w:lang w:val="pt-PT"/>
        </w:rPr>
        <w:t>1</w:t>
      </w:r>
      <w:r w:rsidR="003B1134">
        <w:rPr>
          <w:vertAlign w:val="superscript"/>
          <w:lang w:val="pt-PT"/>
        </w:rPr>
        <w:t>2)</w:t>
      </w:r>
      <w:r w:rsidR="008407B1">
        <w:rPr>
          <w:lang w:val="pt-PT"/>
        </w:rPr>
        <w:t xml:space="preserve"> realizado no Brasil</w:t>
      </w:r>
      <w:r w:rsidRPr="00D91568">
        <w:rPr>
          <w:lang w:val="pt-PT"/>
        </w:rPr>
        <w:t xml:space="preserve"> revelaram que </w:t>
      </w:r>
      <w:r w:rsidRPr="00D91568">
        <w:t xml:space="preserve">a mortalidade </w:t>
      </w:r>
      <w:r w:rsidR="008407B1">
        <w:t>na faixa etária</w:t>
      </w:r>
      <w:r w:rsidR="00AA6E65">
        <w:t xml:space="preserve"> </w:t>
      </w:r>
      <w:r w:rsidRPr="00D91568">
        <w:t xml:space="preserve">esteve concentrada entre as idades de 15 a 59 anos, sendo 83,0% dos óbitos </w:t>
      </w:r>
      <w:r>
        <w:t>para o</w:t>
      </w:r>
      <w:r w:rsidRPr="00D91568">
        <w:t xml:space="preserve"> sexo masculino e 67,0% </w:t>
      </w:r>
      <w:r>
        <w:t xml:space="preserve">para o </w:t>
      </w:r>
      <w:r w:rsidRPr="00D91568">
        <w:t xml:space="preserve">feminino. No sexo feminino, a porcentagem de óbitos nas faixas mais jovens (de 0 a 19 anos) e nas mais idosas (a partir de 60 anos) totalizou 44%; no sexo masculino, essa proporção foi de 26%. </w:t>
      </w:r>
      <w:r w:rsidR="00FE394F">
        <w:t>Nesse mesmo estudo</w:t>
      </w:r>
      <w:r w:rsidR="00FE394F">
        <w:rPr>
          <w:lang w:val="pt-PT"/>
        </w:rPr>
        <w:t>,</w:t>
      </w:r>
      <w:r w:rsidR="00FE394F">
        <w:rPr>
          <w:vertAlign w:val="superscript"/>
          <w:lang w:val="pt-PT"/>
        </w:rPr>
        <w:t xml:space="preserve"> </w:t>
      </w:r>
      <w:r w:rsidR="00FE394F" w:rsidRPr="00FE394F">
        <w:rPr>
          <w:lang w:val="pt-PT"/>
        </w:rPr>
        <w:t>e</w:t>
      </w:r>
      <w:proofErr w:type="spellStart"/>
      <w:r w:rsidR="00FE394F" w:rsidRPr="00FA61CF">
        <w:t>ntre</w:t>
      </w:r>
      <w:proofErr w:type="spellEnd"/>
      <w:r w:rsidR="00FE394F" w:rsidRPr="00FA61CF">
        <w:t xml:space="preserve"> crianças de 0 a 14 anos e idosos maiores de 60 anos, independentemente do sexo, o atropelamento foi </w:t>
      </w:r>
      <w:proofErr w:type="gramStart"/>
      <w:r w:rsidR="00FE394F" w:rsidRPr="00FA61CF">
        <w:t>a</w:t>
      </w:r>
      <w:proofErr w:type="gramEnd"/>
      <w:r w:rsidR="00FE394F" w:rsidRPr="00FA61CF">
        <w:t xml:space="preserve"> primeira causa de óbito, a segund</w:t>
      </w:r>
      <w:r w:rsidR="00FE394F">
        <w:t>a mais frequ</w:t>
      </w:r>
      <w:r w:rsidR="00FE394F" w:rsidRPr="00FA61CF">
        <w:t>ente foi o acidente com veículo não especificado e a terceira, o acidente com automóvel</w:t>
      </w:r>
      <w:r w:rsidR="00FE394F">
        <w:t xml:space="preserve">. </w:t>
      </w:r>
    </w:p>
    <w:p w:rsidR="00FE394F" w:rsidRDefault="00FE394F" w:rsidP="00723FB3">
      <w:pPr>
        <w:autoSpaceDE w:val="0"/>
        <w:autoSpaceDN w:val="0"/>
        <w:adjustRightInd w:val="0"/>
        <w:spacing w:line="480" w:lineRule="auto"/>
        <w:ind w:firstLine="709"/>
        <w:jc w:val="both"/>
      </w:pPr>
      <w:r>
        <w:rPr>
          <w:lang w:val="pt-PT"/>
        </w:rPr>
        <w:t>A maior mortalidade de</w:t>
      </w:r>
      <w:r w:rsidR="00723FB3">
        <w:rPr>
          <w:lang w:val="pt-PT"/>
        </w:rPr>
        <w:t xml:space="preserve"> indivíduos</w:t>
      </w:r>
      <w:r>
        <w:rPr>
          <w:lang w:val="pt-PT"/>
        </w:rPr>
        <w:t xml:space="preserve"> jovens por acidentes de trânsito</w:t>
      </w:r>
      <w:r w:rsidR="00723FB3">
        <w:rPr>
          <w:lang w:val="pt-PT"/>
        </w:rPr>
        <w:t>,</w:t>
      </w:r>
      <w:r>
        <w:rPr>
          <w:lang w:val="pt-PT"/>
        </w:rPr>
        <w:t xml:space="preserve"> </w:t>
      </w:r>
      <w:r w:rsidRPr="00895399">
        <w:t>pode ser resultado</w:t>
      </w:r>
      <w:r w:rsidR="00723FB3">
        <w:t xml:space="preserve"> de vários fatores:</w:t>
      </w:r>
      <w:r w:rsidRPr="00895399">
        <w:t xml:space="preserve"> menor aderência desse grupo a medidas de prevenção</w:t>
      </w:r>
      <w:r>
        <w:t xml:space="preserve"> e de segurança</w:t>
      </w:r>
      <w:r w:rsidR="00723FB3">
        <w:t xml:space="preserve">, </w:t>
      </w:r>
      <w:r w:rsidR="00723FB3" w:rsidRPr="007E424D">
        <w:t xml:space="preserve">busca de emoções em </w:t>
      </w:r>
      <w:r w:rsidR="00723FB3" w:rsidRPr="007E424D">
        <w:rPr>
          <w:lang w:val="pt-PT"/>
        </w:rPr>
        <w:t>velocidades excessivas</w:t>
      </w:r>
      <w:r w:rsidR="00723FB3" w:rsidRPr="007E424D">
        <w:t>, impulsividade, uso de álcool e drogas, inexperiência, adoção de</w:t>
      </w:r>
      <w:r w:rsidR="00723FB3" w:rsidRPr="007E424D">
        <w:rPr>
          <w:lang w:val="pt-PT"/>
        </w:rPr>
        <w:t xml:space="preserve"> comportamentos de risco, desobediência às leis de trânsito, </w:t>
      </w:r>
      <w:r w:rsidR="00723FB3" w:rsidRPr="007E424D">
        <w:t xml:space="preserve">falta de habilidade e capacidade em perceber o perigo e resolver os problemas, excesso de confiança e </w:t>
      </w:r>
      <w:r w:rsidR="00723FB3" w:rsidRPr="007E424D">
        <w:rPr>
          <w:lang w:val="pt-PT"/>
        </w:rPr>
        <w:t xml:space="preserve">a falsa impressão de que o veículo motorizado </w:t>
      </w:r>
      <w:r w:rsidR="00723FB3" w:rsidRPr="007E424D">
        <w:t>é sinônimo de liberdade, aventura e desafios</w:t>
      </w:r>
      <w:r w:rsidR="00723FB3" w:rsidRPr="00723FB3">
        <w:rPr>
          <w:vertAlign w:val="superscript"/>
        </w:rPr>
        <w:t>(13)</w:t>
      </w:r>
      <w:r w:rsidRPr="00895399">
        <w:t>.</w:t>
      </w:r>
    </w:p>
    <w:p w:rsidR="00580AC5" w:rsidRDefault="00580AC5" w:rsidP="00B97367">
      <w:pPr>
        <w:pStyle w:val="NormalWeb"/>
        <w:spacing w:before="0" w:beforeAutospacing="0" w:after="0" w:afterAutospacing="0" w:line="480" w:lineRule="auto"/>
        <w:jc w:val="both"/>
        <w:rPr>
          <w:b/>
          <w:lang w:val="pt-PT"/>
        </w:rPr>
      </w:pPr>
      <w:r>
        <w:rPr>
          <w:lang w:val="pt-PT"/>
        </w:rPr>
        <w:tab/>
      </w:r>
      <w:r w:rsidR="00B97367">
        <w:rPr>
          <w:lang w:val="pt-PT"/>
        </w:rPr>
        <w:t>O</w:t>
      </w:r>
      <w:r w:rsidRPr="00683602">
        <w:rPr>
          <w:lang w:val="pt-PT"/>
        </w:rPr>
        <w:t xml:space="preserve">bservou-se </w:t>
      </w:r>
      <w:r w:rsidR="00C76DC5">
        <w:rPr>
          <w:lang w:val="pt-PT"/>
        </w:rPr>
        <w:t xml:space="preserve">também neste estudo, </w:t>
      </w:r>
      <w:r w:rsidRPr="00683602">
        <w:rPr>
          <w:lang w:val="pt-PT"/>
        </w:rPr>
        <w:t>que a maior proporção de mortos eram brancos (81,52%), com escolaridade entre 8 e 11 anos (28,54%) e solteiros (44,30%). Em relação à raça/cor é importante mencionar que esta variável está diretamente relacionada com as características da população, diferindo entre as várias regiões do país. No estado do Paraná, de acordo com o censo demográfico do ano de 2010, os indivíduos branc</w:t>
      </w:r>
      <w:r w:rsidR="00E87B2C">
        <w:rPr>
          <w:lang w:val="pt-PT"/>
        </w:rPr>
        <w:t>os</w:t>
      </w:r>
      <w:r w:rsidRPr="00683602">
        <w:rPr>
          <w:lang w:val="pt-PT"/>
        </w:rPr>
        <w:t xml:space="preserve"> representavam 70,05% da população</w:t>
      </w:r>
      <w:r w:rsidR="00B97367">
        <w:rPr>
          <w:vertAlign w:val="superscript"/>
          <w:lang w:val="pt-PT"/>
        </w:rPr>
        <w:t>(14)</w:t>
      </w:r>
      <w:r w:rsidR="00E87B2C">
        <w:rPr>
          <w:lang w:val="pt-PT"/>
        </w:rPr>
        <w:t xml:space="preserve">. </w:t>
      </w:r>
      <w:r w:rsidRPr="00683602">
        <w:rPr>
          <w:lang w:val="pt-PT"/>
        </w:rPr>
        <w:t xml:space="preserve"> </w:t>
      </w:r>
      <w:r w:rsidR="00E87B2C">
        <w:rPr>
          <w:lang w:val="pt-PT"/>
        </w:rPr>
        <w:t>No m</w:t>
      </w:r>
      <w:r w:rsidR="00E87B2C" w:rsidRPr="00683602">
        <w:rPr>
          <w:lang w:val="pt-PT"/>
        </w:rPr>
        <w:t>unicipio de Maringá</w:t>
      </w:r>
      <w:r w:rsidR="00E87B2C">
        <w:rPr>
          <w:lang w:val="pt-PT"/>
        </w:rPr>
        <w:t>, estes eram</w:t>
      </w:r>
      <w:r w:rsidRPr="00683602">
        <w:rPr>
          <w:lang w:val="pt-PT"/>
        </w:rPr>
        <w:t xml:space="preserve"> 64,19%</w:t>
      </w:r>
      <w:r w:rsidR="00B97367">
        <w:rPr>
          <w:vertAlign w:val="superscript"/>
          <w:lang w:val="pt-PT"/>
        </w:rPr>
        <w:t>(14)</w:t>
      </w:r>
      <w:r w:rsidRPr="00961C8F">
        <w:rPr>
          <w:b/>
          <w:lang w:val="pt-PT"/>
        </w:rPr>
        <w:t xml:space="preserve">. </w:t>
      </w:r>
    </w:p>
    <w:p w:rsidR="0023731C" w:rsidRDefault="00E87B2C" w:rsidP="00714304">
      <w:pPr>
        <w:pStyle w:val="NormalWeb"/>
        <w:spacing w:before="0" w:beforeAutospacing="0" w:after="0" w:afterAutospacing="0" w:line="480" w:lineRule="auto"/>
        <w:ind w:firstLine="709"/>
        <w:jc w:val="both"/>
      </w:pPr>
      <w:r>
        <w:rPr>
          <w:lang w:val="pt-PT"/>
        </w:rPr>
        <w:t>O</w:t>
      </w:r>
      <w:r w:rsidRPr="00683602">
        <w:rPr>
          <w:lang w:val="pt-PT"/>
        </w:rPr>
        <w:t xml:space="preserve"> maior envolvimento de indivíduos da raça branca</w:t>
      </w:r>
      <w:r>
        <w:rPr>
          <w:lang w:val="pt-PT"/>
        </w:rPr>
        <w:t xml:space="preserve"> em ocorrências de trânsito, também foi evidenciado em outros estudos</w:t>
      </w:r>
      <w:r w:rsidR="007B5423" w:rsidRPr="007B5423">
        <w:rPr>
          <w:vertAlign w:val="superscript"/>
          <w:lang w:val="pt-PT"/>
        </w:rPr>
        <w:t>(</w:t>
      </w:r>
      <w:r w:rsidR="001E1C27">
        <w:rPr>
          <w:vertAlign w:val="superscript"/>
          <w:lang w:val="pt-PT"/>
        </w:rPr>
        <w:t>1</w:t>
      </w:r>
      <w:r w:rsidR="007B5423">
        <w:rPr>
          <w:vertAlign w:val="superscript"/>
          <w:lang w:val="pt-PT"/>
        </w:rPr>
        <w:t>2</w:t>
      </w:r>
      <w:r w:rsidRPr="00683602">
        <w:rPr>
          <w:vertAlign w:val="superscript"/>
          <w:lang w:val="pt-PT"/>
        </w:rPr>
        <w:t>,</w:t>
      </w:r>
      <w:r w:rsidR="007B5423">
        <w:rPr>
          <w:vertAlign w:val="superscript"/>
          <w:lang w:val="pt-PT"/>
        </w:rPr>
        <w:t>1</w:t>
      </w:r>
      <w:r w:rsidR="001E1C27">
        <w:rPr>
          <w:vertAlign w:val="superscript"/>
          <w:lang w:val="pt-PT"/>
        </w:rPr>
        <w:t>5</w:t>
      </w:r>
      <w:r w:rsidR="007B5423">
        <w:rPr>
          <w:vertAlign w:val="superscript"/>
          <w:lang w:val="pt-PT"/>
        </w:rPr>
        <w:t>)</w:t>
      </w:r>
      <w:r w:rsidRPr="00683602">
        <w:rPr>
          <w:lang w:val="pt-PT"/>
        </w:rPr>
        <w:t xml:space="preserve">. </w:t>
      </w:r>
      <w:r w:rsidR="001E1C27">
        <w:rPr>
          <w:lang w:val="pt-PT"/>
        </w:rPr>
        <w:t>E</w:t>
      </w:r>
      <w:proofErr w:type="spellStart"/>
      <w:r w:rsidRPr="00683602">
        <w:t>ntre</w:t>
      </w:r>
      <w:proofErr w:type="spellEnd"/>
      <w:r w:rsidRPr="00683602">
        <w:t xml:space="preserve"> pardos e pretos, os óbitos totalizaram </w:t>
      </w:r>
      <w:r w:rsidRPr="00683602">
        <w:lastRenderedPageBreak/>
        <w:t>38,0%</w:t>
      </w:r>
      <w:r w:rsidR="001E1C27">
        <w:t xml:space="preserve"> e</w:t>
      </w:r>
      <w:r w:rsidRPr="00683602">
        <w:t xml:space="preserve"> entre indígenas e amarelos, 0,5%, seguindo o padrão de distribuição de raça/cor da população</w:t>
      </w:r>
      <w:r w:rsidR="00A57551" w:rsidRPr="00A57551">
        <w:rPr>
          <w:vertAlign w:val="superscript"/>
        </w:rPr>
        <w:t>(</w:t>
      </w:r>
      <w:r w:rsidR="001E1C27" w:rsidRPr="001E1C27">
        <w:rPr>
          <w:vertAlign w:val="superscript"/>
        </w:rPr>
        <w:t>1</w:t>
      </w:r>
      <w:r w:rsidR="00A57551">
        <w:rPr>
          <w:vertAlign w:val="superscript"/>
        </w:rPr>
        <w:t>2)</w:t>
      </w:r>
      <w:r w:rsidRPr="00683602">
        <w:t xml:space="preserve">. Nesta mesma </w:t>
      </w:r>
      <w:proofErr w:type="gramStart"/>
      <w:r w:rsidRPr="00683602">
        <w:t>pesquisa</w:t>
      </w:r>
      <w:r w:rsidR="00A57551" w:rsidRPr="00714304">
        <w:rPr>
          <w:vertAlign w:val="superscript"/>
        </w:rPr>
        <w:t>(</w:t>
      </w:r>
      <w:proofErr w:type="gramEnd"/>
      <w:r w:rsidR="001E1C27">
        <w:rPr>
          <w:vertAlign w:val="superscript"/>
          <w:lang w:val="pt-PT"/>
        </w:rPr>
        <w:t>1</w:t>
      </w:r>
      <w:r w:rsidR="00A57551">
        <w:rPr>
          <w:vertAlign w:val="superscript"/>
          <w:lang w:val="pt-PT"/>
        </w:rPr>
        <w:t>2</w:t>
      </w:r>
      <w:r w:rsidR="00714304">
        <w:rPr>
          <w:vertAlign w:val="superscript"/>
          <w:lang w:val="pt-PT"/>
        </w:rPr>
        <w:t>)</w:t>
      </w:r>
      <w:r w:rsidRPr="00683602">
        <w:t xml:space="preserve">, foi identificado que </w:t>
      </w:r>
      <w:r>
        <w:t>d</w:t>
      </w:r>
      <w:r w:rsidRPr="00683602">
        <w:t xml:space="preserve">os indivíduos </w:t>
      </w:r>
      <w:r>
        <w:t>com</w:t>
      </w:r>
      <w:r w:rsidRPr="00683602">
        <w:t xml:space="preserve"> informação sobre escolaridade (58</w:t>
      </w:r>
      <w:r>
        <w:t>,0</w:t>
      </w:r>
      <w:r w:rsidRPr="00683602">
        <w:t>%), 35</w:t>
      </w:r>
      <w:r>
        <w:t>,0</w:t>
      </w:r>
      <w:r w:rsidRPr="00683602">
        <w:t>% tinham até quatro anos de estudo.</w:t>
      </w:r>
      <w:r>
        <w:t xml:space="preserve"> </w:t>
      </w:r>
      <w:r w:rsidRPr="00683602">
        <w:t>O percentual de óbitos de indivíduos com mais de quatro anos de estudo foi maior entre brancos e amarelos (40</w:t>
      </w:r>
      <w:r>
        <w:t>,0%</w:t>
      </w:r>
      <w:r w:rsidRPr="00683602">
        <w:t xml:space="preserve"> e 47</w:t>
      </w:r>
      <w:r>
        <w:t>,0</w:t>
      </w:r>
      <w:r w:rsidRPr="00683602">
        <w:t xml:space="preserve">%, respectivamente). </w:t>
      </w:r>
      <w:r w:rsidR="0023731C">
        <w:t xml:space="preserve">O risco de óbito para ocupantes de automóvel foi maior entre os </w:t>
      </w:r>
      <w:proofErr w:type="gramStart"/>
      <w:r w:rsidR="0023731C">
        <w:t>brancos</w:t>
      </w:r>
      <w:r w:rsidR="00714304" w:rsidRPr="00714304">
        <w:rPr>
          <w:vertAlign w:val="superscript"/>
        </w:rPr>
        <w:t>(</w:t>
      </w:r>
      <w:proofErr w:type="gramEnd"/>
      <w:r w:rsidR="0023731C">
        <w:rPr>
          <w:vertAlign w:val="superscript"/>
        </w:rPr>
        <w:t>1</w:t>
      </w:r>
      <w:r w:rsidR="001B394A">
        <w:rPr>
          <w:vertAlign w:val="superscript"/>
        </w:rPr>
        <w:t>2</w:t>
      </w:r>
      <w:r w:rsidR="00714304">
        <w:rPr>
          <w:vertAlign w:val="superscript"/>
        </w:rPr>
        <w:t>)</w:t>
      </w:r>
      <w:r w:rsidR="0023731C">
        <w:t>.</w:t>
      </w:r>
    </w:p>
    <w:p w:rsidR="00AD18EF" w:rsidRDefault="004778E7" w:rsidP="00714304">
      <w:pPr>
        <w:autoSpaceDE w:val="0"/>
        <w:autoSpaceDN w:val="0"/>
        <w:adjustRightInd w:val="0"/>
        <w:spacing w:line="480" w:lineRule="auto"/>
        <w:ind w:firstLine="709"/>
        <w:jc w:val="both"/>
        <w:rPr>
          <w:lang w:val="pt-PT"/>
        </w:rPr>
      </w:pPr>
      <w:r>
        <w:rPr>
          <w:lang w:val="pt-PT"/>
        </w:rPr>
        <w:t xml:space="preserve">Quanto aos </w:t>
      </w:r>
      <w:r w:rsidR="00AD18EF" w:rsidRPr="004452E7">
        <w:rPr>
          <w:lang w:val="pt-PT"/>
        </w:rPr>
        <w:t>indivíduos solteiros</w:t>
      </w:r>
      <w:r>
        <w:rPr>
          <w:lang w:val="pt-PT"/>
        </w:rPr>
        <w:t>,</w:t>
      </w:r>
      <w:r w:rsidR="00AD18EF" w:rsidRPr="004452E7">
        <w:rPr>
          <w:lang w:val="pt-PT"/>
        </w:rPr>
        <w:t xml:space="preserve"> </w:t>
      </w:r>
      <w:r>
        <w:rPr>
          <w:lang w:val="pt-PT"/>
        </w:rPr>
        <w:t>p</w:t>
      </w:r>
      <w:r w:rsidRPr="004452E7">
        <w:rPr>
          <w:lang w:val="pt-PT"/>
        </w:rPr>
        <w:t xml:space="preserve">resume-se que </w:t>
      </w:r>
      <w:r>
        <w:rPr>
          <w:lang w:val="pt-PT"/>
        </w:rPr>
        <w:t xml:space="preserve">os mesmos </w:t>
      </w:r>
      <w:r w:rsidR="00AD18EF" w:rsidRPr="004452E7">
        <w:rPr>
          <w:lang w:val="pt-PT"/>
        </w:rPr>
        <w:t>estão mais propensos a sofrer acidentes graves ou fatais, provavelmente pela maior adoção de comportamentos de risco, uso de bebidas alcoólicas e drogas e a não utilização de equipamentos de segurança</w:t>
      </w:r>
      <w:r w:rsidR="00714304" w:rsidRPr="00714304">
        <w:rPr>
          <w:vertAlign w:val="superscript"/>
          <w:lang w:val="pt-PT"/>
        </w:rPr>
        <w:t>(13)</w:t>
      </w:r>
      <w:r w:rsidR="00AD18EF" w:rsidRPr="004452E7">
        <w:rPr>
          <w:lang w:val="pt-PT"/>
        </w:rPr>
        <w:t>.</w:t>
      </w:r>
      <w:r w:rsidR="00345E67">
        <w:rPr>
          <w:lang w:val="pt-PT"/>
        </w:rPr>
        <w:t xml:space="preserve"> </w:t>
      </w:r>
    </w:p>
    <w:p w:rsidR="004778E7" w:rsidRDefault="004778E7" w:rsidP="00714304">
      <w:pPr>
        <w:pStyle w:val="Recuodecorpodetexto"/>
        <w:spacing w:line="480" w:lineRule="auto"/>
        <w:ind w:left="0" w:firstLine="709"/>
        <w:rPr>
          <w:szCs w:val="24"/>
          <w:lang w:val="pt-PT"/>
        </w:rPr>
      </w:pPr>
      <w:r>
        <w:rPr>
          <w:szCs w:val="24"/>
        </w:rPr>
        <w:t>D</w:t>
      </w:r>
      <w:r w:rsidRPr="0000451E">
        <w:rPr>
          <w:szCs w:val="24"/>
          <w:lang w:val="pt-PT"/>
        </w:rPr>
        <w:t xml:space="preserve">entre </w:t>
      </w:r>
      <w:r>
        <w:rPr>
          <w:szCs w:val="24"/>
          <w:lang w:val="pt-PT"/>
        </w:rPr>
        <w:t>as 368 vítimas</w:t>
      </w:r>
      <w:r w:rsidRPr="0000451E">
        <w:rPr>
          <w:szCs w:val="24"/>
          <w:lang w:val="pt-PT"/>
        </w:rPr>
        <w:t xml:space="preserve"> que morreram, </w:t>
      </w:r>
      <w:r>
        <w:rPr>
          <w:lang w:val="pt-PT"/>
        </w:rPr>
        <w:t>mais da metade (</w:t>
      </w:r>
      <w:r>
        <w:rPr>
          <w:bCs/>
        </w:rPr>
        <w:t xml:space="preserve">62,77%) </w:t>
      </w:r>
      <w:r>
        <w:rPr>
          <w:lang w:val="pt-PT"/>
        </w:rPr>
        <w:t>t</w:t>
      </w:r>
      <w:r w:rsidRPr="0000451E">
        <w:rPr>
          <w:szCs w:val="24"/>
          <w:lang w:val="pt-PT"/>
        </w:rPr>
        <w:t xml:space="preserve">iveram a morte constatada </w:t>
      </w:r>
      <w:r>
        <w:rPr>
          <w:lang w:val="pt-PT"/>
        </w:rPr>
        <w:t xml:space="preserve">na via pública e 30,98% </w:t>
      </w:r>
      <w:r w:rsidRPr="0000451E">
        <w:rPr>
          <w:szCs w:val="24"/>
          <w:lang w:val="pt-PT"/>
        </w:rPr>
        <w:t>no hospital</w:t>
      </w:r>
      <w:r>
        <w:rPr>
          <w:szCs w:val="24"/>
          <w:lang w:val="pt-PT"/>
        </w:rPr>
        <w:t>. Outros autores</w:t>
      </w:r>
      <w:r w:rsidR="00D20A1D" w:rsidRPr="00D20A1D">
        <w:rPr>
          <w:szCs w:val="24"/>
          <w:vertAlign w:val="superscript"/>
          <w:lang w:val="pt-PT"/>
        </w:rPr>
        <w:t>(15)</w:t>
      </w:r>
      <w:r>
        <w:rPr>
          <w:szCs w:val="24"/>
          <w:lang w:val="pt-PT"/>
        </w:rPr>
        <w:t>, tambem</w:t>
      </w:r>
      <w:r>
        <w:rPr>
          <w:lang w:val="pt-PT"/>
        </w:rPr>
        <w:t xml:space="preserve"> </w:t>
      </w:r>
      <w:r w:rsidRPr="0000451E">
        <w:rPr>
          <w:szCs w:val="24"/>
          <w:lang w:val="pt-PT"/>
        </w:rPr>
        <w:t xml:space="preserve">identificaram </w:t>
      </w:r>
      <w:r>
        <w:rPr>
          <w:szCs w:val="24"/>
          <w:lang w:val="pt-PT"/>
        </w:rPr>
        <w:t xml:space="preserve">em estudo, </w:t>
      </w:r>
      <w:r w:rsidRPr="0000451E">
        <w:rPr>
          <w:szCs w:val="24"/>
          <w:lang w:val="pt-PT"/>
        </w:rPr>
        <w:t xml:space="preserve">que </w:t>
      </w:r>
      <w:r w:rsidR="00D20A1D">
        <w:rPr>
          <w:szCs w:val="24"/>
          <w:lang w:val="pt-PT"/>
        </w:rPr>
        <w:t>41,56</w:t>
      </w:r>
      <w:r w:rsidRPr="0000451E">
        <w:rPr>
          <w:szCs w:val="24"/>
          <w:lang w:val="pt-PT"/>
        </w:rPr>
        <w:t xml:space="preserve">% das mortes por </w:t>
      </w:r>
      <w:r w:rsidR="00D20A1D">
        <w:rPr>
          <w:szCs w:val="24"/>
          <w:lang w:val="pt-PT"/>
        </w:rPr>
        <w:t>acidentes de trânsito</w:t>
      </w:r>
      <w:r>
        <w:rPr>
          <w:szCs w:val="24"/>
          <w:lang w:val="pt-PT"/>
        </w:rPr>
        <w:t>,</w:t>
      </w:r>
      <w:r w:rsidRPr="0000451E">
        <w:rPr>
          <w:szCs w:val="24"/>
          <w:lang w:val="pt-PT"/>
        </w:rPr>
        <w:t xml:space="preserve"> ocorreram na cena do acidente </w:t>
      </w:r>
      <w:r w:rsidR="00D20A1D">
        <w:rPr>
          <w:szCs w:val="24"/>
          <w:lang w:val="pt-PT"/>
        </w:rPr>
        <w:t>e 53,13% durante a internação hospitalar</w:t>
      </w:r>
      <w:r w:rsidRPr="0000451E">
        <w:rPr>
          <w:szCs w:val="24"/>
          <w:lang w:val="pt-PT"/>
        </w:rPr>
        <w:t xml:space="preserve">. </w:t>
      </w:r>
    </w:p>
    <w:p w:rsidR="009C1728" w:rsidRDefault="004778E7" w:rsidP="00345E67">
      <w:pPr>
        <w:pStyle w:val="Recuodecorpodetexto"/>
        <w:spacing w:line="480" w:lineRule="auto"/>
        <w:ind w:left="0" w:firstLine="709"/>
      </w:pPr>
      <w:r w:rsidRPr="00895399">
        <w:rPr>
          <w:szCs w:val="24"/>
        </w:rPr>
        <w:t xml:space="preserve">Considerando que </w:t>
      </w:r>
      <w:r>
        <w:rPr>
          <w:szCs w:val="24"/>
        </w:rPr>
        <w:t>neste estudo a</w:t>
      </w:r>
      <w:r w:rsidRPr="00895399">
        <w:rPr>
          <w:szCs w:val="24"/>
        </w:rPr>
        <w:t xml:space="preserve"> maior ocorrência de óbito</w:t>
      </w:r>
      <w:r>
        <w:rPr>
          <w:szCs w:val="24"/>
        </w:rPr>
        <w:t>s foi verificada na</w:t>
      </w:r>
      <w:r w:rsidRPr="00895399">
        <w:rPr>
          <w:szCs w:val="24"/>
        </w:rPr>
        <w:t xml:space="preserve"> via publica</w:t>
      </w:r>
      <w:r>
        <w:rPr>
          <w:szCs w:val="24"/>
        </w:rPr>
        <w:t>,</w:t>
      </w:r>
      <w:r w:rsidRPr="00895399">
        <w:rPr>
          <w:szCs w:val="24"/>
        </w:rPr>
        <w:t xml:space="preserve"> são necessários investimentos e melhorias</w:t>
      </w:r>
      <w:r>
        <w:rPr>
          <w:szCs w:val="24"/>
        </w:rPr>
        <w:t xml:space="preserve"> em </w:t>
      </w:r>
      <w:proofErr w:type="spellStart"/>
      <w:proofErr w:type="gramStart"/>
      <w:r>
        <w:rPr>
          <w:szCs w:val="24"/>
        </w:rPr>
        <w:t>infra-estrutura</w:t>
      </w:r>
      <w:proofErr w:type="spellEnd"/>
      <w:proofErr w:type="gramEnd"/>
      <w:r>
        <w:rPr>
          <w:szCs w:val="24"/>
        </w:rPr>
        <w:t xml:space="preserve">, </w:t>
      </w:r>
      <w:r w:rsidRPr="00895399">
        <w:rPr>
          <w:szCs w:val="24"/>
        </w:rPr>
        <w:t>sinalização,</w:t>
      </w:r>
      <w:r>
        <w:rPr>
          <w:szCs w:val="24"/>
        </w:rPr>
        <w:t xml:space="preserve"> </w:t>
      </w:r>
      <w:r w:rsidRPr="00895399">
        <w:rPr>
          <w:szCs w:val="24"/>
        </w:rPr>
        <w:t>iluminação e fiscalização adequada, além de estratégias de</w:t>
      </w:r>
      <w:r>
        <w:rPr>
          <w:szCs w:val="24"/>
        </w:rPr>
        <w:t xml:space="preserve"> promoção ao trâ</w:t>
      </w:r>
      <w:r w:rsidRPr="00895399">
        <w:rPr>
          <w:szCs w:val="24"/>
        </w:rPr>
        <w:t>nsito seguro</w:t>
      </w:r>
      <w:r>
        <w:rPr>
          <w:szCs w:val="24"/>
        </w:rPr>
        <w:t>,</w:t>
      </w:r>
      <w:r w:rsidRPr="00895399">
        <w:rPr>
          <w:szCs w:val="24"/>
        </w:rPr>
        <w:t xml:space="preserve"> prevenção através de ações educativas</w:t>
      </w:r>
      <w:r>
        <w:rPr>
          <w:szCs w:val="24"/>
        </w:rPr>
        <w:t xml:space="preserve"> e ações </w:t>
      </w:r>
      <w:proofErr w:type="spellStart"/>
      <w:r>
        <w:rPr>
          <w:szCs w:val="24"/>
        </w:rPr>
        <w:t>intersetorias</w:t>
      </w:r>
      <w:proofErr w:type="spellEnd"/>
      <w:r>
        <w:rPr>
          <w:szCs w:val="24"/>
        </w:rPr>
        <w:t xml:space="preserve"> de todos os níveis de governo</w:t>
      </w:r>
      <w:r w:rsidR="00880BFA" w:rsidRPr="00880BFA">
        <w:rPr>
          <w:szCs w:val="24"/>
          <w:vertAlign w:val="superscript"/>
        </w:rPr>
        <w:t>(</w:t>
      </w:r>
      <w:r>
        <w:rPr>
          <w:szCs w:val="24"/>
          <w:vertAlign w:val="superscript"/>
        </w:rPr>
        <w:t>5</w:t>
      </w:r>
      <w:r w:rsidR="00880BFA">
        <w:rPr>
          <w:szCs w:val="24"/>
          <w:vertAlign w:val="superscript"/>
        </w:rPr>
        <w:t>)</w:t>
      </w:r>
      <w:r w:rsidRPr="00895399">
        <w:rPr>
          <w:szCs w:val="24"/>
        </w:rPr>
        <w:t>.</w:t>
      </w:r>
      <w:r w:rsidR="00345E67">
        <w:rPr>
          <w:szCs w:val="24"/>
        </w:rPr>
        <w:t xml:space="preserve"> </w:t>
      </w:r>
      <w:r w:rsidR="009C1728" w:rsidRPr="004452E7">
        <w:t xml:space="preserve">Os prejuízos sociais </w:t>
      </w:r>
      <w:r w:rsidR="00880BFA">
        <w:t>da alta</w:t>
      </w:r>
      <w:r w:rsidR="009C1728">
        <w:t xml:space="preserve"> mortalidade </w:t>
      </w:r>
      <w:r w:rsidR="00880BFA">
        <w:t xml:space="preserve">em acidentes de trânsito, estão relacionados </w:t>
      </w:r>
      <w:r w:rsidR="009C1728" w:rsidRPr="004452E7">
        <w:t>aos anos potenciais de vida perdidos</w:t>
      </w:r>
      <w:r w:rsidR="00552803">
        <w:t xml:space="preserve"> e</w:t>
      </w:r>
      <w:r w:rsidR="009C1728" w:rsidRPr="004452E7">
        <w:t xml:space="preserve"> </w:t>
      </w:r>
      <w:r w:rsidR="00552803">
        <w:t xml:space="preserve">elevados </w:t>
      </w:r>
      <w:r w:rsidR="009C1728" w:rsidRPr="004452E7">
        <w:t xml:space="preserve">custos </w:t>
      </w:r>
      <w:r w:rsidR="00552803">
        <w:t xml:space="preserve">aos sistemas de saúde, família e </w:t>
      </w:r>
      <w:proofErr w:type="gramStart"/>
      <w:r w:rsidR="00552803">
        <w:t>sociedade</w:t>
      </w:r>
      <w:r w:rsidR="00552803" w:rsidRPr="00552803">
        <w:rPr>
          <w:vertAlign w:val="superscript"/>
        </w:rPr>
        <w:t>(</w:t>
      </w:r>
      <w:proofErr w:type="gramEnd"/>
      <w:r w:rsidR="00552803">
        <w:rPr>
          <w:vertAlign w:val="superscript"/>
        </w:rPr>
        <w:t>1)</w:t>
      </w:r>
      <w:r w:rsidR="009C1728" w:rsidRPr="004452E7">
        <w:t>.</w:t>
      </w:r>
    </w:p>
    <w:p w:rsidR="00193C27" w:rsidRDefault="00552803" w:rsidP="00552803">
      <w:pPr>
        <w:pStyle w:val="Recuodecorpodetexto"/>
        <w:spacing w:line="480" w:lineRule="auto"/>
        <w:ind w:left="0" w:firstLine="709"/>
      </w:pPr>
      <w:r>
        <w:rPr>
          <w:lang w:val="pt-PT"/>
        </w:rPr>
        <w:t>N</w:t>
      </w:r>
      <w:r w:rsidR="006F2A07" w:rsidRPr="0000451E">
        <w:rPr>
          <w:lang w:val="pt-PT"/>
        </w:rPr>
        <w:t>o presente estudo</w:t>
      </w:r>
      <w:r w:rsidR="006F2A07">
        <w:rPr>
          <w:lang w:val="pt-PT"/>
        </w:rPr>
        <w:t>,</w:t>
      </w:r>
      <w:r w:rsidR="006F2A07" w:rsidRPr="0000451E">
        <w:rPr>
          <w:lang w:val="pt-PT"/>
        </w:rPr>
        <w:t xml:space="preserve"> não </w:t>
      </w:r>
      <w:r w:rsidR="006F2A07">
        <w:rPr>
          <w:lang w:val="pt-PT"/>
        </w:rPr>
        <w:t xml:space="preserve">se </w:t>
      </w:r>
      <w:r w:rsidR="005109D3">
        <w:rPr>
          <w:lang w:val="pt-PT"/>
        </w:rPr>
        <w:t xml:space="preserve">observou </w:t>
      </w:r>
      <w:r w:rsidR="006F2A07" w:rsidRPr="0000451E">
        <w:rPr>
          <w:lang w:val="pt-PT"/>
        </w:rPr>
        <w:t xml:space="preserve">relação </w:t>
      </w:r>
      <w:r w:rsidR="006F2A07">
        <w:rPr>
          <w:lang w:val="pt-PT"/>
        </w:rPr>
        <w:t>das vítimas com atividades</w:t>
      </w:r>
      <w:r w:rsidR="005109D3">
        <w:rPr>
          <w:lang w:val="pt-PT"/>
        </w:rPr>
        <w:t xml:space="preserve"> de trabalho. No entanto,</w:t>
      </w:r>
      <w:r w:rsidR="006F2A07" w:rsidRPr="0000451E">
        <w:rPr>
          <w:lang w:val="pt-PT"/>
        </w:rPr>
        <w:t xml:space="preserve"> há que se considerar </w:t>
      </w:r>
      <w:r w:rsidR="006F2A07" w:rsidRPr="0000451E">
        <w:t>que</w:t>
      </w:r>
      <w:r w:rsidR="006F2A07">
        <w:t>,</w:t>
      </w:r>
      <w:r w:rsidR="006F2A07" w:rsidRPr="0000451E">
        <w:t xml:space="preserve"> em geral</w:t>
      </w:r>
      <w:r w:rsidR="006F2A07">
        <w:t>,</w:t>
      </w:r>
      <w:r w:rsidR="006F2A07" w:rsidRPr="0000451E">
        <w:t xml:space="preserve"> </w:t>
      </w:r>
      <w:r w:rsidR="006F2A07">
        <w:t>muitos</w:t>
      </w:r>
      <w:r w:rsidR="006F2A07" w:rsidRPr="0000451E">
        <w:t xml:space="preserve"> </w:t>
      </w:r>
      <w:r w:rsidR="006F2A07">
        <w:t>indivíduos</w:t>
      </w:r>
      <w:r w:rsidR="006F2A07" w:rsidRPr="0000451E">
        <w:t xml:space="preserve"> trabalham na informalidade</w:t>
      </w:r>
      <w:r w:rsidR="006F2A07">
        <w:t xml:space="preserve">, transportando mercadorias, produtos e passageiros. </w:t>
      </w:r>
      <w:r w:rsidR="006E62A1">
        <w:t>Trabalhadores sem vínculo formal de emprego estão sujeitos a longas jornadas de trabalho</w:t>
      </w:r>
      <w:r w:rsidR="00193C27">
        <w:t>, sem períodos de descanso,</w:t>
      </w:r>
      <w:r w:rsidR="005E2EDC">
        <w:t xml:space="preserve"> baixa remuneração, carga de trabalho acima do recomendado, </w:t>
      </w:r>
      <w:r w:rsidR="00423250">
        <w:t xml:space="preserve">comprometimento da saúde </w:t>
      </w:r>
      <w:r w:rsidR="00423250">
        <w:lastRenderedPageBreak/>
        <w:t>física e emocional e</w:t>
      </w:r>
      <w:r w:rsidR="006E62A1">
        <w:t xml:space="preserve"> </w:t>
      </w:r>
      <w:r w:rsidR="006E62A1">
        <w:rPr>
          <w:rFonts w:cs="Adobe Caslon Pro"/>
          <w:color w:val="000000"/>
          <w:sz w:val="22"/>
          <w:szCs w:val="22"/>
        </w:rPr>
        <w:t>limitação da qualidade de vida</w:t>
      </w:r>
      <w:r w:rsidR="00423250">
        <w:rPr>
          <w:rFonts w:cs="Adobe Caslon Pro"/>
          <w:color w:val="000000"/>
          <w:sz w:val="22"/>
          <w:szCs w:val="22"/>
        </w:rPr>
        <w:t>,</w:t>
      </w:r>
      <w:r w:rsidR="006E62A1">
        <w:rPr>
          <w:rFonts w:cs="Adobe Caslon Pro"/>
          <w:color w:val="000000"/>
          <w:sz w:val="22"/>
          <w:szCs w:val="22"/>
        </w:rPr>
        <w:t xml:space="preserve"> </w:t>
      </w:r>
      <w:r w:rsidR="006E62A1">
        <w:t>além de relações conflitantes entre trabalho e vida pessoal</w:t>
      </w:r>
      <w:r w:rsidR="00423250">
        <w:t xml:space="preserve"> e por consequência</w:t>
      </w:r>
      <w:r w:rsidR="00193C27">
        <w:t xml:space="preserve"> o envolvimento em acidentes </w:t>
      </w:r>
      <w:proofErr w:type="gramStart"/>
      <w:r w:rsidR="00193C27">
        <w:t>fatais</w:t>
      </w:r>
      <w:r w:rsidR="00193C27" w:rsidRPr="00193C27">
        <w:rPr>
          <w:vertAlign w:val="superscript"/>
        </w:rPr>
        <w:t>(</w:t>
      </w:r>
      <w:proofErr w:type="gramEnd"/>
      <w:r w:rsidR="00193C27" w:rsidRPr="00193C27">
        <w:rPr>
          <w:vertAlign w:val="superscript"/>
        </w:rPr>
        <w:t>16)</w:t>
      </w:r>
      <w:r w:rsidR="00193C27">
        <w:t>.</w:t>
      </w:r>
    </w:p>
    <w:p w:rsidR="00B70A3C" w:rsidRDefault="00B20084" w:rsidP="00B70A3C">
      <w:pPr>
        <w:shd w:val="clear" w:color="auto" w:fill="FFFFFF"/>
        <w:spacing w:line="480" w:lineRule="auto"/>
        <w:jc w:val="both"/>
      </w:pPr>
      <w:r>
        <w:rPr>
          <w:lang w:val="pt-PT"/>
        </w:rPr>
        <w:tab/>
      </w:r>
      <w:r w:rsidR="00C86566" w:rsidRPr="00B70A3C">
        <w:rPr>
          <w:lang w:val="pt-PT"/>
        </w:rPr>
        <w:t>Em relação ao tipo de acidente, o maior número de vítimas</w:t>
      </w:r>
      <w:r w:rsidR="001A078A" w:rsidRPr="00B70A3C">
        <w:rPr>
          <w:lang w:val="pt-PT"/>
        </w:rPr>
        <w:t xml:space="preserve"> </w:t>
      </w:r>
      <w:r w:rsidR="00C86566" w:rsidRPr="00B70A3C">
        <w:rPr>
          <w:lang w:val="pt-PT"/>
        </w:rPr>
        <w:t xml:space="preserve">foi observado nas colisões com automóveis, pickup ou caminhonetes. </w:t>
      </w:r>
      <w:r w:rsidR="001A078A" w:rsidRPr="00B70A3C">
        <w:rPr>
          <w:lang w:val="pt-PT"/>
        </w:rPr>
        <w:t>O</w:t>
      </w:r>
      <w:r w:rsidR="00C86566" w:rsidRPr="00B70A3C">
        <w:rPr>
          <w:lang w:val="pt-PT"/>
        </w:rPr>
        <w:t xml:space="preserve">utros acidentes e os não específicados foram a seguir </w:t>
      </w:r>
      <w:r w:rsidR="001A078A" w:rsidRPr="00B70A3C">
        <w:rPr>
          <w:lang w:val="pt-PT"/>
        </w:rPr>
        <w:t>o</w:t>
      </w:r>
      <w:r w:rsidR="00C86566" w:rsidRPr="00B70A3C">
        <w:rPr>
          <w:lang w:val="pt-PT"/>
        </w:rPr>
        <w:t>s mais frequentes. As colisões com veículos pesados, geralmente consideradas as mais graves, foram responsáveis por 15,49% das vítimas.</w:t>
      </w:r>
      <w:r w:rsidR="005E2EDC" w:rsidRPr="00B70A3C">
        <w:rPr>
          <w:lang w:val="pt-PT"/>
        </w:rPr>
        <w:t xml:space="preserve"> </w:t>
      </w:r>
      <w:r w:rsidR="005E2EDC" w:rsidRPr="00B70A3C">
        <w:t xml:space="preserve">As colisões entre veículos em movimento são responsáveis por uma alta porcentagem de mortos e feridos graves. </w:t>
      </w:r>
      <w:r w:rsidRPr="00B70A3C">
        <w:t xml:space="preserve">Autores identificaram em um </w:t>
      </w:r>
      <w:proofErr w:type="gramStart"/>
      <w:r w:rsidRPr="00B70A3C">
        <w:t>estudo</w:t>
      </w:r>
      <w:r w:rsidRPr="00B70A3C">
        <w:rPr>
          <w:vertAlign w:val="superscript"/>
        </w:rPr>
        <w:t>(</w:t>
      </w:r>
      <w:proofErr w:type="gramEnd"/>
      <w:r w:rsidRPr="00B70A3C">
        <w:rPr>
          <w:vertAlign w:val="superscript"/>
        </w:rPr>
        <w:t>15)</w:t>
      </w:r>
      <w:r w:rsidRPr="00B70A3C">
        <w:t xml:space="preserve">, realizado em Maringá que 38,75% dos acidentes foram colisão com </w:t>
      </w:r>
      <w:r w:rsidRPr="00B70A3C">
        <w:rPr>
          <w:bCs/>
        </w:rPr>
        <w:t>automóvel/</w:t>
      </w:r>
      <w:proofErr w:type="spellStart"/>
      <w:r w:rsidRPr="00B70A3C">
        <w:rPr>
          <w:bCs/>
        </w:rPr>
        <w:t>pickup</w:t>
      </w:r>
      <w:proofErr w:type="spellEnd"/>
      <w:r w:rsidRPr="00B70A3C">
        <w:rPr>
          <w:bCs/>
        </w:rPr>
        <w:t>/caminhonete</w:t>
      </w:r>
      <w:r w:rsidRPr="00B70A3C">
        <w:t xml:space="preserve">. Em outro </w:t>
      </w:r>
      <w:proofErr w:type="gramStart"/>
      <w:r w:rsidRPr="00B70A3C">
        <w:t>estudo</w:t>
      </w:r>
      <w:r w:rsidR="0005211D" w:rsidRPr="00B70A3C">
        <w:rPr>
          <w:vertAlign w:val="superscript"/>
        </w:rPr>
        <w:t>(</w:t>
      </w:r>
      <w:proofErr w:type="gramEnd"/>
      <w:r w:rsidR="0005211D" w:rsidRPr="00B70A3C">
        <w:rPr>
          <w:vertAlign w:val="superscript"/>
        </w:rPr>
        <w:t>5)</w:t>
      </w:r>
      <w:r w:rsidRPr="00B70A3C">
        <w:t>,</w:t>
      </w:r>
      <w:r w:rsidR="0005211D" w:rsidRPr="00B70A3C">
        <w:t xml:space="preserve"> </w:t>
      </w:r>
      <w:r w:rsidRPr="00B70A3C">
        <w:t>autores identificaram que aproximadamente 43,7% dos acidentes ocorreram entre esses tipos de veículos.</w:t>
      </w:r>
      <w:r w:rsidR="00B70A3C" w:rsidRPr="00B70A3C">
        <w:t xml:space="preserve"> </w:t>
      </w:r>
    </w:p>
    <w:p w:rsidR="00B70A3C" w:rsidRPr="00B70A3C" w:rsidRDefault="00B70A3C" w:rsidP="00D8685C">
      <w:pPr>
        <w:shd w:val="clear" w:color="auto" w:fill="FFFFFF"/>
        <w:spacing w:line="480" w:lineRule="auto"/>
        <w:jc w:val="both"/>
      </w:pPr>
      <w:r>
        <w:rPr>
          <w:rFonts w:ascii="Arial" w:hAnsi="Arial" w:cs="Arial"/>
          <w:sz w:val="17"/>
          <w:szCs w:val="17"/>
        </w:rPr>
        <w:tab/>
      </w:r>
      <w:r w:rsidRPr="00B70A3C">
        <w:t xml:space="preserve">Uma pesquisa realizada no estado do Paraná evidenciou o elevado número de </w:t>
      </w:r>
      <w:r>
        <w:t>a</w:t>
      </w:r>
      <w:r w:rsidRPr="00B70A3C">
        <w:t xml:space="preserve">cidentes envolvendo automóveis.  </w:t>
      </w:r>
      <w:r>
        <w:t>A</w:t>
      </w:r>
      <w:r w:rsidRPr="00B70A3C">
        <w:t>s</w:t>
      </w:r>
      <w:r w:rsidR="00D8685C" w:rsidRPr="00B70A3C">
        <w:t xml:space="preserve"> </w:t>
      </w:r>
      <w:r>
        <w:t>ocorrências</w:t>
      </w:r>
      <w:r w:rsidR="00D8685C" w:rsidRPr="00B70A3C">
        <w:t xml:space="preserve"> </w:t>
      </w:r>
      <w:r w:rsidRPr="00B70A3C">
        <w:t>com participação desse tipo</w:t>
      </w:r>
      <w:r>
        <w:t xml:space="preserve"> </w:t>
      </w:r>
      <w:r w:rsidRPr="00B70A3C">
        <w:t xml:space="preserve">de veículo foram responsáveis por </w:t>
      </w:r>
      <w:r w:rsidR="00D8685C">
        <w:t xml:space="preserve">cerca de 63,0% </w:t>
      </w:r>
      <w:r w:rsidRPr="00B70A3C">
        <w:t>das</w:t>
      </w:r>
      <w:r w:rsidR="00D8685C" w:rsidRPr="00B70A3C">
        <w:t xml:space="preserve"> </w:t>
      </w:r>
      <w:r w:rsidRPr="00B70A3C">
        <w:t>colisões</w:t>
      </w:r>
      <w:r w:rsidR="00D8685C">
        <w:t xml:space="preserve">, sendo as mais graves entre automóveis e </w:t>
      </w:r>
      <w:proofErr w:type="gramStart"/>
      <w:r w:rsidR="00D8685C">
        <w:t>caminhões</w:t>
      </w:r>
      <w:r w:rsidR="00D8685C" w:rsidRPr="00B70A3C">
        <w:rPr>
          <w:vertAlign w:val="superscript"/>
        </w:rPr>
        <w:t>(</w:t>
      </w:r>
      <w:proofErr w:type="gramEnd"/>
      <w:r w:rsidR="00D8685C">
        <w:rPr>
          <w:vertAlign w:val="superscript"/>
        </w:rPr>
        <w:t>17</w:t>
      </w:r>
      <w:r w:rsidR="00D8685C" w:rsidRPr="00B70A3C">
        <w:rPr>
          <w:vertAlign w:val="superscript"/>
        </w:rPr>
        <w:t>)</w:t>
      </w:r>
      <w:r w:rsidR="00D8685C">
        <w:t>.</w:t>
      </w:r>
      <w:r w:rsidRPr="00B70A3C">
        <w:t xml:space="preserve">  </w:t>
      </w:r>
    </w:p>
    <w:p w:rsidR="002004F2" w:rsidRDefault="0005211D" w:rsidP="002004F2">
      <w:pPr>
        <w:autoSpaceDE w:val="0"/>
        <w:autoSpaceDN w:val="0"/>
        <w:adjustRightInd w:val="0"/>
        <w:spacing w:line="480" w:lineRule="auto"/>
        <w:ind w:firstLine="709"/>
        <w:jc w:val="both"/>
      </w:pPr>
      <w:r w:rsidRPr="00CF4009">
        <w:rPr>
          <w:noProof/>
        </w:rPr>
        <w:t xml:space="preserve">Na análise </w:t>
      </w:r>
      <w:r>
        <w:rPr>
          <w:noProof/>
        </w:rPr>
        <w:t xml:space="preserve">da série </w:t>
      </w:r>
      <w:r w:rsidRPr="00CF4009">
        <w:rPr>
          <w:noProof/>
        </w:rPr>
        <w:t xml:space="preserve">mensal da mortalidade, observou-se neste estudo, que  </w:t>
      </w:r>
      <w:r>
        <w:rPr>
          <w:noProof/>
        </w:rPr>
        <w:t xml:space="preserve">a </w:t>
      </w:r>
      <w:r w:rsidRPr="00CF4009">
        <w:rPr>
          <w:noProof/>
        </w:rPr>
        <w:t xml:space="preserve">média de mortos foi de 1,8 por  mês. No mês de maio de 2010 observou-se o maior número de mortos, 12 óbitos. </w:t>
      </w:r>
      <w:r>
        <w:rPr>
          <w:noProof/>
        </w:rPr>
        <w:t xml:space="preserve">Já na análise da </w:t>
      </w:r>
      <w:r>
        <w:t>sé</w:t>
      </w:r>
      <w:r w:rsidRPr="00D306DE">
        <w:t xml:space="preserve">rie </w:t>
      </w:r>
      <w:r>
        <w:t xml:space="preserve">anual </w:t>
      </w:r>
      <w:r w:rsidRPr="00F54349">
        <w:t xml:space="preserve">de casos fatais </w:t>
      </w:r>
      <w:r>
        <w:t xml:space="preserve">observou-se </w:t>
      </w:r>
      <w:r w:rsidRPr="00D306DE">
        <w:t>um incremento de</w:t>
      </w:r>
      <w:r>
        <w:t xml:space="preserve"> </w:t>
      </w:r>
      <w:r w:rsidRPr="00D306DE">
        <w:t>5</w:t>
      </w:r>
      <w:r>
        <w:t>,</w:t>
      </w:r>
      <w:r w:rsidRPr="00D306DE">
        <w:t xml:space="preserve">3% no número de </w:t>
      </w:r>
      <w:r>
        <w:t>óbitos</w:t>
      </w:r>
      <w:r w:rsidRPr="00D306DE">
        <w:t xml:space="preserve"> ao passar dos anos.</w:t>
      </w:r>
      <w:r w:rsidR="002004F2">
        <w:t xml:space="preserve"> </w:t>
      </w:r>
      <w:r w:rsidR="002004F2" w:rsidRPr="00CB0FE2">
        <w:t>A mortalidade</w:t>
      </w:r>
      <w:r w:rsidR="002004F2">
        <w:t>,</w:t>
      </w:r>
      <w:r w:rsidR="002004F2" w:rsidRPr="00CB0FE2">
        <w:t xml:space="preserve"> em consequência </w:t>
      </w:r>
      <w:r w:rsidR="002004F2">
        <w:t>d</w:t>
      </w:r>
      <w:r w:rsidR="002004F2" w:rsidRPr="00CB0FE2">
        <w:t>o acidente de trânsito com motocicleta</w:t>
      </w:r>
      <w:r w:rsidR="002004F2">
        <w:t xml:space="preserve">, </w:t>
      </w:r>
      <w:r w:rsidR="002004F2" w:rsidRPr="00CB0FE2">
        <w:t xml:space="preserve">aumenta em todo o mundo, </w:t>
      </w:r>
      <w:r w:rsidR="002004F2">
        <w:t xml:space="preserve">especialmente em países de média e baixa renda, </w:t>
      </w:r>
      <w:r w:rsidR="002004F2" w:rsidRPr="00CB0FE2">
        <w:t xml:space="preserve">em proporções significativas, evidenciando </w:t>
      </w:r>
      <w:r w:rsidR="002004F2">
        <w:t xml:space="preserve">o grave </w:t>
      </w:r>
      <w:r w:rsidR="002004F2" w:rsidRPr="00CB0FE2">
        <w:t>problema de saúde pública</w:t>
      </w:r>
      <w:r w:rsidR="002004F2">
        <w:t xml:space="preserve"> e o aumento da mortalidade decorrente dessas </w:t>
      </w:r>
      <w:proofErr w:type="gramStart"/>
      <w:r w:rsidR="002004F2">
        <w:t>ocorrências</w:t>
      </w:r>
      <w:r w:rsidR="002004F2">
        <w:rPr>
          <w:vertAlign w:val="superscript"/>
        </w:rPr>
        <w:t>(</w:t>
      </w:r>
      <w:proofErr w:type="gramEnd"/>
      <w:r w:rsidR="002004F2">
        <w:rPr>
          <w:vertAlign w:val="superscript"/>
        </w:rPr>
        <w:t>18</w:t>
      </w:r>
      <w:r w:rsidR="002004F2" w:rsidRPr="001828ED">
        <w:rPr>
          <w:vertAlign w:val="superscript"/>
        </w:rPr>
        <w:t>)</w:t>
      </w:r>
      <w:r w:rsidR="002004F2" w:rsidRPr="00CB0FE2">
        <w:t xml:space="preserve">. </w:t>
      </w:r>
    </w:p>
    <w:p w:rsidR="00162B1A" w:rsidRPr="006641EE" w:rsidRDefault="006345A5" w:rsidP="006345A5">
      <w:pPr>
        <w:autoSpaceDE w:val="0"/>
        <w:autoSpaceDN w:val="0"/>
        <w:adjustRightInd w:val="0"/>
        <w:spacing w:line="480" w:lineRule="auto"/>
        <w:ind w:firstLine="709"/>
        <w:jc w:val="both"/>
      </w:pPr>
      <w:r>
        <w:t xml:space="preserve">A mortalidade por acidentes de trânsito mostra um modelo de evolução. No Brasil, entre 2000 e 2010, a taxa de mortalidade por acidentes de trânsito variou de 18 para 22,5 óbitos por 100.000 habitantes, ocorrendo redução do risco de morte para pedestres e aumento para condutores de veículos e </w:t>
      </w:r>
      <w:proofErr w:type="gramStart"/>
      <w:r>
        <w:t>motociclistas</w:t>
      </w:r>
      <w:r w:rsidRPr="006345A5">
        <w:rPr>
          <w:vertAlign w:val="superscript"/>
        </w:rPr>
        <w:t>(</w:t>
      </w:r>
      <w:proofErr w:type="gramEnd"/>
      <w:r w:rsidRPr="006345A5">
        <w:rPr>
          <w:vertAlign w:val="superscript"/>
        </w:rPr>
        <w:t>19)</w:t>
      </w:r>
      <w:r>
        <w:t xml:space="preserve">. </w:t>
      </w:r>
      <w:r w:rsidR="00BB10DB">
        <w:t>E</w:t>
      </w:r>
      <w:r w:rsidR="008F435F">
        <w:t xml:space="preserve">m 2013, foram verificados aproximadamente </w:t>
      </w:r>
      <w:r w:rsidR="008F435F">
        <w:lastRenderedPageBreak/>
        <w:t xml:space="preserve">29,0% de óbitos por acidentes de trânsito, equivalente a mais de 43 mil mortes ou cerca de 120 mil mortes por </w:t>
      </w:r>
      <w:proofErr w:type="gramStart"/>
      <w:r w:rsidR="008F435F">
        <w:t>dia</w:t>
      </w:r>
      <w:r w:rsidR="008F435F" w:rsidRPr="008F435F">
        <w:rPr>
          <w:vertAlign w:val="superscript"/>
        </w:rPr>
        <w:t>(</w:t>
      </w:r>
      <w:proofErr w:type="gramEnd"/>
      <w:r w:rsidR="008F435F" w:rsidRPr="008F435F">
        <w:rPr>
          <w:vertAlign w:val="superscript"/>
        </w:rPr>
        <w:t>2)</w:t>
      </w:r>
      <w:r w:rsidR="008F435F">
        <w:t>.</w:t>
      </w:r>
      <w:r w:rsidR="00073827">
        <w:t xml:space="preserve"> </w:t>
      </w:r>
      <w:r w:rsidR="00162B1A" w:rsidRPr="006641EE">
        <w:rPr>
          <w:color w:val="000000"/>
          <w:shd w:val="clear" w:color="auto" w:fill="FFFFFF"/>
        </w:rPr>
        <w:t xml:space="preserve">Entre os anos de 1990 e 2015 a mortalidade de pedestres e ocupantes de veículo a motor foram superiores às de motociclistas e ciclistas. O risco de morte foi 3,4 vezes maior em ocupantes de veículos a </w:t>
      </w:r>
      <w:proofErr w:type="gramStart"/>
      <w:r w:rsidR="00162B1A" w:rsidRPr="006641EE">
        <w:rPr>
          <w:color w:val="000000"/>
          <w:shd w:val="clear" w:color="auto" w:fill="FFFFFF"/>
        </w:rPr>
        <w:t>motor</w:t>
      </w:r>
      <w:r w:rsidR="006641EE" w:rsidRPr="006641EE">
        <w:rPr>
          <w:color w:val="000000"/>
          <w:shd w:val="clear" w:color="auto" w:fill="FFFFFF"/>
          <w:vertAlign w:val="superscript"/>
        </w:rPr>
        <w:t>(</w:t>
      </w:r>
      <w:proofErr w:type="gramEnd"/>
      <w:r w:rsidR="006641EE" w:rsidRPr="006641EE">
        <w:rPr>
          <w:color w:val="000000"/>
          <w:shd w:val="clear" w:color="auto" w:fill="FFFFFF"/>
          <w:vertAlign w:val="superscript"/>
        </w:rPr>
        <w:t>20)</w:t>
      </w:r>
      <w:r w:rsidR="00162B1A" w:rsidRPr="006641EE">
        <w:rPr>
          <w:color w:val="000000"/>
          <w:shd w:val="clear" w:color="auto" w:fill="FFFFFF"/>
        </w:rPr>
        <w:t>.</w:t>
      </w:r>
    </w:p>
    <w:p w:rsidR="003D356A" w:rsidRDefault="003D356A" w:rsidP="003D356A">
      <w:pPr>
        <w:pStyle w:val="Recuodecorpodetexto"/>
        <w:spacing w:line="480" w:lineRule="auto"/>
        <w:ind w:left="0" w:firstLine="709"/>
      </w:pPr>
      <w:r>
        <w:t>As taxas de mortalidade por acidentes de trânsito mostram um</w:t>
      </w:r>
      <w:r w:rsidR="006641EE">
        <w:t>a</w:t>
      </w:r>
      <w:r>
        <w:t xml:space="preserve"> </w:t>
      </w:r>
      <w:r w:rsidR="006641EE">
        <w:t>elevação</w:t>
      </w:r>
      <w:r>
        <w:t xml:space="preserve"> nos últimos 25 anos na Espanha, similar aos de outros países como Finlândia, França, Austrália, Grécia e </w:t>
      </w:r>
      <w:proofErr w:type="gramStart"/>
      <w:r>
        <w:t>Portugal</w:t>
      </w:r>
      <w:r w:rsidRPr="003D356A">
        <w:rPr>
          <w:vertAlign w:val="superscript"/>
        </w:rPr>
        <w:t>(</w:t>
      </w:r>
      <w:proofErr w:type="gramEnd"/>
      <w:r w:rsidRPr="003D356A">
        <w:rPr>
          <w:vertAlign w:val="superscript"/>
        </w:rPr>
        <w:t>1)</w:t>
      </w:r>
      <w:r>
        <w:t xml:space="preserve">. </w:t>
      </w:r>
      <w:r w:rsidR="00073827">
        <w:t>Em todo o mundo mais que 1,2 milhões de indivíduos morrem em decorrência de acidentes de t</w:t>
      </w:r>
      <w:r>
        <w:t>râ</w:t>
      </w:r>
      <w:r w:rsidR="00073827">
        <w:t xml:space="preserve">nsito. Em 2010, esses eventos representavam a oitava causa de mortes. Estima-se que em 2030 será a quinta </w:t>
      </w:r>
      <w:proofErr w:type="gramStart"/>
      <w:r w:rsidR="00073827">
        <w:t>causa</w:t>
      </w:r>
      <w:r w:rsidR="00AE049A" w:rsidRPr="008F435F">
        <w:rPr>
          <w:vertAlign w:val="superscript"/>
        </w:rPr>
        <w:t>(</w:t>
      </w:r>
      <w:proofErr w:type="gramEnd"/>
      <w:r w:rsidR="00AE049A" w:rsidRPr="008F435F">
        <w:rPr>
          <w:vertAlign w:val="superscript"/>
        </w:rPr>
        <w:t>2)</w:t>
      </w:r>
      <w:r w:rsidR="00AE049A">
        <w:t>.</w:t>
      </w:r>
    </w:p>
    <w:p w:rsidR="0005211D" w:rsidRDefault="00855386" w:rsidP="00855386">
      <w:pPr>
        <w:spacing w:line="360" w:lineRule="auto"/>
        <w:jc w:val="both"/>
        <w:rPr>
          <w:b/>
        </w:rPr>
      </w:pPr>
      <w:r>
        <w:rPr>
          <w:b/>
        </w:rPr>
        <w:t>CONCLUSÃO</w:t>
      </w:r>
    </w:p>
    <w:p w:rsidR="0065298E" w:rsidRDefault="0065298E" w:rsidP="0065298E">
      <w:pPr>
        <w:spacing w:line="480" w:lineRule="auto"/>
        <w:jc w:val="both"/>
      </w:pPr>
      <w:r>
        <w:rPr>
          <w:lang w:val="pt-PT"/>
        </w:rPr>
        <w:tab/>
        <w:t xml:space="preserve">De modo geral, os resultados encontrados mostraram o predomínio da mortalidade em indivíduos do sexo masculino, adultos jovens, brancos e solteiros. Mais da metade das vítimas morreu na via pública e o tipo de acidente mais frequente foi </w:t>
      </w:r>
      <w:r>
        <w:t>c</w:t>
      </w:r>
      <w:r w:rsidRPr="00562D5B">
        <w:t>olisão com automóvel/</w:t>
      </w:r>
      <w:proofErr w:type="spellStart"/>
      <w:r w:rsidRPr="00562D5B">
        <w:t>pickup</w:t>
      </w:r>
      <w:proofErr w:type="spellEnd"/>
      <w:r w:rsidRPr="00562D5B">
        <w:t>/caminhonete</w:t>
      </w:r>
      <w:r>
        <w:t xml:space="preserve">. </w:t>
      </w:r>
      <w:r>
        <w:rPr>
          <w:bCs/>
        </w:rPr>
        <w:t>O</w:t>
      </w:r>
      <w:r w:rsidRPr="00E318CB">
        <w:rPr>
          <w:bCs/>
        </w:rPr>
        <w:t>bserv</w:t>
      </w:r>
      <w:r>
        <w:rPr>
          <w:bCs/>
        </w:rPr>
        <w:t>ou</w:t>
      </w:r>
      <w:r w:rsidRPr="00E318CB">
        <w:rPr>
          <w:bCs/>
        </w:rPr>
        <w:t xml:space="preserve">-se um aumento progressivo </w:t>
      </w:r>
      <w:r>
        <w:rPr>
          <w:bCs/>
        </w:rPr>
        <w:t xml:space="preserve">de mortes </w:t>
      </w:r>
      <w:r w:rsidRPr="00E318CB">
        <w:rPr>
          <w:bCs/>
        </w:rPr>
        <w:t>a cada ano</w:t>
      </w:r>
      <w:r w:rsidRPr="00D32E21">
        <w:t xml:space="preserve">. Em alguns anos, foram observadas variações importantes, com picos de mortes acima do </w:t>
      </w:r>
      <w:r>
        <w:t>previst</w:t>
      </w:r>
      <w:r w:rsidRPr="00D32E21">
        <w:t>o</w:t>
      </w:r>
      <w:r>
        <w:t>.</w:t>
      </w:r>
    </w:p>
    <w:p w:rsidR="0065298E" w:rsidRDefault="0065298E" w:rsidP="0065298E">
      <w:pPr>
        <w:pStyle w:val="Recuodecorpodetexto32"/>
        <w:tabs>
          <w:tab w:val="clear" w:pos="1418"/>
        </w:tabs>
      </w:pPr>
      <w:r w:rsidRPr="000538CB">
        <w:t xml:space="preserve">Algumas limitações </w:t>
      </w:r>
      <w:r>
        <w:t xml:space="preserve">deste estudo </w:t>
      </w:r>
      <w:r w:rsidRPr="000538CB">
        <w:t>podem ser apontadas: a fonte de informações utilizada, que não inclui variáveis importantes para determinação da mortalidade, como o uso de álcool e drogas, a natureza da lesão, o horário e o dia da semana da ocorrência, a posição da vítima no veículo, o uso do capacete e de outros equipamentos de segurança, a condição e o tempo de habilitação da vítima, condições meteorológicas, além de indicadores de gravidade</w:t>
      </w:r>
      <w:r>
        <w:t>,</w:t>
      </w:r>
      <w:r w:rsidRPr="000538CB">
        <w:t xml:space="preserve"> como os escores da Escala de Coma de </w:t>
      </w:r>
      <w:proofErr w:type="spellStart"/>
      <w:r w:rsidRPr="000538CB">
        <w:t>Glasgow</w:t>
      </w:r>
      <w:proofErr w:type="spellEnd"/>
      <w:r w:rsidRPr="000538CB">
        <w:t xml:space="preserve"> e do </w:t>
      </w:r>
      <w:proofErr w:type="spellStart"/>
      <w:r w:rsidRPr="000538CB">
        <w:rPr>
          <w:i/>
        </w:rPr>
        <w:t>Revised</w:t>
      </w:r>
      <w:proofErr w:type="spellEnd"/>
      <w:r w:rsidRPr="000538CB">
        <w:rPr>
          <w:i/>
        </w:rPr>
        <w:t xml:space="preserve"> Trauma </w:t>
      </w:r>
      <w:proofErr w:type="spellStart"/>
      <w:r w:rsidRPr="000538CB">
        <w:rPr>
          <w:i/>
        </w:rPr>
        <w:t>Score</w:t>
      </w:r>
      <w:proofErr w:type="spellEnd"/>
      <w:r w:rsidRPr="000538CB">
        <w:rPr>
          <w:i/>
        </w:rPr>
        <w:t xml:space="preserve"> </w:t>
      </w:r>
      <w:r w:rsidRPr="000538CB">
        <w:t>no atendimento pré e intra-hospitalar.</w:t>
      </w:r>
    </w:p>
    <w:p w:rsidR="0065298E" w:rsidRDefault="004540B3" w:rsidP="004540B3">
      <w:pPr>
        <w:pStyle w:val="Recuodecorpodetexto32"/>
        <w:tabs>
          <w:tab w:val="clear" w:pos="1418"/>
        </w:tabs>
      </w:pPr>
      <w:r>
        <w:rPr>
          <w:szCs w:val="24"/>
        </w:rPr>
        <w:t>Portanto, o</w:t>
      </w:r>
      <w:r w:rsidRPr="0000451E">
        <w:rPr>
          <w:szCs w:val="24"/>
        </w:rPr>
        <w:t xml:space="preserve">s resultados encontrados </w:t>
      </w:r>
      <w:r>
        <w:rPr>
          <w:szCs w:val="24"/>
        </w:rPr>
        <w:t>não esgotam as inúmeras possibilidades de análises do problema em outras fontes de informação. O</w:t>
      </w:r>
      <w:r w:rsidR="0065298E" w:rsidRPr="002C3801">
        <w:rPr>
          <w:lang w:val="pt-PT"/>
        </w:rPr>
        <w:t xml:space="preserve"> conhecimento da realidade sobre as ocorrências de trânsito e a</w:t>
      </w:r>
      <w:r>
        <w:rPr>
          <w:lang w:val="pt-PT"/>
        </w:rPr>
        <w:t xml:space="preserve"> </w:t>
      </w:r>
      <w:r w:rsidR="0065298E" w:rsidRPr="002C3801">
        <w:rPr>
          <w:lang w:val="pt-PT"/>
        </w:rPr>
        <w:t xml:space="preserve">mortalidade consequente pode contribuir, não apenas para a </w:t>
      </w:r>
      <w:r w:rsidR="0065298E" w:rsidRPr="002C3801">
        <w:rPr>
          <w:lang w:val="pt-PT"/>
        </w:rPr>
        <w:lastRenderedPageBreak/>
        <w:t xml:space="preserve">elaboração de medidas e programas de prevenção de danos e mortes, mas também, para </w:t>
      </w:r>
      <w:proofErr w:type="gramStart"/>
      <w:r w:rsidR="0065298E" w:rsidRPr="002C3801">
        <w:rPr>
          <w:lang w:val="pt-PT"/>
        </w:rPr>
        <w:t>implementar</w:t>
      </w:r>
      <w:proofErr w:type="gramEnd"/>
      <w:r w:rsidR="0065298E" w:rsidRPr="002C3801">
        <w:rPr>
          <w:lang w:val="pt-PT"/>
        </w:rPr>
        <w:t xml:space="preserve">, fundamentar e desenvolver programas de </w:t>
      </w:r>
      <w:r w:rsidR="0080061D">
        <w:rPr>
          <w:lang w:val="pt-PT"/>
        </w:rPr>
        <w:t xml:space="preserve">prevenção e </w:t>
      </w:r>
      <w:r w:rsidR="0065298E" w:rsidRPr="002C3801">
        <w:rPr>
          <w:lang w:val="pt-PT"/>
        </w:rPr>
        <w:t>assistência</w:t>
      </w:r>
      <w:r>
        <w:rPr>
          <w:lang w:val="pt-PT"/>
        </w:rPr>
        <w:t>.</w:t>
      </w:r>
      <w:r w:rsidR="0065298E">
        <w:tab/>
      </w:r>
      <w:r w:rsidR="0065298E" w:rsidRPr="002C3801">
        <w:t xml:space="preserve"> </w:t>
      </w:r>
    </w:p>
    <w:p w:rsidR="00C150A1" w:rsidRDefault="0065298E" w:rsidP="00C150A1">
      <w:pPr>
        <w:spacing w:line="360" w:lineRule="auto"/>
        <w:jc w:val="both"/>
        <w:rPr>
          <w:b/>
        </w:rPr>
      </w:pPr>
      <w:r>
        <w:rPr>
          <w:b/>
        </w:rPr>
        <w:t xml:space="preserve">REFERÊNCIAS </w:t>
      </w:r>
    </w:p>
    <w:p w:rsidR="00C150A1" w:rsidRPr="00FD50DD" w:rsidRDefault="00C150A1" w:rsidP="00314BD7">
      <w:pPr>
        <w:pStyle w:val="Ttulo1"/>
        <w:spacing w:before="0" w:beforeAutospacing="0" w:after="0" w:afterAutospacing="0"/>
        <w:jc w:val="both"/>
        <w:rPr>
          <w:b w:val="0"/>
          <w:sz w:val="24"/>
          <w:szCs w:val="24"/>
          <w:lang w:val="en-US"/>
        </w:rPr>
      </w:pPr>
      <w:r w:rsidRPr="008F4202">
        <w:rPr>
          <w:b w:val="0"/>
          <w:sz w:val="24"/>
          <w:szCs w:val="24"/>
        </w:rPr>
        <w:t xml:space="preserve">1. </w:t>
      </w:r>
      <w:proofErr w:type="spellStart"/>
      <w:r w:rsidRPr="008F4202">
        <w:rPr>
          <w:b w:val="0"/>
          <w:sz w:val="24"/>
          <w:szCs w:val="24"/>
        </w:rPr>
        <w:t>Melchor</w:t>
      </w:r>
      <w:proofErr w:type="spellEnd"/>
      <w:r w:rsidRPr="008F4202">
        <w:rPr>
          <w:b w:val="0"/>
          <w:sz w:val="24"/>
          <w:szCs w:val="24"/>
        </w:rPr>
        <w:t xml:space="preserve"> I, </w:t>
      </w:r>
      <w:proofErr w:type="spellStart"/>
      <w:r w:rsidRPr="008F4202">
        <w:rPr>
          <w:b w:val="0"/>
          <w:sz w:val="24"/>
          <w:szCs w:val="24"/>
        </w:rPr>
        <w:t>Nolasco</w:t>
      </w:r>
      <w:proofErr w:type="spellEnd"/>
      <w:r w:rsidRPr="008F4202">
        <w:rPr>
          <w:b w:val="0"/>
          <w:sz w:val="24"/>
          <w:szCs w:val="24"/>
        </w:rPr>
        <w:t xml:space="preserve"> A, </w:t>
      </w:r>
      <w:proofErr w:type="spellStart"/>
      <w:r w:rsidRPr="008F4202">
        <w:rPr>
          <w:b w:val="0"/>
          <w:sz w:val="24"/>
          <w:szCs w:val="24"/>
        </w:rPr>
        <w:t>Moncho</w:t>
      </w:r>
      <w:proofErr w:type="spellEnd"/>
      <w:r w:rsidRPr="008F4202">
        <w:rPr>
          <w:b w:val="0"/>
          <w:sz w:val="24"/>
          <w:szCs w:val="24"/>
        </w:rPr>
        <w:t xml:space="preserve"> J, </w:t>
      </w:r>
      <w:proofErr w:type="spellStart"/>
      <w:r w:rsidRPr="008F4202">
        <w:rPr>
          <w:b w:val="0"/>
          <w:sz w:val="24"/>
          <w:szCs w:val="24"/>
        </w:rPr>
        <w:t>Quesada</w:t>
      </w:r>
      <w:proofErr w:type="spellEnd"/>
      <w:r w:rsidRPr="008F4202">
        <w:rPr>
          <w:b w:val="0"/>
          <w:sz w:val="24"/>
          <w:szCs w:val="24"/>
        </w:rPr>
        <w:t xml:space="preserve"> JA, </w:t>
      </w:r>
      <w:proofErr w:type="spellStart"/>
      <w:r w:rsidRPr="008F4202">
        <w:rPr>
          <w:b w:val="0"/>
          <w:sz w:val="24"/>
          <w:szCs w:val="24"/>
        </w:rPr>
        <w:t>Pereyra-Zamora</w:t>
      </w:r>
      <w:proofErr w:type="spellEnd"/>
      <w:r w:rsidRPr="008F4202">
        <w:rPr>
          <w:b w:val="0"/>
          <w:sz w:val="24"/>
          <w:szCs w:val="24"/>
        </w:rPr>
        <w:t xml:space="preserve"> P, </w:t>
      </w:r>
      <w:proofErr w:type="spellStart"/>
      <w:r w:rsidRPr="008F4202">
        <w:rPr>
          <w:b w:val="0"/>
          <w:sz w:val="24"/>
          <w:szCs w:val="24"/>
        </w:rPr>
        <w:t>García-Senchermés</w:t>
      </w:r>
      <w:proofErr w:type="spellEnd"/>
      <w:r w:rsidRPr="008F4202">
        <w:rPr>
          <w:b w:val="0"/>
          <w:sz w:val="24"/>
          <w:szCs w:val="24"/>
        </w:rPr>
        <w:t xml:space="preserve"> C, </w:t>
      </w:r>
      <w:proofErr w:type="spellStart"/>
      <w:proofErr w:type="gramStart"/>
      <w:r w:rsidRPr="008F4202">
        <w:rPr>
          <w:b w:val="0"/>
          <w:sz w:val="24"/>
          <w:szCs w:val="24"/>
        </w:rPr>
        <w:t>et</w:t>
      </w:r>
      <w:proofErr w:type="spellEnd"/>
      <w:proofErr w:type="gramEnd"/>
      <w:r w:rsidRPr="008F4202">
        <w:rPr>
          <w:b w:val="0"/>
          <w:sz w:val="24"/>
          <w:szCs w:val="24"/>
        </w:rPr>
        <w:t xml:space="preserve"> al. </w:t>
      </w:r>
      <w:r w:rsidRPr="00436C49">
        <w:rPr>
          <w:b w:val="0"/>
          <w:sz w:val="24"/>
          <w:szCs w:val="24"/>
          <w:lang w:val="en-US"/>
        </w:rPr>
        <w:t>Trends in mortality due to motor v</w:t>
      </w:r>
      <w:r w:rsidRPr="008F4202">
        <w:rPr>
          <w:b w:val="0"/>
          <w:sz w:val="24"/>
          <w:szCs w:val="24"/>
          <w:lang w:val="en-US"/>
        </w:rPr>
        <w:t>ehicle traffic accident injuries between 1987 and 2011 in a Spanish region (</w:t>
      </w:r>
      <w:proofErr w:type="spellStart"/>
      <w:r w:rsidRPr="008F4202">
        <w:rPr>
          <w:b w:val="0"/>
          <w:sz w:val="24"/>
          <w:szCs w:val="24"/>
          <w:lang w:val="en-US"/>
        </w:rPr>
        <w:t>ComunitatValenciana</w:t>
      </w:r>
      <w:proofErr w:type="spellEnd"/>
      <w:r w:rsidRPr="008F4202">
        <w:rPr>
          <w:b w:val="0"/>
          <w:sz w:val="24"/>
          <w:szCs w:val="24"/>
          <w:lang w:val="en-US"/>
        </w:rPr>
        <w:t>)</w:t>
      </w:r>
      <w:r>
        <w:rPr>
          <w:b w:val="0"/>
          <w:sz w:val="24"/>
          <w:szCs w:val="24"/>
          <w:lang w:val="en-US"/>
        </w:rPr>
        <w:t xml:space="preserve">. </w:t>
      </w:r>
      <w:proofErr w:type="spellStart"/>
      <w:r w:rsidR="00FD50DD" w:rsidRPr="00FD50DD">
        <w:rPr>
          <w:b w:val="0"/>
          <w:sz w:val="24"/>
          <w:szCs w:val="24"/>
        </w:rPr>
        <w:t>Accident</w:t>
      </w:r>
      <w:proofErr w:type="spellEnd"/>
      <w:r w:rsidR="00FD50DD" w:rsidRPr="00FD50DD">
        <w:rPr>
          <w:b w:val="0"/>
          <w:sz w:val="24"/>
          <w:szCs w:val="24"/>
        </w:rPr>
        <w:t xml:space="preserve"> </w:t>
      </w:r>
      <w:proofErr w:type="spellStart"/>
      <w:r w:rsidR="00FD50DD" w:rsidRPr="00FD50DD">
        <w:rPr>
          <w:b w:val="0"/>
          <w:sz w:val="24"/>
          <w:szCs w:val="24"/>
        </w:rPr>
        <w:t>Analysis</w:t>
      </w:r>
      <w:proofErr w:type="spellEnd"/>
      <w:r w:rsidR="00FD50DD" w:rsidRPr="00FD50DD">
        <w:rPr>
          <w:b w:val="0"/>
          <w:sz w:val="24"/>
          <w:szCs w:val="24"/>
        </w:rPr>
        <w:t xml:space="preserve"> </w:t>
      </w:r>
      <w:proofErr w:type="spellStart"/>
      <w:r w:rsidR="00FD50DD" w:rsidRPr="00FD50DD">
        <w:rPr>
          <w:b w:val="0"/>
          <w:sz w:val="24"/>
          <w:szCs w:val="24"/>
        </w:rPr>
        <w:t>and</w:t>
      </w:r>
      <w:proofErr w:type="spellEnd"/>
      <w:r w:rsidR="00FD50DD" w:rsidRPr="00FD50DD">
        <w:rPr>
          <w:b w:val="0"/>
          <w:sz w:val="24"/>
          <w:szCs w:val="24"/>
        </w:rPr>
        <w:t xml:space="preserve"> </w:t>
      </w:r>
      <w:proofErr w:type="spellStart"/>
      <w:r w:rsidR="00FD50DD" w:rsidRPr="00FD50DD">
        <w:rPr>
          <w:b w:val="0"/>
          <w:sz w:val="24"/>
          <w:szCs w:val="24"/>
        </w:rPr>
        <w:t>Prevention</w:t>
      </w:r>
      <w:proofErr w:type="spellEnd"/>
      <w:r w:rsidR="00F126E1" w:rsidRPr="00FD50DD">
        <w:rPr>
          <w:b w:val="0"/>
          <w:sz w:val="24"/>
          <w:szCs w:val="24"/>
        </w:rPr>
        <w:t>.</w:t>
      </w:r>
      <w:r w:rsidRPr="00FD50DD">
        <w:rPr>
          <w:b w:val="0"/>
          <w:sz w:val="24"/>
          <w:szCs w:val="24"/>
          <w:lang w:val="en-US"/>
        </w:rPr>
        <w:t xml:space="preserve"> 2015</w:t>
      </w:r>
      <w:r w:rsidR="00FF7A60" w:rsidRPr="00FD50DD">
        <w:rPr>
          <w:b w:val="0"/>
          <w:sz w:val="24"/>
          <w:szCs w:val="24"/>
          <w:lang w:val="en-US"/>
        </w:rPr>
        <w:t xml:space="preserve"> </w:t>
      </w:r>
      <w:proofErr w:type="spellStart"/>
      <w:r w:rsidR="00FF7A60" w:rsidRPr="00FD50DD">
        <w:rPr>
          <w:b w:val="0"/>
          <w:sz w:val="24"/>
          <w:szCs w:val="24"/>
          <w:lang w:val="en-US"/>
        </w:rPr>
        <w:t>apr</w:t>
      </w:r>
      <w:proofErr w:type="spellEnd"/>
      <w:r w:rsidRPr="00FD50DD">
        <w:rPr>
          <w:b w:val="0"/>
          <w:sz w:val="24"/>
          <w:szCs w:val="24"/>
          <w:lang w:val="en-US"/>
        </w:rPr>
        <w:t>;</w:t>
      </w:r>
      <w:r w:rsidR="00FF7A60" w:rsidRPr="00FD50DD">
        <w:rPr>
          <w:b w:val="0"/>
          <w:sz w:val="24"/>
          <w:szCs w:val="24"/>
          <w:lang w:val="en-US"/>
        </w:rPr>
        <w:t xml:space="preserve"> </w:t>
      </w:r>
      <w:r w:rsidRPr="00FD50DD">
        <w:rPr>
          <w:b w:val="0"/>
          <w:sz w:val="24"/>
          <w:szCs w:val="24"/>
          <w:lang w:val="en-US"/>
        </w:rPr>
        <w:t>77:</w:t>
      </w:r>
      <w:r w:rsidR="00FF7A60" w:rsidRPr="00FD50DD">
        <w:rPr>
          <w:b w:val="0"/>
          <w:sz w:val="24"/>
          <w:szCs w:val="24"/>
          <w:lang w:val="en-US"/>
        </w:rPr>
        <w:t xml:space="preserve"> </w:t>
      </w:r>
      <w:r w:rsidRPr="00FD50DD">
        <w:rPr>
          <w:b w:val="0"/>
          <w:sz w:val="24"/>
          <w:szCs w:val="24"/>
          <w:lang w:val="en-US"/>
        </w:rPr>
        <w:t>21-8.</w:t>
      </w:r>
    </w:p>
    <w:p w:rsidR="00914B0E" w:rsidRDefault="00914B0E" w:rsidP="00314BD7">
      <w:pPr>
        <w:pStyle w:val="Ttulo1"/>
        <w:spacing w:before="0" w:beforeAutospacing="0" w:after="0" w:afterAutospacing="0"/>
        <w:jc w:val="both"/>
        <w:rPr>
          <w:b w:val="0"/>
          <w:sz w:val="24"/>
          <w:szCs w:val="24"/>
          <w:lang w:val="en-US"/>
        </w:rPr>
      </w:pPr>
    </w:p>
    <w:p w:rsidR="00321F51" w:rsidRDefault="00914B0E" w:rsidP="00914B0E">
      <w:pPr>
        <w:pStyle w:val="Recuodecorpodetexto"/>
        <w:spacing w:line="240" w:lineRule="auto"/>
        <w:ind w:left="0" w:firstLine="0"/>
      </w:pPr>
      <w:r w:rsidRPr="00914B0E">
        <w:rPr>
          <w:szCs w:val="24"/>
          <w:lang w:val="en-US"/>
        </w:rPr>
        <w:t>2.</w:t>
      </w:r>
      <w:r w:rsidRPr="008334A4">
        <w:rPr>
          <w:lang w:val="en-US"/>
        </w:rPr>
        <w:t xml:space="preserve"> World Health Organization. Global status report on road safety 2013: supporting a decade of action. </w:t>
      </w:r>
      <w:r w:rsidRPr="0064644C">
        <w:t>Genebra: WHO</w:t>
      </w:r>
      <w:r w:rsidR="005B09FE">
        <w:t xml:space="preserve"> [on-line].</w:t>
      </w:r>
      <w:r w:rsidRPr="0064644C">
        <w:t xml:space="preserve"> 2013. </w:t>
      </w:r>
      <w:r w:rsidR="005B09FE">
        <w:t xml:space="preserve">[citado em </w:t>
      </w:r>
      <w:proofErr w:type="gramStart"/>
      <w:r w:rsidR="005B09FE">
        <w:t>20 jul</w:t>
      </w:r>
      <w:proofErr w:type="gramEnd"/>
      <w:r w:rsidR="005B09FE">
        <w:t xml:space="preserve"> 2017]. Disponível em: </w:t>
      </w:r>
      <w:hyperlink r:id="rId23" w:history="1">
        <w:r w:rsidR="005B09FE" w:rsidRPr="00A773CD">
          <w:rPr>
            <w:rStyle w:val="Hyperlink"/>
          </w:rPr>
          <w:t>http://www.who.int/violence_injury_prevention/road_safety_status/2013/en/</w:t>
        </w:r>
      </w:hyperlink>
    </w:p>
    <w:p w:rsidR="0064644C" w:rsidRPr="005B09FE" w:rsidRDefault="0064644C" w:rsidP="00914B0E">
      <w:pPr>
        <w:pStyle w:val="Recuodecorpodetexto"/>
        <w:spacing w:line="240" w:lineRule="auto"/>
        <w:ind w:left="0" w:firstLine="0"/>
      </w:pPr>
    </w:p>
    <w:p w:rsidR="00914B0E" w:rsidRPr="007B5423" w:rsidRDefault="00914B0E" w:rsidP="00914B0E">
      <w:pPr>
        <w:pStyle w:val="Ttulo1"/>
        <w:spacing w:before="0" w:beforeAutospacing="0" w:after="0" w:afterAutospacing="0"/>
        <w:jc w:val="both"/>
        <w:rPr>
          <w:b w:val="0"/>
          <w:sz w:val="24"/>
          <w:szCs w:val="24"/>
          <w:lang w:val="en-US"/>
        </w:rPr>
      </w:pPr>
      <w:r>
        <w:rPr>
          <w:b w:val="0"/>
          <w:sz w:val="24"/>
          <w:szCs w:val="24"/>
          <w:lang w:val="en-US"/>
        </w:rPr>
        <w:t xml:space="preserve">3. </w:t>
      </w:r>
      <w:r w:rsidRPr="009607AA">
        <w:rPr>
          <w:b w:val="0"/>
          <w:sz w:val="24"/>
          <w:szCs w:val="24"/>
          <w:lang w:val="en-US"/>
        </w:rPr>
        <w:t xml:space="preserve">Zhang G, </w:t>
      </w:r>
      <w:proofErr w:type="spellStart"/>
      <w:r w:rsidRPr="009607AA">
        <w:rPr>
          <w:b w:val="0"/>
          <w:sz w:val="24"/>
          <w:szCs w:val="24"/>
          <w:lang w:val="en-US"/>
        </w:rPr>
        <w:t>Yau</w:t>
      </w:r>
      <w:proofErr w:type="spellEnd"/>
      <w:r w:rsidRPr="009607AA">
        <w:rPr>
          <w:b w:val="0"/>
          <w:sz w:val="24"/>
          <w:szCs w:val="24"/>
          <w:lang w:val="en-US"/>
        </w:rPr>
        <w:t xml:space="preserve"> KW, Chen G. Risk factors associated with traffic violations and accident severity in China</w:t>
      </w:r>
      <w:r>
        <w:rPr>
          <w:b w:val="0"/>
          <w:sz w:val="24"/>
          <w:szCs w:val="24"/>
          <w:lang w:val="en-US"/>
        </w:rPr>
        <w:t xml:space="preserve">. </w:t>
      </w:r>
      <w:proofErr w:type="spellStart"/>
      <w:r w:rsidR="00FD50DD" w:rsidRPr="00FD50DD">
        <w:rPr>
          <w:b w:val="0"/>
          <w:sz w:val="24"/>
          <w:szCs w:val="24"/>
        </w:rPr>
        <w:t>Accident</w:t>
      </w:r>
      <w:proofErr w:type="spellEnd"/>
      <w:r w:rsidR="00FD50DD" w:rsidRPr="00FD50DD">
        <w:rPr>
          <w:b w:val="0"/>
          <w:sz w:val="24"/>
          <w:szCs w:val="24"/>
        </w:rPr>
        <w:t xml:space="preserve"> </w:t>
      </w:r>
      <w:proofErr w:type="spellStart"/>
      <w:r w:rsidR="00FD50DD" w:rsidRPr="00FD50DD">
        <w:rPr>
          <w:b w:val="0"/>
          <w:sz w:val="24"/>
          <w:szCs w:val="24"/>
        </w:rPr>
        <w:t>Analysis</w:t>
      </w:r>
      <w:proofErr w:type="spellEnd"/>
      <w:r w:rsidR="00FD50DD" w:rsidRPr="00FD50DD">
        <w:rPr>
          <w:b w:val="0"/>
          <w:sz w:val="24"/>
          <w:szCs w:val="24"/>
        </w:rPr>
        <w:t xml:space="preserve"> </w:t>
      </w:r>
      <w:proofErr w:type="spellStart"/>
      <w:r w:rsidR="00FD50DD" w:rsidRPr="00FD50DD">
        <w:rPr>
          <w:b w:val="0"/>
          <w:sz w:val="24"/>
          <w:szCs w:val="24"/>
        </w:rPr>
        <w:t>and</w:t>
      </w:r>
      <w:proofErr w:type="spellEnd"/>
      <w:r w:rsidR="00FD50DD" w:rsidRPr="00FD50DD">
        <w:rPr>
          <w:b w:val="0"/>
          <w:sz w:val="24"/>
          <w:szCs w:val="24"/>
        </w:rPr>
        <w:t xml:space="preserve"> </w:t>
      </w:r>
      <w:proofErr w:type="spellStart"/>
      <w:r w:rsidR="00FD50DD" w:rsidRPr="00FD50DD">
        <w:rPr>
          <w:b w:val="0"/>
          <w:sz w:val="24"/>
          <w:szCs w:val="24"/>
        </w:rPr>
        <w:t>Prevention</w:t>
      </w:r>
      <w:proofErr w:type="spellEnd"/>
      <w:r w:rsidR="00F126E1" w:rsidRPr="00FD50DD">
        <w:rPr>
          <w:b w:val="0"/>
          <w:sz w:val="24"/>
          <w:szCs w:val="24"/>
        </w:rPr>
        <w:t>.</w:t>
      </w:r>
      <w:r w:rsidRPr="007B5423">
        <w:rPr>
          <w:b w:val="0"/>
          <w:sz w:val="24"/>
          <w:szCs w:val="24"/>
          <w:lang w:val="en-US"/>
        </w:rPr>
        <w:t xml:space="preserve"> 2013 </w:t>
      </w:r>
      <w:proofErr w:type="spellStart"/>
      <w:r w:rsidRPr="007B5423">
        <w:rPr>
          <w:b w:val="0"/>
          <w:sz w:val="24"/>
          <w:szCs w:val="24"/>
          <w:lang w:val="en-US"/>
        </w:rPr>
        <w:t>oct</w:t>
      </w:r>
      <w:proofErr w:type="spellEnd"/>
      <w:r w:rsidRPr="007B5423">
        <w:rPr>
          <w:b w:val="0"/>
          <w:sz w:val="24"/>
          <w:szCs w:val="24"/>
          <w:lang w:val="en-US"/>
        </w:rPr>
        <w:t>; 59: 18-25.</w:t>
      </w:r>
    </w:p>
    <w:p w:rsidR="007808AB" w:rsidRPr="007B5423" w:rsidRDefault="007808AB" w:rsidP="007808AB">
      <w:pPr>
        <w:jc w:val="both"/>
        <w:rPr>
          <w:b/>
          <w:lang w:val="en-US"/>
        </w:rPr>
      </w:pPr>
    </w:p>
    <w:p w:rsidR="007808AB" w:rsidRPr="00D450E3" w:rsidRDefault="007808AB" w:rsidP="007808AB">
      <w:pPr>
        <w:jc w:val="both"/>
      </w:pPr>
      <w:r w:rsidRPr="00F126E1">
        <w:t>4.</w:t>
      </w:r>
      <w:r w:rsidRPr="00F126E1">
        <w:rPr>
          <w:b/>
        </w:rPr>
        <w:t xml:space="preserve"> </w:t>
      </w:r>
      <w:r w:rsidRPr="00F126E1">
        <w:t xml:space="preserve">Moreno NT da S, </w:t>
      </w:r>
      <w:proofErr w:type="spellStart"/>
      <w:r w:rsidRPr="00F126E1">
        <w:t>Dalmas</w:t>
      </w:r>
      <w:proofErr w:type="spellEnd"/>
      <w:r w:rsidRPr="00F126E1">
        <w:t xml:space="preserve"> JC, Martins EAP. </w:t>
      </w:r>
      <w:r w:rsidRPr="009955EF">
        <w:rPr>
          <w:bCs/>
          <w:color w:val="111111"/>
          <w:shd w:val="clear" w:color="auto" w:fill="FBFBF3"/>
          <w:lang w:val="en-US"/>
        </w:rPr>
        <w:t>Run over: epidemiological analysis of the last four years</w:t>
      </w:r>
      <w:r w:rsidRPr="009955EF">
        <w:rPr>
          <w:lang w:val="en-US"/>
        </w:rPr>
        <w:t xml:space="preserve">. </w:t>
      </w:r>
      <w:r w:rsidR="00FD50DD">
        <w:t>Ciê</w:t>
      </w:r>
      <w:r w:rsidR="005B09FE">
        <w:t>nc.</w:t>
      </w:r>
      <w:r w:rsidR="00F126E1">
        <w:t xml:space="preserve">, </w:t>
      </w:r>
      <w:proofErr w:type="spellStart"/>
      <w:r w:rsidR="00F126E1">
        <w:t>C</w:t>
      </w:r>
      <w:r w:rsidR="005B09FE">
        <w:t>uid</w:t>
      </w:r>
      <w:proofErr w:type="spellEnd"/>
      <w:r w:rsidR="005B09FE">
        <w:t xml:space="preserve">. </w:t>
      </w:r>
      <w:r w:rsidR="00F126E1">
        <w:t>Saúde</w:t>
      </w:r>
      <w:r w:rsidRPr="00D450E3">
        <w:t xml:space="preserve">. 2016 </w:t>
      </w:r>
      <w:proofErr w:type="spellStart"/>
      <w:r w:rsidRPr="00D450E3">
        <w:t>oct</w:t>
      </w:r>
      <w:proofErr w:type="spellEnd"/>
      <w:r w:rsidRPr="00D450E3">
        <w:t>/</w:t>
      </w:r>
      <w:proofErr w:type="spellStart"/>
      <w:r w:rsidRPr="00D450E3">
        <w:t>dec</w:t>
      </w:r>
      <w:proofErr w:type="spellEnd"/>
      <w:r w:rsidRPr="00D450E3">
        <w:t>; 15(4): 693-700.</w:t>
      </w:r>
    </w:p>
    <w:p w:rsidR="009F2F80" w:rsidRPr="00D450E3" w:rsidRDefault="009F2F80" w:rsidP="007808AB">
      <w:pPr>
        <w:jc w:val="both"/>
      </w:pPr>
    </w:p>
    <w:p w:rsidR="00C150A1" w:rsidRPr="007A591B" w:rsidRDefault="009F2F80" w:rsidP="009F2F80">
      <w:pPr>
        <w:pStyle w:val="Recuodecorpodetexto"/>
        <w:spacing w:line="240" w:lineRule="auto"/>
        <w:ind w:left="0" w:firstLine="0"/>
        <w:rPr>
          <w:szCs w:val="24"/>
        </w:rPr>
      </w:pPr>
      <w:r w:rsidRPr="009F2F80">
        <w:t xml:space="preserve">5. </w:t>
      </w:r>
      <w:r w:rsidR="00C150A1" w:rsidRPr="009F2F80">
        <w:rPr>
          <w:szCs w:val="24"/>
        </w:rPr>
        <w:t>Almeida RLF de, Bezerra Filho JG, Braga JU, Magalhães FB, Macedo MCM, Silva KA.</w:t>
      </w:r>
      <w:r w:rsidR="008E3663" w:rsidRPr="009F2F80">
        <w:rPr>
          <w:szCs w:val="24"/>
        </w:rPr>
        <w:t xml:space="preserve"> </w:t>
      </w:r>
      <w:r w:rsidR="00C150A1" w:rsidRPr="009F2F80">
        <w:rPr>
          <w:szCs w:val="24"/>
          <w:lang w:val="en-US"/>
        </w:rPr>
        <w:t xml:space="preserve">Man, road and vehicle: risk factors associated with the severity of traffic accidents. </w:t>
      </w:r>
      <w:r w:rsidR="00C150A1" w:rsidRPr="007A591B">
        <w:rPr>
          <w:szCs w:val="24"/>
        </w:rPr>
        <w:t>Rev</w:t>
      </w:r>
      <w:r w:rsidR="00B94D31" w:rsidRPr="007A591B">
        <w:rPr>
          <w:szCs w:val="24"/>
        </w:rPr>
        <w:t>.</w:t>
      </w:r>
      <w:r w:rsidR="00C150A1" w:rsidRPr="007A591B">
        <w:rPr>
          <w:szCs w:val="24"/>
        </w:rPr>
        <w:t xml:space="preserve"> Saúde Pública. 2013</w:t>
      </w:r>
      <w:r w:rsidR="00FF7A60" w:rsidRPr="007A591B">
        <w:rPr>
          <w:szCs w:val="24"/>
        </w:rPr>
        <w:t xml:space="preserve"> </w:t>
      </w:r>
      <w:proofErr w:type="spellStart"/>
      <w:r w:rsidR="00FF7A60" w:rsidRPr="007A591B">
        <w:rPr>
          <w:szCs w:val="24"/>
        </w:rPr>
        <w:t>aug</w:t>
      </w:r>
      <w:proofErr w:type="spellEnd"/>
      <w:r w:rsidR="00C150A1" w:rsidRPr="007A591B">
        <w:rPr>
          <w:szCs w:val="24"/>
        </w:rPr>
        <w:t>;</w:t>
      </w:r>
      <w:r w:rsidR="00FF7A60" w:rsidRPr="007A591B">
        <w:rPr>
          <w:szCs w:val="24"/>
        </w:rPr>
        <w:t xml:space="preserve"> </w:t>
      </w:r>
      <w:r w:rsidR="00C150A1" w:rsidRPr="007A591B">
        <w:rPr>
          <w:szCs w:val="24"/>
        </w:rPr>
        <w:t>47(4):</w:t>
      </w:r>
      <w:r w:rsidR="00FF7A60" w:rsidRPr="007A591B">
        <w:rPr>
          <w:szCs w:val="24"/>
        </w:rPr>
        <w:t xml:space="preserve"> </w:t>
      </w:r>
      <w:r w:rsidR="00C150A1" w:rsidRPr="007A591B">
        <w:rPr>
          <w:szCs w:val="24"/>
        </w:rPr>
        <w:t>718-31.</w:t>
      </w:r>
    </w:p>
    <w:p w:rsidR="00D34BB2" w:rsidRDefault="00D34BB2" w:rsidP="009F2F80">
      <w:pPr>
        <w:pStyle w:val="Recuodecorpodetexto"/>
        <w:spacing w:line="240" w:lineRule="auto"/>
        <w:ind w:left="0" w:firstLine="0"/>
        <w:rPr>
          <w:szCs w:val="24"/>
        </w:rPr>
      </w:pPr>
    </w:p>
    <w:p w:rsidR="006A36B6" w:rsidRPr="007A591B" w:rsidRDefault="006A36B6" w:rsidP="009F2F80">
      <w:pPr>
        <w:pStyle w:val="Recuodecorpodetexto"/>
        <w:spacing w:line="240" w:lineRule="auto"/>
        <w:ind w:left="0" w:firstLine="0"/>
        <w:rPr>
          <w:szCs w:val="24"/>
        </w:rPr>
      </w:pPr>
      <w:r w:rsidRPr="006A36B6">
        <w:rPr>
          <w:szCs w:val="24"/>
        </w:rPr>
        <w:t xml:space="preserve">6. </w:t>
      </w:r>
      <w:proofErr w:type="spellStart"/>
      <w:r w:rsidRPr="00FC0375">
        <w:rPr>
          <w:szCs w:val="24"/>
        </w:rPr>
        <w:t>Rouquayrol</w:t>
      </w:r>
      <w:proofErr w:type="spellEnd"/>
      <w:r w:rsidRPr="00FC0375">
        <w:rPr>
          <w:szCs w:val="24"/>
        </w:rPr>
        <w:t xml:space="preserve"> MZ, Gurgel M. Epidemiologia &amp; Saúde. 7ª ed. São Paulo: </w:t>
      </w:r>
      <w:proofErr w:type="spellStart"/>
      <w:r w:rsidRPr="00FC0375">
        <w:rPr>
          <w:szCs w:val="24"/>
        </w:rPr>
        <w:t>Medbook</w:t>
      </w:r>
      <w:proofErr w:type="spellEnd"/>
      <w:r w:rsidRPr="00FC0375">
        <w:rPr>
          <w:szCs w:val="24"/>
        </w:rPr>
        <w:t>; 2013.</w:t>
      </w:r>
    </w:p>
    <w:p w:rsidR="00314BD7" w:rsidRPr="00D34BB2" w:rsidRDefault="00314BD7" w:rsidP="00314BD7">
      <w:pPr>
        <w:pStyle w:val="Ttulo1"/>
        <w:spacing w:before="0" w:beforeAutospacing="0" w:after="0" w:afterAutospacing="0"/>
        <w:jc w:val="both"/>
        <w:rPr>
          <w:b w:val="0"/>
          <w:sz w:val="24"/>
          <w:szCs w:val="24"/>
        </w:rPr>
      </w:pPr>
    </w:p>
    <w:p w:rsidR="00314BD7" w:rsidRDefault="00D34BB2" w:rsidP="00314BD7">
      <w:pPr>
        <w:pStyle w:val="Ttulo1"/>
        <w:spacing w:before="0" w:beforeAutospacing="0" w:after="0" w:afterAutospacing="0"/>
        <w:jc w:val="both"/>
        <w:rPr>
          <w:b w:val="0"/>
          <w:sz w:val="24"/>
          <w:szCs w:val="24"/>
          <w:lang w:val="en-US"/>
        </w:rPr>
      </w:pPr>
      <w:r w:rsidRPr="00D34BB2">
        <w:rPr>
          <w:b w:val="0"/>
          <w:sz w:val="24"/>
          <w:szCs w:val="24"/>
        </w:rPr>
        <w:t xml:space="preserve">7. </w:t>
      </w:r>
      <w:r w:rsidRPr="00D34BB2">
        <w:rPr>
          <w:b w:val="0"/>
          <w:sz w:val="24"/>
          <w:szCs w:val="24"/>
          <w:lang w:val="pt-PT"/>
        </w:rPr>
        <w:t xml:space="preserve">Organização Mundial da Saúde, Organização Panamericana da Saúde. Classificação estatística internacional de doenças e problemas relacionados à saúde. </w:t>
      </w:r>
      <w:r w:rsidRPr="00D34BB2">
        <w:rPr>
          <w:b w:val="0"/>
          <w:sz w:val="24"/>
          <w:szCs w:val="24"/>
          <w:lang w:val="en-US"/>
        </w:rPr>
        <w:t>10 rev. 8</w:t>
      </w:r>
      <w:r w:rsidRPr="00D34BB2">
        <w:rPr>
          <w:b w:val="0"/>
          <w:sz w:val="24"/>
          <w:szCs w:val="24"/>
          <w:vertAlign w:val="superscript"/>
          <w:lang w:val="en-US"/>
        </w:rPr>
        <w:t>a</w:t>
      </w:r>
      <w:r w:rsidRPr="00D34BB2">
        <w:rPr>
          <w:b w:val="0"/>
          <w:sz w:val="24"/>
          <w:szCs w:val="24"/>
          <w:lang w:val="en-US"/>
        </w:rPr>
        <w:t xml:space="preserve"> ed. São Paulo: EDUSP: 2000.</w:t>
      </w:r>
    </w:p>
    <w:p w:rsidR="007377AB" w:rsidRDefault="007377AB" w:rsidP="00314BD7">
      <w:pPr>
        <w:pStyle w:val="Ttulo1"/>
        <w:spacing w:before="0" w:beforeAutospacing="0" w:after="0" w:afterAutospacing="0"/>
        <w:jc w:val="both"/>
        <w:rPr>
          <w:b w:val="0"/>
          <w:sz w:val="24"/>
          <w:szCs w:val="24"/>
          <w:lang w:val="en-US"/>
        </w:rPr>
      </w:pPr>
    </w:p>
    <w:p w:rsidR="00F04648" w:rsidRDefault="00F04648" w:rsidP="00F04648">
      <w:pPr>
        <w:jc w:val="both"/>
        <w:rPr>
          <w:noProof/>
          <w:lang w:val="en-US"/>
        </w:rPr>
      </w:pPr>
      <w:r w:rsidRPr="00F04648">
        <w:rPr>
          <w:lang w:val="en-US"/>
        </w:rPr>
        <w:t xml:space="preserve">8. </w:t>
      </w:r>
      <w:proofErr w:type="spellStart"/>
      <w:r w:rsidRPr="007D67A2">
        <w:rPr>
          <w:lang w:val="en-US"/>
        </w:rPr>
        <w:t>Kedem</w:t>
      </w:r>
      <w:proofErr w:type="spellEnd"/>
      <w:r>
        <w:rPr>
          <w:noProof/>
          <w:lang w:val="en-US"/>
        </w:rPr>
        <w:t xml:space="preserve"> B, Fokianos K. Regression models for t</w:t>
      </w:r>
      <w:r w:rsidRPr="007D67A2">
        <w:rPr>
          <w:noProof/>
          <w:lang w:val="en-US"/>
        </w:rPr>
        <w:t xml:space="preserve">ime </w:t>
      </w:r>
      <w:r>
        <w:rPr>
          <w:noProof/>
          <w:lang w:val="en-US"/>
        </w:rPr>
        <w:t>s</w:t>
      </w:r>
      <w:r w:rsidRPr="007D67A2">
        <w:rPr>
          <w:noProof/>
          <w:lang w:val="en-US"/>
        </w:rPr>
        <w:t xml:space="preserve">eries </w:t>
      </w:r>
      <w:r>
        <w:rPr>
          <w:noProof/>
          <w:lang w:val="en-US"/>
        </w:rPr>
        <w:t>a</w:t>
      </w:r>
      <w:r w:rsidRPr="007D67A2">
        <w:rPr>
          <w:noProof/>
          <w:lang w:val="en-US"/>
        </w:rPr>
        <w:t>nalysis. New Jersey</w:t>
      </w:r>
      <w:r>
        <w:rPr>
          <w:noProof/>
          <w:lang w:val="en-US"/>
        </w:rPr>
        <w:t>:</w:t>
      </w:r>
      <w:r w:rsidRPr="00ED77DB">
        <w:rPr>
          <w:lang w:val="en-US"/>
        </w:rPr>
        <w:t xml:space="preserve"> J</w:t>
      </w:r>
      <w:r w:rsidRPr="007D67A2">
        <w:rPr>
          <w:lang w:val="en-US"/>
        </w:rPr>
        <w:t>ohn</w:t>
      </w:r>
      <w:r w:rsidRPr="00ED77DB">
        <w:rPr>
          <w:lang w:val="en-US"/>
        </w:rPr>
        <w:t xml:space="preserve"> W</w:t>
      </w:r>
      <w:r w:rsidRPr="007D67A2">
        <w:rPr>
          <w:lang w:val="en-US"/>
        </w:rPr>
        <w:t>iley</w:t>
      </w:r>
      <w:r>
        <w:rPr>
          <w:lang w:val="en-US"/>
        </w:rPr>
        <w:t xml:space="preserve"> </w:t>
      </w:r>
      <w:r w:rsidRPr="00ED77DB">
        <w:rPr>
          <w:lang w:val="en-US"/>
        </w:rPr>
        <w:t>&amp; S</w:t>
      </w:r>
      <w:r w:rsidRPr="007D67A2">
        <w:rPr>
          <w:lang w:val="en-US"/>
        </w:rPr>
        <w:t>ons</w:t>
      </w:r>
      <w:r w:rsidRPr="00ED77DB">
        <w:rPr>
          <w:lang w:val="en-US"/>
        </w:rPr>
        <w:t xml:space="preserve"> I</w:t>
      </w:r>
      <w:r w:rsidRPr="007D67A2">
        <w:rPr>
          <w:lang w:val="en-US"/>
        </w:rPr>
        <w:t>nc</w:t>
      </w:r>
      <w:r>
        <w:rPr>
          <w:lang w:val="en-US"/>
        </w:rPr>
        <w:t xml:space="preserve">; </w:t>
      </w:r>
      <w:r w:rsidRPr="007D67A2">
        <w:rPr>
          <w:noProof/>
          <w:lang w:val="en-US"/>
        </w:rPr>
        <w:t>2002.</w:t>
      </w:r>
    </w:p>
    <w:p w:rsidR="00F04648" w:rsidRPr="007D67A2" w:rsidRDefault="00F04648" w:rsidP="00F04648">
      <w:pPr>
        <w:jc w:val="both"/>
        <w:rPr>
          <w:lang w:val="en-US"/>
        </w:rPr>
      </w:pPr>
    </w:p>
    <w:p w:rsidR="00F04648" w:rsidRDefault="00F04648" w:rsidP="00F04648">
      <w:pPr>
        <w:autoSpaceDE w:val="0"/>
        <w:autoSpaceDN w:val="0"/>
        <w:adjustRightInd w:val="0"/>
        <w:jc w:val="both"/>
        <w:rPr>
          <w:lang w:val="en-US"/>
        </w:rPr>
      </w:pPr>
      <w:r>
        <w:rPr>
          <w:lang w:val="en-US"/>
        </w:rPr>
        <w:t>9</w:t>
      </w:r>
      <w:r w:rsidRPr="007D67A2">
        <w:rPr>
          <w:lang w:val="en-US"/>
        </w:rPr>
        <w:t>.</w:t>
      </w:r>
      <w:r>
        <w:rPr>
          <w:lang w:val="en-US"/>
        </w:rPr>
        <w:t xml:space="preserve"> </w:t>
      </w:r>
      <w:r w:rsidRPr="007D67A2">
        <w:rPr>
          <w:lang w:val="en-US"/>
        </w:rPr>
        <w:t>Conover</w:t>
      </w:r>
      <w:r>
        <w:rPr>
          <w:lang w:val="en-US"/>
        </w:rPr>
        <w:t xml:space="preserve"> </w:t>
      </w:r>
      <w:r w:rsidRPr="007D67A2">
        <w:rPr>
          <w:lang w:val="en-US"/>
        </w:rPr>
        <w:t>WJ.</w:t>
      </w:r>
      <w:r>
        <w:rPr>
          <w:lang w:val="en-US"/>
        </w:rPr>
        <w:t xml:space="preserve"> </w:t>
      </w:r>
      <w:r w:rsidRPr="007D67A2">
        <w:rPr>
          <w:lang w:val="en-US"/>
        </w:rPr>
        <w:t>Practical nonparametric statistics,</w:t>
      </w:r>
      <w:r>
        <w:rPr>
          <w:lang w:val="en-US"/>
        </w:rPr>
        <w:t xml:space="preserve"> </w:t>
      </w:r>
      <w:r w:rsidRPr="007D67A2">
        <w:rPr>
          <w:lang w:val="en-US"/>
        </w:rPr>
        <w:t>3</w:t>
      </w:r>
      <w:r w:rsidRPr="007D67A2">
        <w:rPr>
          <w:vertAlign w:val="superscript"/>
          <w:lang w:val="en-US"/>
        </w:rPr>
        <w:t>rd</w:t>
      </w:r>
      <w:r>
        <w:rPr>
          <w:vertAlign w:val="superscript"/>
          <w:lang w:val="en-US"/>
        </w:rPr>
        <w:t xml:space="preserve"> </w:t>
      </w:r>
      <w:proofErr w:type="gramStart"/>
      <w:r w:rsidRPr="007D67A2">
        <w:rPr>
          <w:lang w:val="en-US"/>
        </w:rPr>
        <w:t>ed</w:t>
      </w:r>
      <w:proofErr w:type="gramEnd"/>
      <w:r w:rsidRPr="007D67A2">
        <w:rPr>
          <w:lang w:val="en-US"/>
        </w:rPr>
        <w:t>.</w:t>
      </w:r>
      <w:r>
        <w:rPr>
          <w:lang w:val="en-US"/>
        </w:rPr>
        <w:t xml:space="preserve"> </w:t>
      </w:r>
      <w:r w:rsidRPr="007D67A2">
        <w:rPr>
          <w:noProof/>
          <w:lang w:val="en-US"/>
        </w:rPr>
        <w:t>New Jersey</w:t>
      </w:r>
      <w:r>
        <w:rPr>
          <w:noProof/>
          <w:lang w:val="en-US"/>
        </w:rPr>
        <w:t xml:space="preserve">: </w:t>
      </w:r>
      <w:r w:rsidRPr="00ED77DB">
        <w:rPr>
          <w:lang w:val="en-US"/>
        </w:rPr>
        <w:t>J</w:t>
      </w:r>
      <w:r w:rsidRPr="007D67A2">
        <w:rPr>
          <w:lang w:val="en-US"/>
        </w:rPr>
        <w:t>ohn</w:t>
      </w:r>
      <w:r w:rsidRPr="00ED77DB">
        <w:rPr>
          <w:lang w:val="en-US"/>
        </w:rPr>
        <w:t xml:space="preserve"> W</w:t>
      </w:r>
      <w:r w:rsidRPr="007D67A2">
        <w:rPr>
          <w:lang w:val="en-US"/>
        </w:rPr>
        <w:t>iley</w:t>
      </w:r>
      <w:r>
        <w:rPr>
          <w:lang w:val="en-US"/>
        </w:rPr>
        <w:t xml:space="preserve"> </w:t>
      </w:r>
      <w:r w:rsidRPr="00ED77DB">
        <w:rPr>
          <w:lang w:val="en-US"/>
        </w:rPr>
        <w:t>&amp; S</w:t>
      </w:r>
      <w:r w:rsidRPr="007D67A2">
        <w:rPr>
          <w:lang w:val="en-US"/>
        </w:rPr>
        <w:t>ons</w:t>
      </w:r>
      <w:r w:rsidRPr="00ED77DB">
        <w:rPr>
          <w:lang w:val="en-US"/>
        </w:rPr>
        <w:t>, I</w:t>
      </w:r>
      <w:r w:rsidRPr="007D67A2">
        <w:rPr>
          <w:lang w:val="en-US"/>
        </w:rPr>
        <w:t>nc</w:t>
      </w:r>
      <w:r>
        <w:rPr>
          <w:lang w:val="en-US"/>
        </w:rPr>
        <w:t xml:space="preserve">; </w:t>
      </w:r>
      <w:r w:rsidRPr="00A766EE">
        <w:rPr>
          <w:lang w:val="en-US"/>
        </w:rPr>
        <w:t>1999.</w:t>
      </w:r>
    </w:p>
    <w:p w:rsidR="00F04648" w:rsidRDefault="00F04648" w:rsidP="00314BD7">
      <w:pPr>
        <w:pStyle w:val="Ttulo1"/>
        <w:spacing w:before="0" w:beforeAutospacing="0" w:after="0" w:afterAutospacing="0"/>
        <w:jc w:val="both"/>
        <w:rPr>
          <w:b w:val="0"/>
          <w:sz w:val="24"/>
          <w:szCs w:val="24"/>
          <w:lang w:val="en-US"/>
        </w:rPr>
      </w:pPr>
    </w:p>
    <w:p w:rsidR="00DD7B5B" w:rsidRDefault="00DD7B5B" w:rsidP="00DD7B5B">
      <w:pPr>
        <w:autoSpaceDE w:val="0"/>
        <w:autoSpaceDN w:val="0"/>
        <w:adjustRightInd w:val="0"/>
        <w:jc w:val="both"/>
        <w:rPr>
          <w:rStyle w:val="citation"/>
          <w:lang w:val="en-US"/>
        </w:rPr>
      </w:pPr>
      <w:r>
        <w:rPr>
          <w:rStyle w:val="citation"/>
          <w:lang w:val="en-US"/>
        </w:rPr>
        <w:t xml:space="preserve">10. </w:t>
      </w:r>
      <w:r w:rsidRPr="00DD11BC">
        <w:rPr>
          <w:rStyle w:val="citation"/>
          <w:lang w:val="en-US"/>
        </w:rPr>
        <w:t xml:space="preserve">Shapiro SS, </w:t>
      </w:r>
      <w:hyperlink r:id="rId24" w:tooltip="Martin Wilk" w:history="1">
        <w:proofErr w:type="spellStart"/>
        <w:r w:rsidRPr="00BC12BF">
          <w:rPr>
            <w:rStyle w:val="Hyperlink"/>
            <w:color w:val="auto"/>
            <w:u w:val="none"/>
            <w:lang w:val="en-US"/>
          </w:rPr>
          <w:t>Wilk</w:t>
        </w:r>
        <w:proofErr w:type="spellEnd"/>
        <w:r w:rsidRPr="00BC12BF">
          <w:rPr>
            <w:rStyle w:val="Hyperlink"/>
            <w:color w:val="auto"/>
            <w:u w:val="none"/>
            <w:lang w:val="en-US"/>
          </w:rPr>
          <w:t xml:space="preserve"> MB.</w:t>
        </w:r>
      </w:hyperlink>
      <w:r w:rsidRPr="00A84280">
        <w:rPr>
          <w:lang w:val="en-US"/>
        </w:rPr>
        <w:t xml:space="preserve"> </w:t>
      </w:r>
      <w:proofErr w:type="gramStart"/>
      <w:r w:rsidRPr="00DD11BC">
        <w:rPr>
          <w:rStyle w:val="citation"/>
          <w:lang w:val="en-US"/>
        </w:rPr>
        <w:t>An analysis of variance test for normality (complete samples).</w:t>
      </w:r>
      <w:proofErr w:type="gramEnd"/>
      <w:r>
        <w:rPr>
          <w:rStyle w:val="citation"/>
          <w:lang w:val="en-US"/>
        </w:rPr>
        <w:t xml:space="preserve"> </w:t>
      </w:r>
      <w:hyperlink r:id="rId25" w:tooltip="Biometrika" w:history="1">
        <w:r w:rsidRPr="00BC12BF">
          <w:rPr>
            <w:rStyle w:val="Hyperlink"/>
            <w:iCs/>
            <w:color w:val="auto"/>
            <w:u w:val="none"/>
            <w:lang w:val="en-US"/>
          </w:rPr>
          <w:t>Biometrika</w:t>
        </w:r>
      </w:hyperlink>
      <w:r w:rsidRPr="00BC12BF">
        <w:rPr>
          <w:rStyle w:val="citation"/>
          <w:bCs/>
          <w:lang w:val="en-US"/>
        </w:rPr>
        <w:t>.</w:t>
      </w:r>
      <w:r w:rsidRPr="00DD11BC">
        <w:rPr>
          <w:rStyle w:val="citation"/>
          <w:lang w:val="en-US"/>
        </w:rPr>
        <w:t>1965</w:t>
      </w:r>
      <w:r w:rsidR="007377AB" w:rsidRPr="007377AB">
        <w:rPr>
          <w:rStyle w:val="Recuodecorpodetexto3Char"/>
          <w:lang w:val="en-US"/>
        </w:rPr>
        <w:t xml:space="preserve"> </w:t>
      </w:r>
      <w:proofErr w:type="spellStart"/>
      <w:r w:rsidR="007377AB">
        <w:rPr>
          <w:rStyle w:val="citation"/>
          <w:lang w:val="en-US"/>
        </w:rPr>
        <w:t>dec</w:t>
      </w:r>
      <w:proofErr w:type="spellEnd"/>
      <w:r>
        <w:rPr>
          <w:rStyle w:val="citation"/>
          <w:lang w:val="en-US"/>
        </w:rPr>
        <w:t>;</w:t>
      </w:r>
      <w:r w:rsidR="007377AB">
        <w:rPr>
          <w:rStyle w:val="citation"/>
          <w:lang w:val="en-US"/>
        </w:rPr>
        <w:t xml:space="preserve"> </w:t>
      </w:r>
      <w:r w:rsidRPr="00DD11BC">
        <w:rPr>
          <w:rStyle w:val="citation"/>
          <w:bCs/>
          <w:lang w:val="en-US"/>
        </w:rPr>
        <w:t>52</w:t>
      </w:r>
      <w:r>
        <w:rPr>
          <w:rStyle w:val="citation"/>
          <w:lang w:val="en-US"/>
        </w:rPr>
        <w:t>(3–4):</w:t>
      </w:r>
      <w:r w:rsidR="007377AB">
        <w:rPr>
          <w:rStyle w:val="citation"/>
          <w:lang w:val="en-US"/>
        </w:rPr>
        <w:t xml:space="preserve"> </w:t>
      </w:r>
      <w:r w:rsidRPr="00DD11BC">
        <w:rPr>
          <w:rStyle w:val="citation"/>
          <w:lang w:val="en-US"/>
        </w:rPr>
        <w:t>591–611.</w:t>
      </w:r>
    </w:p>
    <w:p w:rsidR="00D34BB2" w:rsidRDefault="00D34BB2" w:rsidP="00314BD7">
      <w:pPr>
        <w:pStyle w:val="Ttulo1"/>
        <w:spacing w:before="0" w:beforeAutospacing="0" w:after="0" w:afterAutospacing="0"/>
        <w:jc w:val="both"/>
        <w:rPr>
          <w:b w:val="0"/>
          <w:sz w:val="24"/>
          <w:szCs w:val="24"/>
          <w:lang w:val="en-US"/>
        </w:rPr>
      </w:pPr>
    </w:p>
    <w:p w:rsidR="00B86368" w:rsidRPr="003B1134" w:rsidRDefault="00DD7B5B" w:rsidP="007377AB">
      <w:pPr>
        <w:autoSpaceDE w:val="0"/>
        <w:autoSpaceDN w:val="0"/>
        <w:adjustRightInd w:val="0"/>
        <w:jc w:val="both"/>
      </w:pPr>
      <w:r>
        <w:rPr>
          <w:rStyle w:val="citation"/>
          <w:lang w:val="en-US"/>
        </w:rPr>
        <w:t>11</w:t>
      </w:r>
      <w:r w:rsidRPr="00DD11BC">
        <w:rPr>
          <w:rStyle w:val="citation"/>
          <w:lang w:val="en-US"/>
        </w:rPr>
        <w:t>.</w:t>
      </w:r>
      <w:r>
        <w:rPr>
          <w:rStyle w:val="citation"/>
          <w:lang w:val="en-US"/>
        </w:rPr>
        <w:t xml:space="preserve"> </w:t>
      </w:r>
      <w:r w:rsidRPr="00CD6E51">
        <w:rPr>
          <w:lang w:val="en-US"/>
        </w:rPr>
        <w:t>Durbin</w:t>
      </w:r>
      <w:r>
        <w:rPr>
          <w:lang w:val="en-US"/>
        </w:rPr>
        <w:t xml:space="preserve"> </w:t>
      </w:r>
      <w:r w:rsidRPr="00CD6E51">
        <w:rPr>
          <w:lang w:val="en-US"/>
        </w:rPr>
        <w:t>J</w:t>
      </w:r>
      <w:r>
        <w:rPr>
          <w:lang w:val="en-US"/>
        </w:rPr>
        <w:t xml:space="preserve">, </w:t>
      </w:r>
      <w:r w:rsidRPr="00CD6E51">
        <w:rPr>
          <w:lang w:val="en-US"/>
        </w:rPr>
        <w:t>Watson</w:t>
      </w:r>
      <w:r>
        <w:rPr>
          <w:lang w:val="en-US"/>
        </w:rPr>
        <w:t xml:space="preserve"> </w:t>
      </w:r>
      <w:r w:rsidRPr="00CD6E51">
        <w:rPr>
          <w:lang w:val="en-US"/>
        </w:rPr>
        <w:t>GS. Testing for serial correlation in least squares regression.</w:t>
      </w:r>
      <w:r w:rsidRPr="00D950E5">
        <w:rPr>
          <w:lang w:val="en-US"/>
        </w:rPr>
        <w:t xml:space="preserve">III. </w:t>
      </w:r>
      <w:proofErr w:type="spellStart"/>
      <w:proofErr w:type="gramStart"/>
      <w:r w:rsidRPr="00D950E5">
        <w:rPr>
          <w:iCs/>
          <w:lang w:val="en-US"/>
        </w:rPr>
        <w:t>Biometrika</w:t>
      </w:r>
      <w:proofErr w:type="spellEnd"/>
      <w:r w:rsidRPr="00D950E5">
        <w:rPr>
          <w:iCs/>
          <w:lang w:val="en-US"/>
        </w:rPr>
        <w:t>.</w:t>
      </w:r>
      <w:proofErr w:type="gramEnd"/>
      <w:r w:rsidR="007377AB">
        <w:rPr>
          <w:iCs/>
          <w:lang w:val="en-US"/>
        </w:rPr>
        <w:t xml:space="preserve"> </w:t>
      </w:r>
      <w:r w:rsidRPr="003B1134">
        <w:t>1971</w:t>
      </w:r>
      <w:r w:rsidR="007377AB" w:rsidRPr="003B1134">
        <w:t xml:space="preserve"> </w:t>
      </w:r>
      <w:proofErr w:type="spellStart"/>
      <w:r w:rsidR="007377AB" w:rsidRPr="003B1134">
        <w:t>apr</w:t>
      </w:r>
      <w:proofErr w:type="spellEnd"/>
      <w:r w:rsidR="007377AB" w:rsidRPr="003B1134">
        <w:t xml:space="preserve">; </w:t>
      </w:r>
      <w:r w:rsidRPr="003B1134">
        <w:rPr>
          <w:bCs/>
        </w:rPr>
        <w:t>58</w:t>
      </w:r>
      <w:r w:rsidRPr="003B1134">
        <w:t>(1):</w:t>
      </w:r>
      <w:r w:rsidR="007377AB" w:rsidRPr="003B1134">
        <w:t xml:space="preserve"> </w:t>
      </w:r>
      <w:r w:rsidRPr="003B1134">
        <w:t>1–19.</w:t>
      </w:r>
    </w:p>
    <w:p w:rsidR="007377AB" w:rsidRPr="003B1134" w:rsidRDefault="007377AB" w:rsidP="007377AB">
      <w:pPr>
        <w:autoSpaceDE w:val="0"/>
        <w:autoSpaceDN w:val="0"/>
        <w:adjustRightInd w:val="0"/>
        <w:jc w:val="both"/>
      </w:pPr>
    </w:p>
    <w:p w:rsidR="003B1134" w:rsidRPr="00723FB3" w:rsidRDefault="009C0459" w:rsidP="003B1134">
      <w:pPr>
        <w:autoSpaceDE w:val="0"/>
        <w:autoSpaceDN w:val="0"/>
        <w:adjustRightInd w:val="0"/>
        <w:jc w:val="both"/>
        <w:rPr>
          <w:lang w:val="en-US"/>
        </w:rPr>
      </w:pPr>
      <w:r w:rsidRPr="003B1134">
        <w:t xml:space="preserve">12. </w:t>
      </w:r>
      <w:r w:rsidR="003B1134" w:rsidRPr="005F6796">
        <w:t xml:space="preserve">Souza M de FM, Malta DC, Conceição GM de S, da Silva MMA, </w:t>
      </w:r>
      <w:proofErr w:type="spellStart"/>
      <w:r w:rsidR="003B1134" w:rsidRPr="005F6796">
        <w:t>Gazal-Carvalho</w:t>
      </w:r>
      <w:proofErr w:type="spellEnd"/>
      <w:r w:rsidR="003B1134" w:rsidRPr="005F6796">
        <w:t xml:space="preserve"> C, de Morais Neto OL.</w:t>
      </w:r>
      <w:r w:rsidR="003B1134" w:rsidRPr="005F6796">
        <w:rPr>
          <w:rStyle w:val="article-title"/>
        </w:rPr>
        <w:t xml:space="preserve"> </w:t>
      </w:r>
      <w:r w:rsidR="003B1134" w:rsidRPr="00F966D4">
        <w:rPr>
          <w:bCs/>
          <w:lang w:val="en-US"/>
        </w:rPr>
        <w:t>Descriptive and trend analyses of land transport accidents for public policies in Brazil</w:t>
      </w:r>
      <w:r w:rsidR="003B1134" w:rsidRPr="00F966D4">
        <w:rPr>
          <w:rStyle w:val="article-title"/>
          <w:lang w:val="en-US"/>
        </w:rPr>
        <w:t>.</w:t>
      </w:r>
      <w:r w:rsidR="003B1134" w:rsidRPr="00F966D4">
        <w:rPr>
          <w:i/>
          <w:iCs/>
          <w:lang w:val="en-US"/>
        </w:rPr>
        <w:t xml:space="preserve"> </w:t>
      </w:r>
      <w:proofErr w:type="spellStart"/>
      <w:proofErr w:type="gramStart"/>
      <w:r w:rsidR="003B1134" w:rsidRPr="00723FB3">
        <w:rPr>
          <w:iCs/>
          <w:lang w:val="en-US"/>
        </w:rPr>
        <w:t>Epidemiol</w:t>
      </w:r>
      <w:proofErr w:type="spellEnd"/>
      <w:r w:rsidR="001B394A">
        <w:rPr>
          <w:iCs/>
          <w:lang w:val="en-US"/>
        </w:rPr>
        <w:t>.</w:t>
      </w:r>
      <w:proofErr w:type="gramEnd"/>
      <w:r w:rsidR="003B1134" w:rsidRPr="00723FB3">
        <w:rPr>
          <w:iCs/>
          <w:lang w:val="en-US"/>
        </w:rPr>
        <w:t xml:space="preserve"> Serv</w:t>
      </w:r>
      <w:r w:rsidR="001B394A">
        <w:rPr>
          <w:iCs/>
          <w:lang w:val="en-US"/>
        </w:rPr>
        <w:t>.</w:t>
      </w:r>
      <w:r w:rsidR="003B1134" w:rsidRPr="00723FB3">
        <w:rPr>
          <w:iCs/>
          <w:lang w:val="en-US"/>
        </w:rPr>
        <w:t xml:space="preserve"> </w:t>
      </w:r>
      <w:proofErr w:type="spellStart"/>
      <w:r w:rsidR="003B1134" w:rsidRPr="00723FB3">
        <w:rPr>
          <w:iCs/>
          <w:lang w:val="en-US"/>
        </w:rPr>
        <w:t>Saúde</w:t>
      </w:r>
      <w:proofErr w:type="spellEnd"/>
      <w:r w:rsidR="003B1134" w:rsidRPr="00723FB3">
        <w:rPr>
          <w:lang w:val="en-US"/>
        </w:rPr>
        <w:t>. 2007</w:t>
      </w:r>
      <w:r w:rsidR="001A078A">
        <w:rPr>
          <w:lang w:val="en-US"/>
        </w:rPr>
        <w:t xml:space="preserve"> </w:t>
      </w:r>
      <w:proofErr w:type="spellStart"/>
      <w:r w:rsidR="001A078A">
        <w:rPr>
          <w:lang w:val="en-US"/>
        </w:rPr>
        <w:t>jan</w:t>
      </w:r>
      <w:proofErr w:type="spellEnd"/>
      <w:r w:rsidR="001A078A">
        <w:rPr>
          <w:lang w:val="en-US"/>
        </w:rPr>
        <w:t>/mar</w:t>
      </w:r>
      <w:r w:rsidR="003B1134" w:rsidRPr="00723FB3">
        <w:rPr>
          <w:lang w:val="en-US"/>
        </w:rPr>
        <w:t>;</w:t>
      </w:r>
      <w:r w:rsidR="00193C27">
        <w:rPr>
          <w:lang w:val="en-US"/>
        </w:rPr>
        <w:t xml:space="preserve"> </w:t>
      </w:r>
      <w:r w:rsidR="003B1134" w:rsidRPr="00723FB3">
        <w:rPr>
          <w:lang w:val="en-US"/>
        </w:rPr>
        <w:t>16(1):</w:t>
      </w:r>
      <w:r w:rsidR="00193C27">
        <w:rPr>
          <w:lang w:val="en-US"/>
        </w:rPr>
        <w:t xml:space="preserve"> </w:t>
      </w:r>
      <w:r w:rsidR="003B1134" w:rsidRPr="00723FB3">
        <w:rPr>
          <w:lang w:val="en-US"/>
        </w:rPr>
        <w:t xml:space="preserve">33-44. </w:t>
      </w:r>
    </w:p>
    <w:p w:rsidR="00B86368" w:rsidRPr="00B86368" w:rsidRDefault="00B86368" w:rsidP="003B1134">
      <w:pPr>
        <w:pStyle w:val="Ttulo3"/>
        <w:shd w:val="clear" w:color="auto" w:fill="FFFFFF"/>
        <w:spacing w:before="0" w:line="240" w:lineRule="auto"/>
        <w:rPr>
          <w:lang w:val="en-US"/>
        </w:rPr>
      </w:pPr>
    </w:p>
    <w:p w:rsidR="00723FB3" w:rsidRDefault="00723FB3" w:rsidP="00723FB3">
      <w:pPr>
        <w:jc w:val="both"/>
      </w:pPr>
      <w:r>
        <w:rPr>
          <w:lang w:val="en-US"/>
        </w:rPr>
        <w:t xml:space="preserve">13. </w:t>
      </w:r>
      <w:proofErr w:type="spellStart"/>
      <w:r w:rsidRPr="00BB76D4">
        <w:rPr>
          <w:lang w:val="en-US"/>
        </w:rPr>
        <w:t>Moller</w:t>
      </w:r>
      <w:proofErr w:type="spellEnd"/>
      <w:r w:rsidRPr="00BB76D4">
        <w:rPr>
          <w:lang w:val="en-US"/>
        </w:rPr>
        <w:t xml:space="preserve"> M, </w:t>
      </w:r>
      <w:proofErr w:type="spellStart"/>
      <w:r w:rsidRPr="00BB76D4">
        <w:rPr>
          <w:lang w:val="en-US"/>
        </w:rPr>
        <w:t>Haustein</w:t>
      </w:r>
      <w:proofErr w:type="spellEnd"/>
      <w:r w:rsidRPr="00BB76D4">
        <w:rPr>
          <w:lang w:val="en-US"/>
        </w:rPr>
        <w:t xml:space="preserve"> </w:t>
      </w:r>
      <w:r>
        <w:rPr>
          <w:lang w:val="en-US"/>
        </w:rPr>
        <w:t xml:space="preserve">S. </w:t>
      </w:r>
      <w:r w:rsidRPr="00BB76D4">
        <w:rPr>
          <w:lang w:val="en-US"/>
        </w:rPr>
        <w:t>Factors contributing to young moped rider accidents in Denmark</w:t>
      </w:r>
      <w:r>
        <w:rPr>
          <w:lang w:val="en-US"/>
        </w:rPr>
        <w:t xml:space="preserve">. </w:t>
      </w:r>
      <w:proofErr w:type="spellStart"/>
      <w:r w:rsidRPr="008C442A">
        <w:t>Accid</w:t>
      </w:r>
      <w:r w:rsidR="007F3EFE">
        <w:t>ent</w:t>
      </w:r>
      <w:proofErr w:type="spellEnd"/>
      <w:r w:rsidRPr="008C442A">
        <w:t xml:space="preserve"> </w:t>
      </w:r>
      <w:proofErr w:type="spellStart"/>
      <w:r w:rsidRPr="008C442A">
        <w:t>Anal</w:t>
      </w:r>
      <w:r w:rsidR="007F3EFE">
        <w:t>ysis</w:t>
      </w:r>
      <w:proofErr w:type="spellEnd"/>
      <w:r w:rsidR="007F3EFE">
        <w:t xml:space="preserve"> </w:t>
      </w:r>
      <w:proofErr w:type="spellStart"/>
      <w:r w:rsidR="007F3EFE">
        <w:t>and</w:t>
      </w:r>
      <w:proofErr w:type="spellEnd"/>
      <w:r w:rsidRPr="008C442A">
        <w:t xml:space="preserve"> </w:t>
      </w:r>
      <w:proofErr w:type="spellStart"/>
      <w:r w:rsidRPr="008C442A">
        <w:t>Prev</w:t>
      </w:r>
      <w:r w:rsidR="007F3EFE">
        <w:t>ention</w:t>
      </w:r>
      <w:proofErr w:type="spellEnd"/>
      <w:r w:rsidRPr="008C442A">
        <w:t xml:space="preserve"> 20</w:t>
      </w:r>
      <w:r>
        <w:t xml:space="preserve">16 </w:t>
      </w:r>
      <w:proofErr w:type="spellStart"/>
      <w:proofErr w:type="gramStart"/>
      <w:r>
        <w:t>feb</w:t>
      </w:r>
      <w:proofErr w:type="spellEnd"/>
      <w:proofErr w:type="gramEnd"/>
      <w:r w:rsidRPr="008C442A">
        <w:t>;</w:t>
      </w:r>
      <w:r>
        <w:t xml:space="preserve"> 87</w:t>
      </w:r>
      <w:r w:rsidRPr="008C442A">
        <w:t>:</w:t>
      </w:r>
      <w:r>
        <w:t xml:space="preserve"> </w:t>
      </w:r>
      <w:r w:rsidRPr="008C442A">
        <w:t>1-</w:t>
      </w:r>
      <w:r>
        <w:t>7</w:t>
      </w:r>
      <w:r w:rsidRPr="008C442A">
        <w:t>.</w:t>
      </w:r>
    </w:p>
    <w:p w:rsidR="009C0459" w:rsidRPr="00B97367" w:rsidRDefault="009C0459" w:rsidP="00DD7B5B">
      <w:pPr>
        <w:autoSpaceDE w:val="0"/>
        <w:autoSpaceDN w:val="0"/>
        <w:adjustRightInd w:val="0"/>
        <w:jc w:val="both"/>
      </w:pPr>
    </w:p>
    <w:p w:rsidR="00B97367" w:rsidRDefault="00B97367" w:rsidP="00B97367">
      <w:pPr>
        <w:jc w:val="both"/>
      </w:pPr>
      <w:r>
        <w:lastRenderedPageBreak/>
        <w:t xml:space="preserve">14. </w:t>
      </w:r>
      <w:r w:rsidRPr="00BB6878">
        <w:t>Paraná. Instituto Paranaense de Desenvolvimento Econ</w:t>
      </w:r>
      <w:r>
        <w:t xml:space="preserve">ômico e Social. Caderno Estatístico do Estado do Paraná. </w:t>
      </w:r>
      <w:r w:rsidR="0064644C">
        <w:t xml:space="preserve">2017; </w:t>
      </w:r>
      <w:proofErr w:type="spellStart"/>
      <w:r>
        <w:t>Ipardes</w:t>
      </w:r>
      <w:proofErr w:type="spellEnd"/>
      <w:r>
        <w:t xml:space="preserve">: </w:t>
      </w:r>
      <w:r w:rsidR="0064644C">
        <w:t>1-44</w:t>
      </w:r>
      <w:r>
        <w:t>.</w:t>
      </w:r>
    </w:p>
    <w:p w:rsidR="00D34BB2" w:rsidRPr="00C232DA" w:rsidRDefault="00D34BB2" w:rsidP="00314BD7">
      <w:pPr>
        <w:pStyle w:val="Ttulo1"/>
        <w:spacing w:before="0" w:beforeAutospacing="0" w:after="0" w:afterAutospacing="0"/>
        <w:jc w:val="both"/>
        <w:rPr>
          <w:b w:val="0"/>
          <w:sz w:val="24"/>
          <w:szCs w:val="24"/>
        </w:rPr>
      </w:pPr>
    </w:p>
    <w:p w:rsidR="007B5423" w:rsidRPr="00AB7331" w:rsidRDefault="007B5423" w:rsidP="00193C27">
      <w:pPr>
        <w:pStyle w:val="Ttulo3"/>
        <w:shd w:val="clear" w:color="auto" w:fill="FBFBF3"/>
        <w:spacing w:before="0" w:line="240" w:lineRule="auto"/>
        <w:ind w:right="240"/>
        <w:jc w:val="both"/>
        <w:rPr>
          <w:rFonts w:ascii="Times New Roman" w:hAnsi="Times New Roman" w:cs="Times New Roman"/>
          <w:b w:val="0"/>
          <w:color w:val="auto"/>
          <w:sz w:val="24"/>
          <w:szCs w:val="24"/>
        </w:rPr>
      </w:pPr>
      <w:r w:rsidRPr="0035327A">
        <w:rPr>
          <w:rFonts w:ascii="Times New Roman" w:hAnsi="Times New Roman" w:cs="Times New Roman"/>
          <w:b w:val="0"/>
          <w:color w:val="auto"/>
          <w:sz w:val="24"/>
          <w:szCs w:val="24"/>
        </w:rPr>
        <w:t xml:space="preserve">15. Oliveira NLB de, Souza EM </w:t>
      </w:r>
      <w:proofErr w:type="gramStart"/>
      <w:r w:rsidRPr="0035327A">
        <w:rPr>
          <w:rFonts w:ascii="Times New Roman" w:hAnsi="Times New Roman" w:cs="Times New Roman"/>
          <w:b w:val="0"/>
          <w:color w:val="auto"/>
          <w:sz w:val="24"/>
          <w:szCs w:val="24"/>
        </w:rPr>
        <w:t>de,</w:t>
      </w:r>
      <w:proofErr w:type="gramEnd"/>
      <w:r w:rsidRPr="0035327A">
        <w:rPr>
          <w:rFonts w:ascii="Times New Roman" w:hAnsi="Times New Roman" w:cs="Times New Roman"/>
          <w:b w:val="0"/>
          <w:color w:val="auto"/>
          <w:sz w:val="24"/>
          <w:szCs w:val="24"/>
        </w:rPr>
        <w:t xml:space="preserve"> Cunha GZ </w:t>
      </w:r>
      <w:proofErr w:type="spellStart"/>
      <w:r w:rsidRPr="0035327A">
        <w:rPr>
          <w:rFonts w:ascii="Times New Roman" w:hAnsi="Times New Roman" w:cs="Times New Roman"/>
          <w:b w:val="0"/>
          <w:color w:val="auto"/>
          <w:sz w:val="24"/>
          <w:szCs w:val="24"/>
        </w:rPr>
        <w:t>da.</w:t>
      </w:r>
      <w:proofErr w:type="spellEnd"/>
      <w:r w:rsidRPr="0035327A">
        <w:rPr>
          <w:rFonts w:ascii="Times New Roman" w:hAnsi="Times New Roman" w:cs="Times New Roman"/>
          <w:b w:val="0"/>
          <w:color w:val="auto"/>
          <w:sz w:val="24"/>
          <w:szCs w:val="24"/>
        </w:rPr>
        <w:t xml:space="preserve"> </w:t>
      </w:r>
      <w:r w:rsidRPr="0035327A">
        <w:rPr>
          <w:rFonts w:ascii="Times New Roman" w:hAnsi="Times New Roman" w:cs="Times New Roman"/>
          <w:b w:val="0"/>
          <w:color w:val="auto"/>
          <w:sz w:val="24"/>
          <w:szCs w:val="24"/>
          <w:lang w:val="en-US"/>
        </w:rPr>
        <w:t>Motorcyclist mortality in traffic accidents: temporal trend</w:t>
      </w:r>
      <w:r w:rsidR="005B09FE">
        <w:rPr>
          <w:rFonts w:ascii="Times New Roman" w:hAnsi="Times New Roman" w:cs="Times New Roman"/>
          <w:b w:val="0"/>
          <w:color w:val="auto"/>
          <w:sz w:val="24"/>
          <w:szCs w:val="24"/>
          <w:lang w:val="en-US"/>
        </w:rPr>
        <w:t xml:space="preserve"> between 1997 and 2012. </w:t>
      </w:r>
      <w:r w:rsidR="00FD50DD" w:rsidRPr="00FD50DD">
        <w:rPr>
          <w:rFonts w:ascii="Times New Roman" w:hAnsi="Times New Roman" w:cs="Times New Roman"/>
          <w:b w:val="0"/>
          <w:color w:val="auto"/>
          <w:sz w:val="24"/>
          <w:szCs w:val="24"/>
        </w:rPr>
        <w:t xml:space="preserve">Ciênc., </w:t>
      </w:r>
      <w:proofErr w:type="spellStart"/>
      <w:r w:rsidR="00FD50DD" w:rsidRPr="00FD50DD">
        <w:rPr>
          <w:rFonts w:ascii="Times New Roman" w:hAnsi="Times New Roman" w:cs="Times New Roman"/>
          <w:b w:val="0"/>
          <w:color w:val="auto"/>
          <w:sz w:val="24"/>
          <w:szCs w:val="24"/>
        </w:rPr>
        <w:t>Cuid</w:t>
      </w:r>
      <w:proofErr w:type="spellEnd"/>
      <w:r w:rsidR="00FD50DD" w:rsidRPr="00FD50DD">
        <w:rPr>
          <w:rFonts w:ascii="Times New Roman" w:hAnsi="Times New Roman" w:cs="Times New Roman"/>
          <w:b w:val="0"/>
          <w:color w:val="auto"/>
          <w:sz w:val="24"/>
          <w:szCs w:val="24"/>
        </w:rPr>
        <w:t>. Saúde</w:t>
      </w:r>
      <w:r w:rsidRPr="0035327A">
        <w:rPr>
          <w:rFonts w:ascii="Times New Roman" w:hAnsi="Times New Roman" w:cs="Times New Roman"/>
          <w:b w:val="0"/>
          <w:color w:val="auto"/>
          <w:sz w:val="24"/>
          <w:szCs w:val="24"/>
          <w:lang w:val="en-US"/>
        </w:rPr>
        <w:t xml:space="preserve">. </w:t>
      </w:r>
      <w:r w:rsidRPr="00AB7331">
        <w:rPr>
          <w:rFonts w:ascii="Times New Roman" w:hAnsi="Times New Roman" w:cs="Times New Roman"/>
          <w:b w:val="0"/>
          <w:color w:val="auto"/>
          <w:sz w:val="24"/>
          <w:szCs w:val="24"/>
        </w:rPr>
        <w:t>2017 jan/mar; 16(1): 1-7.</w:t>
      </w:r>
    </w:p>
    <w:p w:rsidR="00193C27" w:rsidRPr="00AB7331" w:rsidRDefault="00193C27" w:rsidP="00193C27">
      <w:pPr>
        <w:rPr>
          <w:lang w:eastAsia="en-US"/>
        </w:rPr>
      </w:pPr>
    </w:p>
    <w:p w:rsidR="00AB7331" w:rsidRPr="002B381D" w:rsidRDefault="00193C27" w:rsidP="00AB7331">
      <w:pPr>
        <w:pStyle w:val="Default"/>
        <w:jc w:val="both"/>
        <w:rPr>
          <w:rStyle w:val="A7"/>
          <w:rFonts w:ascii="Times New Roman" w:hAnsi="Times New Roman" w:cs="Times New Roman"/>
          <w:sz w:val="24"/>
          <w:szCs w:val="24"/>
          <w:lang w:val="en-US"/>
        </w:rPr>
      </w:pPr>
      <w:r w:rsidRPr="00AB7331">
        <w:rPr>
          <w:rFonts w:ascii="Times New Roman" w:hAnsi="Times New Roman" w:cs="Times New Roman"/>
        </w:rPr>
        <w:t>16.</w:t>
      </w:r>
      <w:r w:rsidR="00AB7331" w:rsidRPr="00AB7331">
        <w:rPr>
          <w:rFonts w:ascii="Times New Roman" w:hAnsi="Times New Roman" w:cs="Times New Roman"/>
        </w:rPr>
        <w:t xml:space="preserve"> Silva e Dutra FCM, Costa LC, Sampaio RF. </w:t>
      </w:r>
      <w:r w:rsidR="00AB7331" w:rsidRPr="00AB7331">
        <w:rPr>
          <w:rFonts w:ascii="Times New Roman" w:hAnsi="Times New Roman" w:cs="Times New Roman"/>
          <w:color w:val="auto"/>
        </w:rPr>
        <w:t xml:space="preserve"> </w:t>
      </w:r>
      <w:r w:rsidR="00AB7331" w:rsidRPr="00AB7331">
        <w:rPr>
          <w:rFonts w:ascii="Times New Roman" w:hAnsi="Times New Roman" w:cs="Times New Roman"/>
          <w:iCs/>
          <w:lang w:val="en-US"/>
        </w:rPr>
        <w:t xml:space="preserve">The influence of medical work leaves in the perception of health and quality of life of adult individuals. </w:t>
      </w:r>
      <w:proofErr w:type="spellStart"/>
      <w:proofErr w:type="gramStart"/>
      <w:r w:rsidR="00AB7331" w:rsidRPr="002B381D">
        <w:rPr>
          <w:rStyle w:val="A7"/>
          <w:rFonts w:ascii="Times New Roman" w:hAnsi="Times New Roman" w:cs="Times New Roman"/>
          <w:sz w:val="24"/>
          <w:szCs w:val="24"/>
          <w:lang w:val="en-US"/>
        </w:rPr>
        <w:t>Fisioter</w:t>
      </w:r>
      <w:proofErr w:type="spellEnd"/>
      <w:r w:rsidR="00AB7331" w:rsidRPr="002B381D">
        <w:rPr>
          <w:rStyle w:val="A7"/>
          <w:rFonts w:ascii="Times New Roman" w:hAnsi="Times New Roman" w:cs="Times New Roman"/>
          <w:sz w:val="24"/>
          <w:szCs w:val="24"/>
          <w:lang w:val="en-US"/>
        </w:rPr>
        <w:t>.</w:t>
      </w:r>
      <w:proofErr w:type="gramEnd"/>
      <w:r w:rsidR="00AB7331" w:rsidRPr="002B381D">
        <w:rPr>
          <w:rStyle w:val="A7"/>
          <w:rFonts w:ascii="Times New Roman" w:hAnsi="Times New Roman" w:cs="Times New Roman"/>
          <w:sz w:val="24"/>
          <w:szCs w:val="24"/>
          <w:lang w:val="en-US"/>
        </w:rPr>
        <w:t xml:space="preserve"> </w:t>
      </w:r>
      <w:proofErr w:type="spellStart"/>
      <w:proofErr w:type="gramStart"/>
      <w:r w:rsidR="00AB7331" w:rsidRPr="002B381D">
        <w:rPr>
          <w:rStyle w:val="A7"/>
          <w:rFonts w:ascii="Times New Roman" w:hAnsi="Times New Roman" w:cs="Times New Roman"/>
          <w:sz w:val="24"/>
          <w:szCs w:val="24"/>
          <w:lang w:val="en-US"/>
        </w:rPr>
        <w:t>Pesq</w:t>
      </w:r>
      <w:r w:rsidR="007F3EFE">
        <w:rPr>
          <w:rStyle w:val="A7"/>
          <w:rFonts w:ascii="Times New Roman" w:hAnsi="Times New Roman" w:cs="Times New Roman"/>
          <w:sz w:val="24"/>
          <w:szCs w:val="24"/>
          <w:lang w:val="en-US"/>
        </w:rPr>
        <w:t>ui</w:t>
      </w:r>
      <w:proofErr w:type="spellEnd"/>
      <w:r w:rsidR="00AB7331" w:rsidRPr="002B381D">
        <w:rPr>
          <w:rStyle w:val="A7"/>
          <w:rFonts w:ascii="Times New Roman" w:hAnsi="Times New Roman" w:cs="Times New Roman"/>
          <w:sz w:val="24"/>
          <w:szCs w:val="24"/>
          <w:lang w:val="en-US"/>
        </w:rPr>
        <w:t>.</w:t>
      </w:r>
      <w:proofErr w:type="gramEnd"/>
      <w:r w:rsidR="00AB7331" w:rsidRPr="002B381D">
        <w:rPr>
          <w:rStyle w:val="A7"/>
          <w:rFonts w:ascii="Times New Roman" w:hAnsi="Times New Roman" w:cs="Times New Roman"/>
          <w:sz w:val="24"/>
          <w:szCs w:val="24"/>
          <w:lang w:val="en-US"/>
        </w:rPr>
        <w:t xml:space="preserve"> 2016 </w:t>
      </w:r>
      <w:proofErr w:type="spellStart"/>
      <w:r w:rsidR="00AB7331" w:rsidRPr="002B381D">
        <w:rPr>
          <w:rStyle w:val="A7"/>
          <w:rFonts w:ascii="Times New Roman" w:hAnsi="Times New Roman" w:cs="Times New Roman"/>
          <w:sz w:val="24"/>
          <w:szCs w:val="24"/>
          <w:lang w:val="en-US"/>
        </w:rPr>
        <w:t>jan</w:t>
      </w:r>
      <w:proofErr w:type="spellEnd"/>
      <w:r w:rsidR="00AB7331" w:rsidRPr="002B381D">
        <w:rPr>
          <w:rStyle w:val="A7"/>
          <w:rFonts w:ascii="Times New Roman" w:hAnsi="Times New Roman" w:cs="Times New Roman"/>
          <w:sz w:val="24"/>
          <w:szCs w:val="24"/>
          <w:lang w:val="en-US"/>
        </w:rPr>
        <w:t>/mar; 23(1): 98-104.</w:t>
      </w:r>
    </w:p>
    <w:p w:rsidR="00D8685C" w:rsidRPr="002B381D" w:rsidRDefault="00D8685C" w:rsidP="00AB7331">
      <w:pPr>
        <w:pStyle w:val="Default"/>
        <w:jc w:val="both"/>
        <w:rPr>
          <w:lang w:val="en-US"/>
        </w:rPr>
      </w:pPr>
    </w:p>
    <w:p w:rsidR="00D8685C" w:rsidRDefault="00D8685C" w:rsidP="00AB7331">
      <w:pPr>
        <w:pStyle w:val="Default"/>
        <w:jc w:val="both"/>
        <w:rPr>
          <w:rFonts w:ascii="Times New Roman" w:hAnsi="Times New Roman" w:cs="Times New Roman"/>
        </w:rPr>
      </w:pPr>
      <w:r w:rsidRPr="002004F2">
        <w:rPr>
          <w:rFonts w:ascii="Times New Roman" w:hAnsi="Times New Roman" w:cs="Times New Roman"/>
          <w:lang w:val="en-US"/>
        </w:rPr>
        <w:t xml:space="preserve">17. </w:t>
      </w:r>
      <w:proofErr w:type="spellStart"/>
      <w:r w:rsidRPr="002004F2">
        <w:rPr>
          <w:rFonts w:ascii="Times New Roman" w:hAnsi="Times New Roman" w:cs="Times New Roman"/>
          <w:lang w:val="en-US"/>
        </w:rPr>
        <w:t>Fernandes</w:t>
      </w:r>
      <w:proofErr w:type="spellEnd"/>
      <w:r w:rsidRPr="002004F2">
        <w:rPr>
          <w:rFonts w:ascii="Times New Roman" w:hAnsi="Times New Roman" w:cs="Times New Roman"/>
          <w:lang w:val="en-US"/>
        </w:rPr>
        <w:t xml:space="preserve"> YCF, </w:t>
      </w:r>
      <w:proofErr w:type="spellStart"/>
      <w:r w:rsidRPr="002004F2">
        <w:rPr>
          <w:rFonts w:ascii="Times New Roman" w:hAnsi="Times New Roman" w:cs="Times New Roman"/>
          <w:lang w:val="en-US"/>
        </w:rPr>
        <w:t>Favaretto</w:t>
      </w:r>
      <w:proofErr w:type="spellEnd"/>
      <w:r w:rsidRPr="002004F2">
        <w:rPr>
          <w:rFonts w:ascii="Times New Roman" w:hAnsi="Times New Roman" w:cs="Times New Roman"/>
          <w:lang w:val="en-US"/>
        </w:rPr>
        <w:t xml:space="preserve"> PE, </w:t>
      </w:r>
      <w:proofErr w:type="spellStart"/>
      <w:r w:rsidRPr="002004F2">
        <w:rPr>
          <w:rFonts w:ascii="Times New Roman" w:hAnsi="Times New Roman" w:cs="Times New Roman"/>
          <w:lang w:val="en-US"/>
        </w:rPr>
        <w:t>Slaviero</w:t>
      </w:r>
      <w:proofErr w:type="spellEnd"/>
      <w:r w:rsidRPr="002004F2">
        <w:rPr>
          <w:rFonts w:ascii="Times New Roman" w:hAnsi="Times New Roman" w:cs="Times New Roman"/>
          <w:lang w:val="en-US"/>
        </w:rPr>
        <w:t xml:space="preserve"> RS, </w:t>
      </w:r>
      <w:proofErr w:type="spellStart"/>
      <w:r w:rsidRPr="002004F2">
        <w:rPr>
          <w:rFonts w:ascii="Times New Roman" w:hAnsi="Times New Roman" w:cs="Times New Roman"/>
          <w:lang w:val="en-US"/>
        </w:rPr>
        <w:t>Griep</w:t>
      </w:r>
      <w:proofErr w:type="spellEnd"/>
      <w:r w:rsidRPr="002004F2">
        <w:rPr>
          <w:rFonts w:ascii="Times New Roman" w:hAnsi="Times New Roman" w:cs="Times New Roman"/>
          <w:lang w:val="en-US"/>
        </w:rPr>
        <w:t xml:space="preserve"> R. Traffic accidents and victims treated at a pre-hospital service</w:t>
      </w:r>
      <w:r>
        <w:rPr>
          <w:rFonts w:ascii="Times New Roman" w:hAnsi="Times New Roman" w:cs="Times New Roman"/>
          <w:lang w:val="en-US"/>
        </w:rPr>
        <w:t xml:space="preserve"> in P</w:t>
      </w:r>
      <w:r w:rsidRPr="00D8685C">
        <w:rPr>
          <w:rFonts w:ascii="Times New Roman" w:hAnsi="Times New Roman" w:cs="Times New Roman"/>
          <w:lang w:val="en-US"/>
        </w:rPr>
        <w:t>araná</w:t>
      </w:r>
      <w:r>
        <w:rPr>
          <w:rFonts w:ascii="Times New Roman" w:hAnsi="Times New Roman" w:cs="Times New Roman"/>
          <w:lang w:val="en-US"/>
        </w:rPr>
        <w:t xml:space="preserve">. </w:t>
      </w:r>
      <w:r w:rsidRPr="00D8685C">
        <w:rPr>
          <w:rFonts w:ascii="Times New Roman" w:hAnsi="Times New Roman" w:cs="Times New Roman"/>
        </w:rPr>
        <w:t>Rev. Med. UFPR. 2016; 3(3): 114-21.</w:t>
      </w:r>
    </w:p>
    <w:p w:rsidR="002004F2" w:rsidRPr="001B394A" w:rsidRDefault="002004F2" w:rsidP="002004F2">
      <w:pPr>
        <w:pStyle w:val="Ttulo1"/>
        <w:shd w:val="clear" w:color="auto" w:fill="FFFFFF"/>
        <w:spacing w:before="120" w:after="120"/>
        <w:jc w:val="both"/>
        <w:rPr>
          <w:b w:val="0"/>
          <w:sz w:val="24"/>
          <w:szCs w:val="24"/>
          <w:shd w:val="clear" w:color="auto" w:fill="FFFFFF"/>
        </w:rPr>
      </w:pPr>
      <w:r w:rsidRPr="002004F2">
        <w:rPr>
          <w:b w:val="0"/>
          <w:sz w:val="24"/>
          <w:szCs w:val="24"/>
        </w:rPr>
        <w:t xml:space="preserve">18. </w:t>
      </w:r>
      <w:hyperlink r:id="rId26" w:history="1">
        <w:r w:rsidRPr="002004F2">
          <w:rPr>
            <w:rStyle w:val="Hyperlink"/>
            <w:b w:val="0"/>
            <w:color w:val="auto"/>
            <w:sz w:val="24"/>
            <w:szCs w:val="24"/>
            <w:u w:val="none"/>
            <w:shd w:val="clear" w:color="auto" w:fill="FFFFFF"/>
          </w:rPr>
          <w:t>Cavalcanti AL</w:t>
        </w:r>
      </w:hyperlink>
      <w:r w:rsidRPr="002004F2">
        <w:rPr>
          <w:b w:val="0"/>
          <w:sz w:val="24"/>
          <w:szCs w:val="24"/>
          <w:shd w:val="clear" w:color="auto" w:fill="FFFFFF"/>
        </w:rPr>
        <w:t>,</w:t>
      </w:r>
      <w:r w:rsidRPr="002004F2">
        <w:rPr>
          <w:rStyle w:val="apple-converted-space"/>
          <w:b w:val="0"/>
          <w:sz w:val="24"/>
          <w:szCs w:val="24"/>
          <w:shd w:val="clear" w:color="auto" w:fill="FFFFFF"/>
        </w:rPr>
        <w:t> </w:t>
      </w:r>
      <w:hyperlink r:id="rId27" w:history="1">
        <w:r w:rsidRPr="002004F2">
          <w:rPr>
            <w:rStyle w:val="Hyperlink"/>
            <w:b w:val="0"/>
            <w:color w:val="auto"/>
            <w:sz w:val="24"/>
            <w:szCs w:val="24"/>
            <w:u w:val="none"/>
            <w:shd w:val="clear" w:color="auto" w:fill="FFFFFF"/>
          </w:rPr>
          <w:t>Lucena BM</w:t>
        </w:r>
      </w:hyperlink>
      <w:r w:rsidRPr="002004F2">
        <w:rPr>
          <w:b w:val="0"/>
          <w:sz w:val="24"/>
          <w:szCs w:val="24"/>
          <w:shd w:val="clear" w:color="auto" w:fill="FFFFFF"/>
        </w:rPr>
        <w:t>,</w:t>
      </w:r>
      <w:r w:rsidRPr="002004F2">
        <w:rPr>
          <w:rStyle w:val="apple-converted-space"/>
          <w:b w:val="0"/>
          <w:sz w:val="24"/>
          <w:szCs w:val="24"/>
          <w:shd w:val="clear" w:color="auto" w:fill="FFFFFF"/>
        </w:rPr>
        <w:t> </w:t>
      </w:r>
      <w:hyperlink r:id="rId28" w:history="1">
        <w:r w:rsidRPr="002004F2">
          <w:rPr>
            <w:rStyle w:val="Hyperlink"/>
            <w:b w:val="0"/>
            <w:color w:val="auto"/>
            <w:sz w:val="24"/>
            <w:szCs w:val="24"/>
            <w:u w:val="none"/>
            <w:shd w:val="clear" w:color="auto" w:fill="FFFFFF"/>
          </w:rPr>
          <w:t>Rodrigues IS</w:t>
        </w:r>
      </w:hyperlink>
      <w:r w:rsidRPr="002004F2">
        <w:rPr>
          <w:b w:val="0"/>
          <w:sz w:val="24"/>
          <w:szCs w:val="24"/>
          <w:shd w:val="clear" w:color="auto" w:fill="FFFFFF"/>
        </w:rPr>
        <w:t>,</w:t>
      </w:r>
      <w:r w:rsidRPr="002004F2">
        <w:rPr>
          <w:rStyle w:val="apple-converted-space"/>
          <w:b w:val="0"/>
          <w:sz w:val="24"/>
          <w:szCs w:val="24"/>
          <w:shd w:val="clear" w:color="auto" w:fill="FFFFFF"/>
        </w:rPr>
        <w:t> </w:t>
      </w:r>
      <w:hyperlink r:id="rId29" w:history="1">
        <w:r w:rsidRPr="002004F2">
          <w:rPr>
            <w:rStyle w:val="Hyperlink"/>
            <w:b w:val="0"/>
            <w:color w:val="auto"/>
            <w:sz w:val="24"/>
            <w:szCs w:val="24"/>
            <w:u w:val="none"/>
            <w:shd w:val="clear" w:color="auto" w:fill="FFFFFF"/>
          </w:rPr>
          <w:t>Silva AL</w:t>
        </w:r>
      </w:hyperlink>
      <w:r w:rsidRPr="002004F2">
        <w:rPr>
          <w:b w:val="0"/>
          <w:sz w:val="24"/>
          <w:szCs w:val="24"/>
          <w:shd w:val="clear" w:color="auto" w:fill="FFFFFF"/>
        </w:rPr>
        <w:t>,</w:t>
      </w:r>
      <w:r w:rsidRPr="002004F2">
        <w:rPr>
          <w:rStyle w:val="apple-converted-space"/>
          <w:b w:val="0"/>
          <w:sz w:val="24"/>
          <w:szCs w:val="24"/>
          <w:shd w:val="clear" w:color="auto" w:fill="FFFFFF"/>
        </w:rPr>
        <w:t> </w:t>
      </w:r>
      <w:hyperlink r:id="rId30" w:history="1">
        <w:r w:rsidRPr="002004F2">
          <w:rPr>
            <w:rStyle w:val="Hyperlink"/>
            <w:b w:val="0"/>
            <w:color w:val="auto"/>
            <w:sz w:val="24"/>
            <w:szCs w:val="24"/>
            <w:u w:val="none"/>
            <w:shd w:val="clear" w:color="auto" w:fill="FFFFFF"/>
          </w:rPr>
          <w:t>Lima TT</w:t>
        </w:r>
      </w:hyperlink>
      <w:r w:rsidRPr="002004F2">
        <w:rPr>
          <w:b w:val="0"/>
          <w:sz w:val="24"/>
          <w:szCs w:val="24"/>
          <w:shd w:val="clear" w:color="auto" w:fill="FFFFFF"/>
        </w:rPr>
        <w:t>,</w:t>
      </w:r>
      <w:r w:rsidRPr="002004F2">
        <w:rPr>
          <w:rStyle w:val="apple-converted-space"/>
          <w:b w:val="0"/>
          <w:sz w:val="24"/>
          <w:szCs w:val="24"/>
          <w:shd w:val="clear" w:color="auto" w:fill="FFFFFF"/>
        </w:rPr>
        <w:t> </w:t>
      </w:r>
      <w:hyperlink r:id="rId31" w:history="1">
        <w:r w:rsidRPr="002004F2">
          <w:rPr>
            <w:rStyle w:val="Hyperlink"/>
            <w:b w:val="0"/>
            <w:color w:val="auto"/>
            <w:sz w:val="24"/>
            <w:szCs w:val="24"/>
            <w:u w:val="none"/>
            <w:shd w:val="clear" w:color="auto" w:fill="FFFFFF"/>
          </w:rPr>
          <w:t>Xavier AF</w:t>
        </w:r>
      </w:hyperlink>
      <w:r w:rsidRPr="002004F2">
        <w:rPr>
          <w:b w:val="0"/>
          <w:sz w:val="24"/>
          <w:szCs w:val="24"/>
          <w:shd w:val="clear" w:color="auto" w:fill="FFFFFF"/>
        </w:rPr>
        <w:t xml:space="preserve">. </w:t>
      </w:r>
      <w:r w:rsidRPr="002004F2">
        <w:rPr>
          <w:b w:val="0"/>
          <w:sz w:val="24"/>
          <w:szCs w:val="24"/>
          <w:lang w:val="en-US"/>
        </w:rPr>
        <w:t xml:space="preserve">Motorcycle accidents: morbidity and associated factors in a city of northeast of Brazil. </w:t>
      </w:r>
      <w:hyperlink r:id="rId32" w:tooltip="Tanzania journal of health research." w:history="1">
        <w:proofErr w:type="spellStart"/>
        <w:r w:rsidRPr="001B394A">
          <w:rPr>
            <w:rStyle w:val="Hyperlink"/>
            <w:b w:val="0"/>
            <w:color w:val="auto"/>
            <w:sz w:val="24"/>
            <w:szCs w:val="24"/>
            <w:u w:val="none"/>
            <w:shd w:val="clear" w:color="auto" w:fill="FFFFFF"/>
          </w:rPr>
          <w:t>Tanzan</w:t>
        </w:r>
        <w:r w:rsidR="007F3EFE">
          <w:rPr>
            <w:rStyle w:val="Hyperlink"/>
            <w:b w:val="0"/>
            <w:color w:val="auto"/>
            <w:sz w:val="24"/>
            <w:szCs w:val="24"/>
            <w:u w:val="none"/>
            <w:shd w:val="clear" w:color="auto" w:fill="FFFFFF"/>
          </w:rPr>
          <w:t>ia</w:t>
        </w:r>
        <w:proofErr w:type="spellEnd"/>
        <w:r w:rsidRPr="001B394A">
          <w:rPr>
            <w:rStyle w:val="Hyperlink"/>
            <w:b w:val="0"/>
            <w:color w:val="auto"/>
            <w:sz w:val="24"/>
            <w:szCs w:val="24"/>
            <w:u w:val="none"/>
            <w:shd w:val="clear" w:color="auto" w:fill="FFFFFF"/>
          </w:rPr>
          <w:t xml:space="preserve"> </w:t>
        </w:r>
        <w:proofErr w:type="spellStart"/>
        <w:r w:rsidRPr="001B394A">
          <w:rPr>
            <w:rStyle w:val="Hyperlink"/>
            <w:b w:val="0"/>
            <w:color w:val="auto"/>
            <w:sz w:val="24"/>
            <w:szCs w:val="24"/>
            <w:u w:val="none"/>
            <w:shd w:val="clear" w:color="auto" w:fill="FFFFFF"/>
          </w:rPr>
          <w:t>J</w:t>
        </w:r>
        <w:r w:rsidR="007F3EFE">
          <w:rPr>
            <w:rStyle w:val="Hyperlink"/>
            <w:b w:val="0"/>
            <w:color w:val="auto"/>
            <w:sz w:val="24"/>
            <w:szCs w:val="24"/>
            <w:u w:val="none"/>
            <w:shd w:val="clear" w:color="auto" w:fill="FFFFFF"/>
          </w:rPr>
          <w:t>ournal</w:t>
        </w:r>
        <w:proofErr w:type="spellEnd"/>
        <w:r w:rsidRPr="001B394A">
          <w:rPr>
            <w:rStyle w:val="Hyperlink"/>
            <w:b w:val="0"/>
            <w:color w:val="auto"/>
            <w:sz w:val="24"/>
            <w:szCs w:val="24"/>
            <w:u w:val="none"/>
            <w:shd w:val="clear" w:color="auto" w:fill="FFFFFF"/>
          </w:rPr>
          <w:t xml:space="preserve"> </w:t>
        </w:r>
        <w:proofErr w:type="spellStart"/>
        <w:r w:rsidRPr="001B394A">
          <w:rPr>
            <w:rStyle w:val="Hyperlink"/>
            <w:b w:val="0"/>
            <w:color w:val="auto"/>
            <w:sz w:val="24"/>
            <w:szCs w:val="24"/>
            <w:u w:val="none"/>
            <w:shd w:val="clear" w:color="auto" w:fill="FFFFFF"/>
          </w:rPr>
          <w:t>Health</w:t>
        </w:r>
        <w:proofErr w:type="spellEnd"/>
        <w:r w:rsidRPr="001B394A">
          <w:rPr>
            <w:rStyle w:val="Hyperlink"/>
            <w:b w:val="0"/>
            <w:color w:val="auto"/>
            <w:sz w:val="24"/>
            <w:szCs w:val="24"/>
            <w:u w:val="none"/>
            <w:shd w:val="clear" w:color="auto" w:fill="FFFFFF"/>
          </w:rPr>
          <w:t xml:space="preserve"> Res</w:t>
        </w:r>
        <w:r w:rsidR="007F3EFE">
          <w:rPr>
            <w:rStyle w:val="Hyperlink"/>
            <w:b w:val="0"/>
            <w:color w:val="auto"/>
            <w:sz w:val="24"/>
            <w:szCs w:val="24"/>
            <w:u w:val="none"/>
            <w:shd w:val="clear" w:color="auto" w:fill="FFFFFF"/>
          </w:rPr>
          <w:t>earch</w:t>
        </w:r>
      </w:hyperlink>
      <w:r w:rsidRPr="002004F2">
        <w:rPr>
          <w:b w:val="0"/>
          <w:sz w:val="24"/>
          <w:szCs w:val="24"/>
        </w:rPr>
        <w:t xml:space="preserve"> </w:t>
      </w:r>
      <w:r w:rsidRPr="001B394A">
        <w:rPr>
          <w:b w:val="0"/>
          <w:sz w:val="24"/>
          <w:szCs w:val="24"/>
          <w:shd w:val="clear" w:color="auto" w:fill="FFFFFF"/>
        </w:rPr>
        <w:t xml:space="preserve">2013 </w:t>
      </w:r>
      <w:proofErr w:type="spellStart"/>
      <w:r w:rsidRPr="001B394A">
        <w:rPr>
          <w:b w:val="0"/>
          <w:sz w:val="24"/>
          <w:szCs w:val="24"/>
          <w:shd w:val="clear" w:color="auto" w:fill="FFFFFF"/>
        </w:rPr>
        <w:t>oct</w:t>
      </w:r>
      <w:proofErr w:type="spellEnd"/>
      <w:r w:rsidRPr="001B394A">
        <w:rPr>
          <w:b w:val="0"/>
          <w:sz w:val="24"/>
          <w:szCs w:val="24"/>
          <w:shd w:val="clear" w:color="auto" w:fill="FFFFFF"/>
        </w:rPr>
        <w:t>; 15(4): 209-15.</w:t>
      </w:r>
    </w:p>
    <w:p w:rsidR="006345A5" w:rsidRPr="00B8405D" w:rsidRDefault="006345A5" w:rsidP="006345A5">
      <w:pPr>
        <w:pStyle w:val="NormalWeb"/>
        <w:jc w:val="both"/>
      </w:pPr>
      <w:r w:rsidRPr="006345A5">
        <w:rPr>
          <w:shd w:val="clear" w:color="auto" w:fill="FFFFFF"/>
        </w:rPr>
        <w:t xml:space="preserve">19. </w:t>
      </w:r>
      <w:r w:rsidRPr="006345A5">
        <w:t>Morais Neto OL de, Montenegro M de MS, Monteiro RA, Siqueira Junior JB,</w:t>
      </w:r>
      <w:r w:rsidR="003E216F">
        <w:t xml:space="preserve"> </w:t>
      </w:r>
      <w:r w:rsidRPr="006345A5">
        <w:t xml:space="preserve">da Silva MMA, de Lima CM, </w:t>
      </w:r>
      <w:proofErr w:type="spellStart"/>
      <w:r w:rsidRPr="006345A5">
        <w:t>et</w:t>
      </w:r>
      <w:proofErr w:type="spellEnd"/>
      <w:r w:rsidRPr="006345A5">
        <w:t xml:space="preserve"> al. </w:t>
      </w:r>
      <w:r w:rsidRPr="006345A5">
        <w:rPr>
          <w:lang w:val="en-US"/>
        </w:rPr>
        <w:t xml:space="preserve">Mortality due to Road traffic accidents in Brazil in the last decade: </w:t>
      </w:r>
      <w:proofErr w:type="spellStart"/>
      <w:r w:rsidRPr="006345A5">
        <w:rPr>
          <w:lang w:val="en-US"/>
        </w:rPr>
        <w:t>trands</w:t>
      </w:r>
      <w:proofErr w:type="spellEnd"/>
      <w:r w:rsidRPr="006345A5">
        <w:rPr>
          <w:lang w:val="en-US"/>
        </w:rPr>
        <w:t xml:space="preserve"> and risk clusters. </w:t>
      </w:r>
      <w:proofErr w:type="spellStart"/>
      <w:proofErr w:type="gramStart"/>
      <w:r w:rsidRPr="00F126E1">
        <w:rPr>
          <w:lang w:val="en-US"/>
        </w:rPr>
        <w:t>Cienc</w:t>
      </w:r>
      <w:proofErr w:type="spellEnd"/>
      <w:r w:rsidR="00F126E1">
        <w:rPr>
          <w:lang w:val="en-US"/>
        </w:rPr>
        <w:t>.</w:t>
      </w:r>
      <w:proofErr w:type="gramEnd"/>
      <w:r w:rsidRPr="00F126E1">
        <w:rPr>
          <w:lang w:val="en-US"/>
        </w:rPr>
        <w:t xml:space="preserve"> </w:t>
      </w:r>
      <w:proofErr w:type="spellStart"/>
      <w:r w:rsidRPr="00F126E1">
        <w:rPr>
          <w:lang w:val="en-US"/>
        </w:rPr>
        <w:t>Saúde</w:t>
      </w:r>
      <w:proofErr w:type="spellEnd"/>
      <w:r w:rsidRPr="00F126E1">
        <w:rPr>
          <w:lang w:val="en-US"/>
        </w:rPr>
        <w:t xml:space="preserve"> Colet. </w:t>
      </w:r>
      <w:r w:rsidRPr="00B8405D">
        <w:t xml:space="preserve">2012 </w:t>
      </w:r>
      <w:proofErr w:type="spellStart"/>
      <w:r w:rsidRPr="00B8405D">
        <w:t>sep</w:t>
      </w:r>
      <w:proofErr w:type="spellEnd"/>
      <w:r w:rsidRPr="00B8405D">
        <w:t>; 17(9): 2223-36.</w:t>
      </w:r>
    </w:p>
    <w:p w:rsidR="00A20B8E" w:rsidRPr="001B394A" w:rsidRDefault="006641EE" w:rsidP="00A20B8E">
      <w:pPr>
        <w:pStyle w:val="Ttulo3"/>
        <w:shd w:val="clear" w:color="auto" w:fill="FFFFFF"/>
        <w:jc w:val="both"/>
        <w:rPr>
          <w:rFonts w:ascii="Times New Roman" w:hAnsi="Times New Roman" w:cs="Times New Roman"/>
          <w:b w:val="0"/>
          <w:color w:val="auto"/>
          <w:sz w:val="24"/>
          <w:szCs w:val="24"/>
          <w:lang w:val="en-US"/>
        </w:rPr>
      </w:pPr>
      <w:r w:rsidRPr="00A20B8E">
        <w:rPr>
          <w:rFonts w:ascii="Times New Roman" w:hAnsi="Times New Roman" w:cs="Times New Roman"/>
          <w:b w:val="0"/>
          <w:color w:val="auto"/>
          <w:sz w:val="24"/>
          <w:szCs w:val="24"/>
        </w:rPr>
        <w:t xml:space="preserve">20. </w:t>
      </w:r>
      <w:r w:rsidRPr="00A20B8E">
        <w:rPr>
          <w:rStyle w:val="author-name"/>
          <w:rFonts w:ascii="Times New Roman" w:hAnsi="Times New Roman" w:cs="Times New Roman"/>
          <w:b w:val="0"/>
          <w:bCs w:val="0"/>
          <w:color w:val="auto"/>
          <w:sz w:val="24"/>
          <w:szCs w:val="24"/>
        </w:rPr>
        <w:t xml:space="preserve">Ladeira </w:t>
      </w:r>
      <w:proofErr w:type="gramStart"/>
      <w:r w:rsidRPr="00A20B8E">
        <w:rPr>
          <w:rStyle w:val="author-name"/>
          <w:rFonts w:ascii="Times New Roman" w:hAnsi="Times New Roman" w:cs="Times New Roman"/>
          <w:b w:val="0"/>
          <w:bCs w:val="0"/>
          <w:color w:val="auto"/>
          <w:sz w:val="24"/>
          <w:szCs w:val="24"/>
        </w:rPr>
        <w:t>RM,</w:t>
      </w:r>
      <w:proofErr w:type="gramEnd"/>
      <w:r w:rsidR="00733CB6" w:rsidRPr="00A20B8E">
        <w:rPr>
          <w:rFonts w:ascii="Times New Roman" w:hAnsi="Times New Roman" w:cs="Times New Roman"/>
          <w:b w:val="0"/>
          <w:bCs w:val="0"/>
          <w:color w:val="auto"/>
          <w:sz w:val="24"/>
          <w:szCs w:val="24"/>
          <w:vertAlign w:val="superscript"/>
        </w:rPr>
        <w:fldChar w:fldCharType="begin"/>
      </w:r>
      <w:r w:rsidRPr="00A20B8E">
        <w:rPr>
          <w:rFonts w:ascii="Times New Roman" w:hAnsi="Times New Roman" w:cs="Times New Roman"/>
          <w:b w:val="0"/>
          <w:bCs w:val="0"/>
          <w:color w:val="auto"/>
          <w:sz w:val="24"/>
          <w:szCs w:val="24"/>
          <w:vertAlign w:val="superscript"/>
        </w:rPr>
        <w:instrText xml:space="preserve"> HYPERLINK "http://www.scielo.br/scielo.php?script=sci_arttext&amp;pid=S1415-790X2017000500157&amp;lng=pt&amp;nrm=iso&amp;tlng=pt" \l "aff1" </w:instrText>
      </w:r>
      <w:r w:rsidR="00733CB6" w:rsidRPr="00A20B8E">
        <w:rPr>
          <w:rFonts w:ascii="Times New Roman" w:hAnsi="Times New Roman" w:cs="Times New Roman"/>
          <w:b w:val="0"/>
          <w:bCs w:val="0"/>
          <w:color w:val="auto"/>
          <w:sz w:val="24"/>
          <w:szCs w:val="24"/>
          <w:vertAlign w:val="superscript"/>
        </w:rPr>
        <w:fldChar w:fldCharType="end"/>
      </w:r>
      <w:r w:rsidRPr="00A20B8E">
        <w:rPr>
          <w:rFonts w:ascii="Times New Roman" w:hAnsi="Times New Roman" w:cs="Times New Roman"/>
          <w:b w:val="0"/>
          <w:bCs w:val="0"/>
          <w:color w:val="auto"/>
          <w:sz w:val="24"/>
          <w:szCs w:val="24"/>
          <w:vertAlign w:val="superscript"/>
        </w:rPr>
        <w:t xml:space="preserve"> </w:t>
      </w:r>
      <w:r w:rsidRPr="00A20B8E">
        <w:rPr>
          <w:rStyle w:val="author-name"/>
          <w:rFonts w:ascii="Times New Roman" w:hAnsi="Times New Roman" w:cs="Times New Roman"/>
          <w:b w:val="0"/>
          <w:bCs w:val="0"/>
          <w:color w:val="auto"/>
          <w:sz w:val="24"/>
          <w:szCs w:val="24"/>
        </w:rPr>
        <w:t>Malta DC,</w:t>
      </w:r>
      <w:r w:rsidRPr="00A20B8E">
        <w:rPr>
          <w:rFonts w:ascii="Times New Roman" w:hAnsi="Times New Roman" w:cs="Times New Roman"/>
          <w:b w:val="0"/>
          <w:bCs w:val="0"/>
          <w:color w:val="auto"/>
          <w:sz w:val="24"/>
          <w:szCs w:val="24"/>
          <w:vertAlign w:val="superscript"/>
        </w:rPr>
        <w:t> </w:t>
      </w:r>
      <w:r w:rsidRPr="00A20B8E">
        <w:rPr>
          <w:rStyle w:val="author-name"/>
          <w:rFonts w:ascii="Times New Roman" w:hAnsi="Times New Roman" w:cs="Times New Roman"/>
          <w:b w:val="0"/>
          <w:bCs w:val="0"/>
          <w:color w:val="auto"/>
          <w:sz w:val="24"/>
          <w:szCs w:val="24"/>
        </w:rPr>
        <w:t xml:space="preserve"> Morais Neto OL de, Montenegro MMS</w:t>
      </w:r>
      <w:r w:rsidRPr="00A20B8E">
        <w:rPr>
          <w:rFonts w:ascii="Times New Roman" w:hAnsi="Times New Roman" w:cs="Times New Roman"/>
          <w:b w:val="0"/>
          <w:bCs w:val="0"/>
          <w:color w:val="auto"/>
          <w:sz w:val="24"/>
          <w:szCs w:val="24"/>
          <w:vertAlign w:val="superscript"/>
        </w:rPr>
        <w:t> </w:t>
      </w:r>
      <w:r w:rsidRPr="00A20B8E">
        <w:rPr>
          <w:rFonts w:ascii="Times New Roman" w:hAnsi="Times New Roman" w:cs="Times New Roman"/>
          <w:b w:val="0"/>
          <w:bCs w:val="0"/>
          <w:color w:val="auto"/>
          <w:sz w:val="24"/>
          <w:szCs w:val="24"/>
        </w:rPr>
        <w:t xml:space="preserve">, </w:t>
      </w:r>
      <w:r w:rsidRPr="00A20B8E">
        <w:rPr>
          <w:rStyle w:val="author-name"/>
          <w:rFonts w:ascii="Times New Roman" w:hAnsi="Times New Roman" w:cs="Times New Roman"/>
          <w:b w:val="0"/>
          <w:bCs w:val="0"/>
          <w:color w:val="auto"/>
          <w:sz w:val="24"/>
          <w:szCs w:val="24"/>
        </w:rPr>
        <w:t>Soares Filho</w:t>
      </w:r>
      <w:r w:rsidR="00A20B8E" w:rsidRPr="00A20B8E">
        <w:rPr>
          <w:rStyle w:val="author-name"/>
          <w:rFonts w:ascii="Times New Roman" w:hAnsi="Times New Roman" w:cs="Times New Roman"/>
          <w:b w:val="0"/>
          <w:bCs w:val="0"/>
          <w:color w:val="auto"/>
          <w:sz w:val="24"/>
          <w:szCs w:val="24"/>
        </w:rPr>
        <w:t xml:space="preserve"> AM, </w:t>
      </w:r>
      <w:r w:rsidRPr="00A20B8E">
        <w:rPr>
          <w:rFonts w:ascii="Times New Roman" w:hAnsi="Times New Roman" w:cs="Times New Roman"/>
          <w:b w:val="0"/>
          <w:bCs w:val="0"/>
          <w:color w:val="auto"/>
          <w:sz w:val="24"/>
          <w:szCs w:val="24"/>
          <w:vertAlign w:val="superscript"/>
        </w:rPr>
        <w:t> </w:t>
      </w:r>
      <w:r w:rsidRPr="00A20B8E">
        <w:rPr>
          <w:rStyle w:val="author-name"/>
          <w:rFonts w:ascii="Times New Roman" w:hAnsi="Times New Roman" w:cs="Times New Roman"/>
          <w:b w:val="0"/>
          <w:bCs w:val="0"/>
          <w:color w:val="auto"/>
          <w:sz w:val="24"/>
          <w:szCs w:val="24"/>
        </w:rPr>
        <w:t>Vasconcelos</w:t>
      </w:r>
      <w:r w:rsidR="00A20B8E" w:rsidRPr="00A20B8E">
        <w:rPr>
          <w:rStyle w:val="author-name"/>
          <w:rFonts w:ascii="Times New Roman" w:hAnsi="Times New Roman" w:cs="Times New Roman"/>
          <w:b w:val="0"/>
          <w:bCs w:val="0"/>
          <w:color w:val="auto"/>
          <w:sz w:val="24"/>
          <w:szCs w:val="24"/>
        </w:rPr>
        <w:t xml:space="preserve"> CH, </w:t>
      </w:r>
      <w:proofErr w:type="spellStart"/>
      <w:r w:rsidR="00A20B8E" w:rsidRPr="00A20B8E">
        <w:rPr>
          <w:rStyle w:val="author-name"/>
          <w:rFonts w:ascii="Times New Roman" w:hAnsi="Times New Roman" w:cs="Times New Roman"/>
          <w:b w:val="0"/>
          <w:bCs w:val="0"/>
          <w:color w:val="auto"/>
          <w:sz w:val="24"/>
          <w:szCs w:val="24"/>
        </w:rPr>
        <w:t>et</w:t>
      </w:r>
      <w:proofErr w:type="spellEnd"/>
      <w:r w:rsidR="00A20B8E" w:rsidRPr="00A20B8E">
        <w:rPr>
          <w:rStyle w:val="author-name"/>
          <w:rFonts w:ascii="Times New Roman" w:hAnsi="Times New Roman" w:cs="Times New Roman"/>
          <w:b w:val="0"/>
          <w:bCs w:val="0"/>
          <w:color w:val="auto"/>
          <w:sz w:val="24"/>
          <w:szCs w:val="24"/>
        </w:rPr>
        <w:t xml:space="preserve"> al. </w:t>
      </w:r>
      <w:r w:rsidR="00A20B8E" w:rsidRPr="00A20B8E">
        <w:rPr>
          <w:rFonts w:ascii="Times New Roman" w:hAnsi="Times New Roman" w:cs="Times New Roman"/>
          <w:b w:val="0"/>
          <w:bCs w:val="0"/>
          <w:color w:val="auto"/>
          <w:sz w:val="24"/>
          <w:szCs w:val="24"/>
          <w:shd w:val="clear" w:color="auto" w:fill="FFFFFF"/>
          <w:lang w:val="en-US"/>
        </w:rPr>
        <w:t xml:space="preserve">Road traffic accidents: Global Burden of Disease study, Brazil and federated units, 1990 and 2015. </w:t>
      </w:r>
      <w:r w:rsidR="00A20B8E" w:rsidRPr="00B8405D">
        <w:rPr>
          <w:rFonts w:ascii="Times New Roman" w:hAnsi="Times New Roman" w:cs="Times New Roman"/>
          <w:b w:val="0"/>
          <w:color w:val="auto"/>
          <w:sz w:val="24"/>
          <w:szCs w:val="24"/>
          <w:lang w:val="en-US"/>
        </w:rPr>
        <w:t xml:space="preserve">Rev. Bras. </w:t>
      </w:r>
      <w:proofErr w:type="spellStart"/>
      <w:proofErr w:type="gramStart"/>
      <w:r w:rsidR="00A20B8E" w:rsidRPr="003E216F">
        <w:rPr>
          <w:rFonts w:ascii="Times New Roman" w:hAnsi="Times New Roman" w:cs="Times New Roman"/>
          <w:b w:val="0"/>
          <w:color w:val="auto"/>
          <w:sz w:val="24"/>
          <w:szCs w:val="24"/>
          <w:lang w:val="en-US"/>
        </w:rPr>
        <w:t>Epidemiol</w:t>
      </w:r>
      <w:proofErr w:type="spellEnd"/>
      <w:r w:rsidR="00A20B8E" w:rsidRPr="003E216F">
        <w:rPr>
          <w:rFonts w:ascii="Times New Roman" w:hAnsi="Times New Roman" w:cs="Times New Roman"/>
          <w:b w:val="0"/>
          <w:color w:val="auto"/>
          <w:sz w:val="24"/>
          <w:szCs w:val="24"/>
          <w:lang w:val="en-US"/>
        </w:rPr>
        <w:t>.</w:t>
      </w:r>
      <w:proofErr w:type="gramEnd"/>
      <w:r w:rsidR="00A20B8E" w:rsidRPr="003E216F">
        <w:rPr>
          <w:rFonts w:ascii="Times New Roman" w:hAnsi="Times New Roman" w:cs="Times New Roman"/>
          <w:b w:val="0"/>
          <w:color w:val="auto"/>
          <w:sz w:val="24"/>
          <w:szCs w:val="24"/>
          <w:lang w:val="en-US"/>
        </w:rPr>
        <w:t> </w:t>
      </w:r>
      <w:r w:rsidR="00A20B8E" w:rsidRPr="001B394A">
        <w:rPr>
          <w:rFonts w:ascii="Times New Roman" w:hAnsi="Times New Roman" w:cs="Times New Roman"/>
          <w:b w:val="0"/>
          <w:color w:val="auto"/>
          <w:sz w:val="24"/>
          <w:szCs w:val="24"/>
          <w:lang w:val="en-US"/>
        </w:rPr>
        <w:t>2017 may; 20(suppl.1): 157-70.</w:t>
      </w:r>
    </w:p>
    <w:p w:rsidR="006641EE" w:rsidRPr="00A20B8E" w:rsidRDefault="006641EE" w:rsidP="00A20B8E">
      <w:pPr>
        <w:pStyle w:val="author"/>
        <w:shd w:val="clear" w:color="auto" w:fill="FFFFFF"/>
        <w:jc w:val="both"/>
        <w:rPr>
          <w:bCs/>
          <w:color w:val="000000"/>
          <w:lang w:val="en-US"/>
        </w:rPr>
      </w:pPr>
    </w:p>
    <w:p w:rsidR="006641EE" w:rsidRPr="00A20B8E" w:rsidRDefault="006641EE" w:rsidP="006345A5">
      <w:pPr>
        <w:pStyle w:val="NormalWeb"/>
        <w:jc w:val="both"/>
        <w:rPr>
          <w:lang w:val="en-US"/>
        </w:rPr>
      </w:pPr>
    </w:p>
    <w:p w:rsidR="006345A5" w:rsidRPr="00A20B8E" w:rsidRDefault="006345A5" w:rsidP="002004F2">
      <w:pPr>
        <w:pStyle w:val="Ttulo1"/>
        <w:shd w:val="clear" w:color="auto" w:fill="FFFFFF"/>
        <w:spacing w:before="120" w:after="120"/>
        <w:jc w:val="both"/>
        <w:rPr>
          <w:b w:val="0"/>
          <w:sz w:val="24"/>
          <w:szCs w:val="24"/>
          <w:shd w:val="clear" w:color="auto" w:fill="FFFFFF"/>
          <w:lang w:val="en-US"/>
        </w:rPr>
      </w:pPr>
    </w:p>
    <w:p w:rsidR="002004F2" w:rsidRPr="00A20B8E" w:rsidRDefault="002004F2" w:rsidP="00AB7331">
      <w:pPr>
        <w:pStyle w:val="Default"/>
        <w:jc w:val="both"/>
        <w:rPr>
          <w:rStyle w:val="A7"/>
          <w:rFonts w:ascii="Times New Roman" w:hAnsi="Times New Roman" w:cs="Times New Roman"/>
          <w:sz w:val="24"/>
          <w:szCs w:val="24"/>
          <w:lang w:val="en-US"/>
        </w:rPr>
      </w:pPr>
    </w:p>
    <w:p w:rsidR="00D8685C" w:rsidRPr="00A20B8E" w:rsidRDefault="00D8685C" w:rsidP="00AB7331">
      <w:pPr>
        <w:pStyle w:val="Default"/>
        <w:jc w:val="both"/>
        <w:rPr>
          <w:rFonts w:ascii="Times New Roman" w:hAnsi="Times New Roman" w:cs="Times New Roman"/>
          <w:lang w:val="en-US"/>
        </w:rPr>
      </w:pPr>
    </w:p>
    <w:p w:rsidR="00AB7331" w:rsidRPr="00A20B8E" w:rsidRDefault="00AB7331" w:rsidP="00AB7331">
      <w:pPr>
        <w:rPr>
          <w:lang w:val="en-US" w:eastAsia="en-US"/>
        </w:rPr>
      </w:pPr>
      <w:r w:rsidRPr="00A20B8E">
        <w:rPr>
          <w:lang w:val="en-US"/>
        </w:rPr>
        <w:t xml:space="preserve"> </w:t>
      </w:r>
    </w:p>
    <w:p w:rsidR="00AB7331" w:rsidRPr="00A20B8E" w:rsidRDefault="00AB7331" w:rsidP="00193C27">
      <w:pPr>
        <w:rPr>
          <w:lang w:val="en-US" w:eastAsia="en-US"/>
        </w:rPr>
      </w:pPr>
    </w:p>
    <w:p w:rsidR="00AB7331" w:rsidRPr="00A20B8E" w:rsidRDefault="00AB7331" w:rsidP="00193C27">
      <w:pPr>
        <w:rPr>
          <w:lang w:val="en-US" w:eastAsia="en-US"/>
        </w:rPr>
      </w:pPr>
    </w:p>
    <w:p w:rsidR="00AB7331" w:rsidRPr="00A20B8E" w:rsidRDefault="00AB7331" w:rsidP="00193C27">
      <w:pPr>
        <w:rPr>
          <w:lang w:val="en-US" w:eastAsia="en-US"/>
        </w:rPr>
      </w:pPr>
    </w:p>
    <w:p w:rsidR="00AB7331" w:rsidRPr="00A20B8E" w:rsidRDefault="00AB7331" w:rsidP="00193C27">
      <w:pPr>
        <w:rPr>
          <w:lang w:val="en-US" w:eastAsia="en-US"/>
        </w:rPr>
      </w:pPr>
    </w:p>
    <w:p w:rsidR="00766AF9" w:rsidRPr="001B394A" w:rsidRDefault="00766AF9" w:rsidP="00766AF9">
      <w:pPr>
        <w:autoSpaceDE w:val="0"/>
        <w:autoSpaceDN w:val="0"/>
        <w:adjustRightInd w:val="0"/>
        <w:jc w:val="both"/>
        <w:rPr>
          <w:lang w:val="en-US"/>
        </w:rPr>
      </w:pPr>
    </w:p>
    <w:p w:rsidR="00B55ED4" w:rsidRPr="0065298E" w:rsidRDefault="00753B81" w:rsidP="0065298E">
      <w:pPr>
        <w:pStyle w:val="NormalWeb"/>
        <w:spacing w:before="0" w:beforeAutospacing="0" w:after="0" w:afterAutospacing="0" w:line="360" w:lineRule="auto"/>
        <w:jc w:val="both"/>
        <w:rPr>
          <w:lang w:val="en-US"/>
        </w:rPr>
      </w:pPr>
      <w:r w:rsidRPr="001B394A">
        <w:rPr>
          <w:lang w:val="en-US"/>
        </w:rPr>
        <w:tab/>
      </w:r>
      <w:r w:rsidR="00B55ED4" w:rsidRPr="0065298E">
        <w:rPr>
          <w:lang w:val="en-US"/>
        </w:rPr>
        <w:t xml:space="preserve"> </w:t>
      </w:r>
    </w:p>
    <w:sectPr w:rsidR="00B55ED4" w:rsidRPr="0065298E" w:rsidSect="003B531B">
      <w:footerReference w:type="default" r:id="rId3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CC6" w:rsidRDefault="003F7CC6" w:rsidP="00721076">
      <w:r>
        <w:separator/>
      </w:r>
    </w:p>
  </w:endnote>
  <w:endnote w:type="continuationSeparator" w:id="0">
    <w:p w:rsidR="003F7CC6" w:rsidRDefault="003F7CC6" w:rsidP="00721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8343"/>
      <w:docPartObj>
        <w:docPartGallery w:val="Page Numbers (Bottom of Page)"/>
        <w:docPartUnique/>
      </w:docPartObj>
    </w:sdtPr>
    <w:sdtContent>
      <w:p w:rsidR="006641EE" w:rsidRDefault="00733CB6">
        <w:pPr>
          <w:pStyle w:val="Rodap"/>
          <w:jc w:val="right"/>
        </w:pPr>
        <w:fldSimple w:instr=" PAGE   \* MERGEFORMAT ">
          <w:r w:rsidR="00FD50DD">
            <w:rPr>
              <w:noProof/>
            </w:rPr>
            <w:t>15</w:t>
          </w:r>
        </w:fldSimple>
      </w:p>
    </w:sdtContent>
  </w:sdt>
  <w:p w:rsidR="006641EE" w:rsidRDefault="006641E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CC6" w:rsidRDefault="003F7CC6" w:rsidP="00721076">
      <w:r>
        <w:separator/>
      </w:r>
    </w:p>
  </w:footnote>
  <w:footnote w:type="continuationSeparator" w:id="0">
    <w:p w:rsidR="003F7CC6" w:rsidRDefault="003F7CC6" w:rsidP="00721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A15FD"/>
    <w:multiLevelType w:val="multilevel"/>
    <w:tmpl w:val="FE2A2BC6"/>
    <w:lvl w:ilvl="0">
      <w:start w:val="2"/>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93076"/>
    <w:rsid w:val="00001AD1"/>
    <w:rsid w:val="0001458C"/>
    <w:rsid w:val="00040526"/>
    <w:rsid w:val="000450BA"/>
    <w:rsid w:val="0005211D"/>
    <w:rsid w:val="00061AB8"/>
    <w:rsid w:val="00071FC4"/>
    <w:rsid w:val="00073827"/>
    <w:rsid w:val="0008186B"/>
    <w:rsid w:val="00082D46"/>
    <w:rsid w:val="000B0B88"/>
    <w:rsid w:val="000E0F4F"/>
    <w:rsid w:val="000E4754"/>
    <w:rsid w:val="000F09C3"/>
    <w:rsid w:val="000F671C"/>
    <w:rsid w:val="001013D8"/>
    <w:rsid w:val="00106589"/>
    <w:rsid w:val="00121ED4"/>
    <w:rsid w:val="00122529"/>
    <w:rsid w:val="001235D8"/>
    <w:rsid w:val="00133338"/>
    <w:rsid w:val="00155F00"/>
    <w:rsid w:val="00157314"/>
    <w:rsid w:val="00162B1A"/>
    <w:rsid w:val="00174E95"/>
    <w:rsid w:val="00186ECB"/>
    <w:rsid w:val="00193C27"/>
    <w:rsid w:val="001A078A"/>
    <w:rsid w:val="001B1588"/>
    <w:rsid w:val="001B394A"/>
    <w:rsid w:val="001B784B"/>
    <w:rsid w:val="001D3535"/>
    <w:rsid w:val="001D4D17"/>
    <w:rsid w:val="001E1C27"/>
    <w:rsid w:val="001E1DC4"/>
    <w:rsid w:val="001E2B75"/>
    <w:rsid w:val="001E57B1"/>
    <w:rsid w:val="001F4C63"/>
    <w:rsid w:val="001F7598"/>
    <w:rsid w:val="002004F2"/>
    <w:rsid w:val="00203746"/>
    <w:rsid w:val="0023731C"/>
    <w:rsid w:val="00245599"/>
    <w:rsid w:val="00251C73"/>
    <w:rsid w:val="00266909"/>
    <w:rsid w:val="00272D99"/>
    <w:rsid w:val="002B2E26"/>
    <w:rsid w:val="002B381D"/>
    <w:rsid w:val="002C7096"/>
    <w:rsid w:val="002E0212"/>
    <w:rsid w:val="002E0B7F"/>
    <w:rsid w:val="00304650"/>
    <w:rsid w:val="00314BD7"/>
    <w:rsid w:val="00321210"/>
    <w:rsid w:val="00321F51"/>
    <w:rsid w:val="0032587F"/>
    <w:rsid w:val="00345E67"/>
    <w:rsid w:val="0035327A"/>
    <w:rsid w:val="003541C1"/>
    <w:rsid w:val="0035611E"/>
    <w:rsid w:val="00361EB2"/>
    <w:rsid w:val="00364D09"/>
    <w:rsid w:val="00380056"/>
    <w:rsid w:val="00382B25"/>
    <w:rsid w:val="00386C67"/>
    <w:rsid w:val="00392BA7"/>
    <w:rsid w:val="003A77EB"/>
    <w:rsid w:val="003B1134"/>
    <w:rsid w:val="003B481F"/>
    <w:rsid w:val="003B531B"/>
    <w:rsid w:val="003C3A5D"/>
    <w:rsid w:val="003C4E2B"/>
    <w:rsid w:val="003D356A"/>
    <w:rsid w:val="003D668F"/>
    <w:rsid w:val="003E216F"/>
    <w:rsid w:val="003F7CC6"/>
    <w:rsid w:val="0040094E"/>
    <w:rsid w:val="0040295A"/>
    <w:rsid w:val="00404884"/>
    <w:rsid w:val="00410AF3"/>
    <w:rsid w:val="00417FC1"/>
    <w:rsid w:val="00423250"/>
    <w:rsid w:val="00423A96"/>
    <w:rsid w:val="004246D0"/>
    <w:rsid w:val="00427DAB"/>
    <w:rsid w:val="00434C1C"/>
    <w:rsid w:val="00435878"/>
    <w:rsid w:val="0044449D"/>
    <w:rsid w:val="004540B3"/>
    <w:rsid w:val="00462A1D"/>
    <w:rsid w:val="00463AA9"/>
    <w:rsid w:val="00476F61"/>
    <w:rsid w:val="004778E7"/>
    <w:rsid w:val="00481279"/>
    <w:rsid w:val="004860C8"/>
    <w:rsid w:val="004A2FDE"/>
    <w:rsid w:val="004A3417"/>
    <w:rsid w:val="004C044A"/>
    <w:rsid w:val="004D0EA4"/>
    <w:rsid w:val="004E3B53"/>
    <w:rsid w:val="004F592C"/>
    <w:rsid w:val="005109D3"/>
    <w:rsid w:val="00514068"/>
    <w:rsid w:val="00514B5E"/>
    <w:rsid w:val="00552803"/>
    <w:rsid w:val="00560E6E"/>
    <w:rsid w:val="0056159D"/>
    <w:rsid w:val="00562932"/>
    <w:rsid w:val="00565A47"/>
    <w:rsid w:val="00580AC5"/>
    <w:rsid w:val="0058327D"/>
    <w:rsid w:val="00583C87"/>
    <w:rsid w:val="005A2FD8"/>
    <w:rsid w:val="005B09FE"/>
    <w:rsid w:val="005B2950"/>
    <w:rsid w:val="005C09A7"/>
    <w:rsid w:val="005C529F"/>
    <w:rsid w:val="005D0693"/>
    <w:rsid w:val="005D3B99"/>
    <w:rsid w:val="005E2EDC"/>
    <w:rsid w:val="005E3551"/>
    <w:rsid w:val="005E63CA"/>
    <w:rsid w:val="005F1267"/>
    <w:rsid w:val="006345A5"/>
    <w:rsid w:val="0064644C"/>
    <w:rsid w:val="00651676"/>
    <w:rsid w:val="0065298E"/>
    <w:rsid w:val="006641EE"/>
    <w:rsid w:val="00690A6F"/>
    <w:rsid w:val="00692B99"/>
    <w:rsid w:val="00693D39"/>
    <w:rsid w:val="006A36B6"/>
    <w:rsid w:val="006A48C9"/>
    <w:rsid w:val="006B2AA0"/>
    <w:rsid w:val="006C48DF"/>
    <w:rsid w:val="006C5E58"/>
    <w:rsid w:val="006D67D5"/>
    <w:rsid w:val="006D6AAB"/>
    <w:rsid w:val="006E0C4D"/>
    <w:rsid w:val="006E20D6"/>
    <w:rsid w:val="006E62A1"/>
    <w:rsid w:val="006F2A07"/>
    <w:rsid w:val="00714304"/>
    <w:rsid w:val="00721076"/>
    <w:rsid w:val="00723FB3"/>
    <w:rsid w:val="00731AF2"/>
    <w:rsid w:val="00733CB6"/>
    <w:rsid w:val="00733DED"/>
    <w:rsid w:val="007377AB"/>
    <w:rsid w:val="00743D41"/>
    <w:rsid w:val="00743DE8"/>
    <w:rsid w:val="007440F7"/>
    <w:rsid w:val="00752D73"/>
    <w:rsid w:val="00753B81"/>
    <w:rsid w:val="00753C13"/>
    <w:rsid w:val="00755061"/>
    <w:rsid w:val="00766AF9"/>
    <w:rsid w:val="0077327D"/>
    <w:rsid w:val="007808AB"/>
    <w:rsid w:val="00781386"/>
    <w:rsid w:val="007839EE"/>
    <w:rsid w:val="007914EB"/>
    <w:rsid w:val="0079771C"/>
    <w:rsid w:val="007A00D6"/>
    <w:rsid w:val="007A591B"/>
    <w:rsid w:val="007B5423"/>
    <w:rsid w:val="007C3B65"/>
    <w:rsid w:val="007D35E4"/>
    <w:rsid w:val="007D4B2D"/>
    <w:rsid w:val="007E012F"/>
    <w:rsid w:val="007E6D14"/>
    <w:rsid w:val="007E7AEE"/>
    <w:rsid w:val="007F3B40"/>
    <w:rsid w:val="007F3EFE"/>
    <w:rsid w:val="007F4BB5"/>
    <w:rsid w:val="0080061D"/>
    <w:rsid w:val="0080119F"/>
    <w:rsid w:val="00807B22"/>
    <w:rsid w:val="00816CAF"/>
    <w:rsid w:val="008407B1"/>
    <w:rsid w:val="008522CF"/>
    <w:rsid w:val="00855386"/>
    <w:rsid w:val="00861B9F"/>
    <w:rsid w:val="00867EF9"/>
    <w:rsid w:val="0087178B"/>
    <w:rsid w:val="008731DF"/>
    <w:rsid w:val="00874D2B"/>
    <w:rsid w:val="00877A04"/>
    <w:rsid w:val="00880BFA"/>
    <w:rsid w:val="008B3BDF"/>
    <w:rsid w:val="008C44B0"/>
    <w:rsid w:val="008D2E5E"/>
    <w:rsid w:val="008E3663"/>
    <w:rsid w:val="008F435F"/>
    <w:rsid w:val="008F776D"/>
    <w:rsid w:val="00901E1C"/>
    <w:rsid w:val="00904246"/>
    <w:rsid w:val="00904A74"/>
    <w:rsid w:val="0090736B"/>
    <w:rsid w:val="009140EE"/>
    <w:rsid w:val="00914B0E"/>
    <w:rsid w:val="00917594"/>
    <w:rsid w:val="00934F0F"/>
    <w:rsid w:val="009358F2"/>
    <w:rsid w:val="009439F5"/>
    <w:rsid w:val="00946377"/>
    <w:rsid w:val="00954D75"/>
    <w:rsid w:val="00970FD3"/>
    <w:rsid w:val="00971845"/>
    <w:rsid w:val="00974BE8"/>
    <w:rsid w:val="00976086"/>
    <w:rsid w:val="0098492F"/>
    <w:rsid w:val="009916AC"/>
    <w:rsid w:val="0099616D"/>
    <w:rsid w:val="009B4B04"/>
    <w:rsid w:val="009C0459"/>
    <w:rsid w:val="009C1728"/>
    <w:rsid w:val="009C2877"/>
    <w:rsid w:val="009D08DF"/>
    <w:rsid w:val="009E6EA4"/>
    <w:rsid w:val="009F2F80"/>
    <w:rsid w:val="00A003A1"/>
    <w:rsid w:val="00A056EA"/>
    <w:rsid w:val="00A07169"/>
    <w:rsid w:val="00A20B8E"/>
    <w:rsid w:val="00A44822"/>
    <w:rsid w:val="00A57551"/>
    <w:rsid w:val="00A610FD"/>
    <w:rsid w:val="00A67957"/>
    <w:rsid w:val="00A70809"/>
    <w:rsid w:val="00A75544"/>
    <w:rsid w:val="00A86B47"/>
    <w:rsid w:val="00A904F9"/>
    <w:rsid w:val="00AA0897"/>
    <w:rsid w:val="00AA2171"/>
    <w:rsid w:val="00AA6E65"/>
    <w:rsid w:val="00AB7331"/>
    <w:rsid w:val="00AC71C4"/>
    <w:rsid w:val="00AD18EF"/>
    <w:rsid w:val="00AD7836"/>
    <w:rsid w:val="00AE049A"/>
    <w:rsid w:val="00AE5C70"/>
    <w:rsid w:val="00AF752D"/>
    <w:rsid w:val="00B12F57"/>
    <w:rsid w:val="00B148EF"/>
    <w:rsid w:val="00B20084"/>
    <w:rsid w:val="00B21F61"/>
    <w:rsid w:val="00B22A3B"/>
    <w:rsid w:val="00B53CD6"/>
    <w:rsid w:val="00B55ED4"/>
    <w:rsid w:val="00B70A3C"/>
    <w:rsid w:val="00B76657"/>
    <w:rsid w:val="00B8405D"/>
    <w:rsid w:val="00B85329"/>
    <w:rsid w:val="00B86368"/>
    <w:rsid w:val="00B93156"/>
    <w:rsid w:val="00B94D31"/>
    <w:rsid w:val="00B97367"/>
    <w:rsid w:val="00BA2C05"/>
    <w:rsid w:val="00BA4FD2"/>
    <w:rsid w:val="00BA73BC"/>
    <w:rsid w:val="00BB10DB"/>
    <w:rsid w:val="00BB5E0F"/>
    <w:rsid w:val="00BC12BF"/>
    <w:rsid w:val="00BC610C"/>
    <w:rsid w:val="00BC7518"/>
    <w:rsid w:val="00BD1728"/>
    <w:rsid w:val="00BE5C6C"/>
    <w:rsid w:val="00BF2151"/>
    <w:rsid w:val="00BF43C1"/>
    <w:rsid w:val="00C0150B"/>
    <w:rsid w:val="00C150A1"/>
    <w:rsid w:val="00C160E0"/>
    <w:rsid w:val="00C232DA"/>
    <w:rsid w:val="00C23A3F"/>
    <w:rsid w:val="00C27F57"/>
    <w:rsid w:val="00C33E9C"/>
    <w:rsid w:val="00C3403B"/>
    <w:rsid w:val="00C3596E"/>
    <w:rsid w:val="00C40D8A"/>
    <w:rsid w:val="00C47D85"/>
    <w:rsid w:val="00C76DC5"/>
    <w:rsid w:val="00C81262"/>
    <w:rsid w:val="00C84939"/>
    <w:rsid w:val="00C856E9"/>
    <w:rsid w:val="00C86566"/>
    <w:rsid w:val="00CA58F0"/>
    <w:rsid w:val="00CA64D1"/>
    <w:rsid w:val="00CC26C7"/>
    <w:rsid w:val="00CC6769"/>
    <w:rsid w:val="00CD17FB"/>
    <w:rsid w:val="00CD4531"/>
    <w:rsid w:val="00D20A1D"/>
    <w:rsid w:val="00D262D4"/>
    <w:rsid w:val="00D34BB2"/>
    <w:rsid w:val="00D417B7"/>
    <w:rsid w:val="00D450E3"/>
    <w:rsid w:val="00D5062C"/>
    <w:rsid w:val="00D5495C"/>
    <w:rsid w:val="00D7571C"/>
    <w:rsid w:val="00D77FCA"/>
    <w:rsid w:val="00D80C76"/>
    <w:rsid w:val="00D81D6E"/>
    <w:rsid w:val="00D8685C"/>
    <w:rsid w:val="00D869F5"/>
    <w:rsid w:val="00D93140"/>
    <w:rsid w:val="00DA08A2"/>
    <w:rsid w:val="00DB1CC1"/>
    <w:rsid w:val="00DB5BDF"/>
    <w:rsid w:val="00DB611A"/>
    <w:rsid w:val="00DD7B5B"/>
    <w:rsid w:val="00DF40D4"/>
    <w:rsid w:val="00E14F54"/>
    <w:rsid w:val="00E3415C"/>
    <w:rsid w:val="00E41349"/>
    <w:rsid w:val="00E51D06"/>
    <w:rsid w:val="00E54EFF"/>
    <w:rsid w:val="00E61324"/>
    <w:rsid w:val="00E61512"/>
    <w:rsid w:val="00E6367B"/>
    <w:rsid w:val="00E64A97"/>
    <w:rsid w:val="00E81369"/>
    <w:rsid w:val="00E81C76"/>
    <w:rsid w:val="00E86A7B"/>
    <w:rsid w:val="00E87B2C"/>
    <w:rsid w:val="00E93076"/>
    <w:rsid w:val="00EA071D"/>
    <w:rsid w:val="00EB2AF8"/>
    <w:rsid w:val="00EB63C0"/>
    <w:rsid w:val="00EC0D00"/>
    <w:rsid w:val="00ED0B5A"/>
    <w:rsid w:val="00EE20AC"/>
    <w:rsid w:val="00EF16E3"/>
    <w:rsid w:val="00EF79E1"/>
    <w:rsid w:val="00F014F5"/>
    <w:rsid w:val="00F02246"/>
    <w:rsid w:val="00F04648"/>
    <w:rsid w:val="00F07ACC"/>
    <w:rsid w:val="00F126E1"/>
    <w:rsid w:val="00F40E20"/>
    <w:rsid w:val="00F50A9A"/>
    <w:rsid w:val="00F51192"/>
    <w:rsid w:val="00F54618"/>
    <w:rsid w:val="00F54643"/>
    <w:rsid w:val="00F73337"/>
    <w:rsid w:val="00F7433C"/>
    <w:rsid w:val="00F8388F"/>
    <w:rsid w:val="00F85099"/>
    <w:rsid w:val="00F9705F"/>
    <w:rsid w:val="00FB624F"/>
    <w:rsid w:val="00FD50DD"/>
    <w:rsid w:val="00FE394F"/>
    <w:rsid w:val="00FF7083"/>
    <w:rsid w:val="00FF7A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7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C150A1"/>
    <w:pPr>
      <w:spacing w:before="100" w:beforeAutospacing="1" w:after="100" w:afterAutospacing="1"/>
      <w:outlineLvl w:val="0"/>
    </w:pPr>
    <w:rPr>
      <w:b/>
      <w:bCs/>
      <w:kern w:val="36"/>
      <w:sz w:val="48"/>
      <w:szCs w:val="48"/>
    </w:rPr>
  </w:style>
  <w:style w:type="paragraph" w:styleId="Ttulo3">
    <w:name w:val="heading 3"/>
    <w:basedOn w:val="Normal"/>
    <w:next w:val="Normal"/>
    <w:link w:val="Ttulo3Char"/>
    <w:uiPriority w:val="9"/>
    <w:unhideWhenUsed/>
    <w:qFormat/>
    <w:rsid w:val="004778E7"/>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93076"/>
    <w:pPr>
      <w:spacing w:after="0" w:line="240" w:lineRule="auto"/>
    </w:pPr>
    <w:rPr>
      <w:rFonts w:ascii="Arial" w:eastAsia="Calibri" w:hAnsi="Arial" w:cs="Times New Roman"/>
      <w:sz w:val="24"/>
    </w:rPr>
  </w:style>
  <w:style w:type="paragraph" w:styleId="Textodenotaderodap">
    <w:name w:val="footnote text"/>
    <w:basedOn w:val="Normal"/>
    <w:link w:val="TextodenotaderodapChar"/>
    <w:semiHidden/>
    <w:rsid w:val="00721076"/>
    <w:rPr>
      <w:sz w:val="20"/>
      <w:szCs w:val="20"/>
    </w:rPr>
  </w:style>
  <w:style w:type="character" w:customStyle="1" w:styleId="TextodenotaderodapChar">
    <w:name w:val="Texto de nota de rodapé Char"/>
    <w:basedOn w:val="Fontepargpadro"/>
    <w:link w:val="Textodenotaderodap"/>
    <w:semiHidden/>
    <w:rsid w:val="00721076"/>
    <w:rPr>
      <w:rFonts w:ascii="Times New Roman" w:eastAsia="Times New Roman" w:hAnsi="Times New Roman" w:cs="Times New Roman"/>
      <w:sz w:val="20"/>
      <w:szCs w:val="20"/>
      <w:lang w:eastAsia="pt-BR"/>
    </w:rPr>
  </w:style>
  <w:style w:type="character" w:styleId="Refdenotaderodap">
    <w:name w:val="footnote reference"/>
    <w:semiHidden/>
    <w:rsid w:val="00721076"/>
    <w:rPr>
      <w:vertAlign w:val="superscript"/>
    </w:rPr>
  </w:style>
  <w:style w:type="paragraph" w:styleId="PargrafodaLista">
    <w:name w:val="List Paragraph"/>
    <w:basedOn w:val="Normal"/>
    <w:uiPriority w:val="34"/>
    <w:qFormat/>
    <w:rsid w:val="00BF2151"/>
    <w:pPr>
      <w:spacing w:after="200" w:line="276" w:lineRule="auto"/>
      <w:ind w:left="720"/>
      <w:contextualSpacing/>
    </w:pPr>
    <w:rPr>
      <w:rFonts w:ascii="Calibri" w:eastAsia="Calibri" w:hAnsi="Calibri"/>
      <w:sz w:val="22"/>
      <w:szCs w:val="22"/>
      <w:lang w:eastAsia="en-US"/>
    </w:rPr>
  </w:style>
  <w:style w:type="paragraph" w:styleId="Recuodecorpodetexto">
    <w:name w:val="Body Text Indent"/>
    <w:basedOn w:val="Normal"/>
    <w:link w:val="RecuodecorpodetextoChar"/>
    <w:semiHidden/>
    <w:rsid w:val="00C150A1"/>
    <w:pPr>
      <w:suppressAutoHyphens/>
      <w:spacing w:line="360" w:lineRule="auto"/>
      <w:ind w:left="1134" w:hanging="1134"/>
      <w:jc w:val="both"/>
    </w:pPr>
    <w:rPr>
      <w:szCs w:val="20"/>
      <w:lang w:eastAsia="ar-SA"/>
    </w:rPr>
  </w:style>
  <w:style w:type="character" w:customStyle="1" w:styleId="RecuodecorpodetextoChar">
    <w:name w:val="Recuo de corpo de texto Char"/>
    <w:basedOn w:val="Fontepargpadro"/>
    <w:link w:val="Recuodecorpodetexto"/>
    <w:semiHidden/>
    <w:rsid w:val="00C150A1"/>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uiPriority w:val="9"/>
    <w:rsid w:val="00C150A1"/>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8731DF"/>
    <w:pPr>
      <w:spacing w:before="100" w:beforeAutospacing="1" w:after="100" w:afterAutospacing="1"/>
    </w:pPr>
  </w:style>
  <w:style w:type="character" w:customStyle="1" w:styleId="article-title">
    <w:name w:val="article-title"/>
    <w:basedOn w:val="Fontepargpadro"/>
    <w:rsid w:val="001E2B75"/>
  </w:style>
  <w:style w:type="paragraph" w:styleId="Cabealho">
    <w:name w:val="header"/>
    <w:basedOn w:val="Normal"/>
    <w:link w:val="CabealhoChar"/>
    <w:uiPriority w:val="99"/>
    <w:semiHidden/>
    <w:unhideWhenUsed/>
    <w:rsid w:val="0035611E"/>
    <w:pPr>
      <w:tabs>
        <w:tab w:val="center" w:pos="4252"/>
        <w:tab w:val="right" w:pos="8504"/>
      </w:tabs>
    </w:pPr>
  </w:style>
  <w:style w:type="character" w:customStyle="1" w:styleId="CabealhoChar">
    <w:name w:val="Cabeçalho Char"/>
    <w:basedOn w:val="Fontepargpadro"/>
    <w:link w:val="Cabealho"/>
    <w:uiPriority w:val="99"/>
    <w:semiHidden/>
    <w:rsid w:val="0035611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5611E"/>
    <w:pPr>
      <w:tabs>
        <w:tab w:val="center" w:pos="4252"/>
        <w:tab w:val="right" w:pos="8504"/>
      </w:tabs>
    </w:pPr>
  </w:style>
  <w:style w:type="character" w:customStyle="1" w:styleId="RodapChar">
    <w:name w:val="Rodapé Char"/>
    <w:basedOn w:val="Fontepargpadro"/>
    <w:link w:val="Rodap"/>
    <w:uiPriority w:val="99"/>
    <w:rsid w:val="0035611E"/>
    <w:rPr>
      <w:rFonts w:ascii="Times New Roman" w:eastAsia="Times New Roman" w:hAnsi="Times New Roman" w:cs="Times New Roman"/>
      <w:sz w:val="24"/>
      <w:szCs w:val="24"/>
      <w:lang w:eastAsia="pt-BR"/>
    </w:rPr>
  </w:style>
  <w:style w:type="character" w:customStyle="1" w:styleId="notranslate">
    <w:name w:val="notranslate"/>
    <w:rsid w:val="00C856E9"/>
  </w:style>
  <w:style w:type="paragraph" w:styleId="Textodebalo">
    <w:name w:val="Balloon Text"/>
    <w:basedOn w:val="Normal"/>
    <w:link w:val="TextodebaloChar"/>
    <w:uiPriority w:val="99"/>
    <w:semiHidden/>
    <w:unhideWhenUsed/>
    <w:rsid w:val="00C856E9"/>
    <w:rPr>
      <w:rFonts w:ascii="Tahoma" w:hAnsi="Tahoma" w:cs="Tahoma"/>
      <w:sz w:val="16"/>
      <w:szCs w:val="16"/>
    </w:rPr>
  </w:style>
  <w:style w:type="character" w:customStyle="1" w:styleId="TextodebaloChar">
    <w:name w:val="Texto de balão Char"/>
    <w:basedOn w:val="Fontepargpadro"/>
    <w:link w:val="Textodebalo"/>
    <w:uiPriority w:val="99"/>
    <w:semiHidden/>
    <w:rsid w:val="00C856E9"/>
    <w:rPr>
      <w:rFonts w:ascii="Tahoma" w:eastAsia="Times New Roman" w:hAnsi="Tahoma" w:cs="Tahoma"/>
      <w:sz w:val="16"/>
      <w:szCs w:val="16"/>
      <w:lang w:eastAsia="pt-BR"/>
    </w:rPr>
  </w:style>
  <w:style w:type="table" w:styleId="Tabelacomgrade">
    <w:name w:val="Table Grid"/>
    <w:basedOn w:val="Tabelanormal"/>
    <w:uiPriority w:val="59"/>
    <w:rsid w:val="00C40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uiPriority w:val="20"/>
    <w:qFormat/>
    <w:rsid w:val="00C40D8A"/>
    <w:rPr>
      <w:i/>
      <w:iCs/>
    </w:rPr>
  </w:style>
  <w:style w:type="character" w:customStyle="1" w:styleId="st">
    <w:name w:val="st"/>
    <w:basedOn w:val="Fontepargpadro"/>
    <w:rsid w:val="00C40D8A"/>
  </w:style>
  <w:style w:type="character" w:styleId="Hyperlink">
    <w:name w:val="Hyperlink"/>
    <w:uiPriority w:val="99"/>
    <w:unhideWhenUsed/>
    <w:rsid w:val="007D35E4"/>
    <w:rPr>
      <w:color w:val="0000FF"/>
      <w:u w:val="single"/>
    </w:rPr>
  </w:style>
  <w:style w:type="character" w:customStyle="1" w:styleId="citation">
    <w:name w:val="citation"/>
    <w:basedOn w:val="Fontepargpadro"/>
    <w:rsid w:val="007D35E4"/>
  </w:style>
  <w:style w:type="character" w:customStyle="1" w:styleId="apple-converted-space">
    <w:name w:val="apple-converted-space"/>
    <w:rsid w:val="000450BA"/>
  </w:style>
  <w:style w:type="paragraph" w:customStyle="1" w:styleId="Recuodecorpodetexto32">
    <w:name w:val="Recuo de corpo de texto 32"/>
    <w:basedOn w:val="Normal"/>
    <w:rsid w:val="00970FD3"/>
    <w:pPr>
      <w:tabs>
        <w:tab w:val="left" w:pos="1418"/>
      </w:tabs>
      <w:suppressAutoHyphens/>
      <w:spacing w:line="480" w:lineRule="auto"/>
      <w:ind w:firstLine="709"/>
      <w:jc w:val="both"/>
    </w:pPr>
    <w:rPr>
      <w:szCs w:val="20"/>
      <w:lang w:eastAsia="ar-SA"/>
    </w:rPr>
  </w:style>
  <w:style w:type="character" w:customStyle="1" w:styleId="Ttulo3Char">
    <w:name w:val="Título 3 Char"/>
    <w:basedOn w:val="Fontepargpadro"/>
    <w:link w:val="Ttulo3"/>
    <w:uiPriority w:val="9"/>
    <w:rsid w:val="004778E7"/>
    <w:rPr>
      <w:rFonts w:asciiTheme="majorHAnsi" w:eastAsiaTheme="majorEastAsia" w:hAnsiTheme="majorHAnsi" w:cstheme="majorBidi"/>
      <w:b/>
      <w:bCs/>
      <w:color w:val="4F81BD" w:themeColor="accent1"/>
    </w:rPr>
  </w:style>
  <w:style w:type="paragraph" w:styleId="Recuodecorpodetexto3">
    <w:name w:val="Body Text Indent 3"/>
    <w:basedOn w:val="Normal"/>
    <w:link w:val="Recuodecorpodetexto3Char"/>
    <w:unhideWhenUsed/>
    <w:rsid w:val="006F2A07"/>
    <w:pPr>
      <w:spacing w:after="120"/>
      <w:ind w:left="283"/>
    </w:pPr>
    <w:rPr>
      <w:sz w:val="16"/>
      <w:szCs w:val="16"/>
    </w:rPr>
  </w:style>
  <w:style w:type="character" w:customStyle="1" w:styleId="Recuodecorpodetexto3Char">
    <w:name w:val="Recuo de corpo de texto 3 Char"/>
    <w:basedOn w:val="Fontepargpadro"/>
    <w:link w:val="Recuodecorpodetexto3"/>
    <w:rsid w:val="006F2A07"/>
    <w:rPr>
      <w:rFonts w:ascii="Times New Roman" w:eastAsia="Times New Roman" w:hAnsi="Times New Roman" w:cs="Times New Roman"/>
      <w:sz w:val="16"/>
      <w:szCs w:val="16"/>
      <w:lang w:eastAsia="pt-BR"/>
    </w:rPr>
  </w:style>
  <w:style w:type="character" w:customStyle="1" w:styleId="txt8">
    <w:name w:val="txt8"/>
    <w:basedOn w:val="Fontepargpadro"/>
    <w:rsid w:val="00976086"/>
  </w:style>
  <w:style w:type="paragraph" w:customStyle="1" w:styleId="Corpodetexto31">
    <w:name w:val="Corpo de texto 31"/>
    <w:basedOn w:val="Normal"/>
    <w:rsid w:val="00976086"/>
    <w:pPr>
      <w:suppressAutoHyphens/>
      <w:spacing w:line="480" w:lineRule="auto"/>
      <w:jc w:val="both"/>
    </w:pPr>
    <w:rPr>
      <w:lang w:eastAsia="ar-SA"/>
    </w:rPr>
  </w:style>
  <w:style w:type="character" w:styleId="Forte">
    <w:name w:val="Strong"/>
    <w:basedOn w:val="Fontepargpadro"/>
    <w:uiPriority w:val="22"/>
    <w:qFormat/>
    <w:rsid w:val="00D80C76"/>
    <w:rPr>
      <w:b/>
      <w:bCs/>
    </w:rPr>
  </w:style>
  <w:style w:type="paragraph" w:styleId="Pr-formataoHTML">
    <w:name w:val="HTML Preformatted"/>
    <w:basedOn w:val="Normal"/>
    <w:link w:val="Pr-formataoHTMLChar"/>
    <w:uiPriority w:val="99"/>
    <w:unhideWhenUsed/>
    <w:rsid w:val="00D77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D77FCA"/>
    <w:rPr>
      <w:rFonts w:ascii="Courier New" w:eastAsia="Times New Roman" w:hAnsi="Courier New" w:cs="Courier New"/>
      <w:sz w:val="20"/>
      <w:szCs w:val="20"/>
      <w:lang w:eastAsia="pt-BR"/>
    </w:rPr>
  </w:style>
  <w:style w:type="paragraph" w:customStyle="1" w:styleId="Default">
    <w:name w:val="Default"/>
    <w:rsid w:val="00AB7331"/>
    <w:pPr>
      <w:autoSpaceDE w:val="0"/>
      <w:autoSpaceDN w:val="0"/>
      <w:adjustRightInd w:val="0"/>
      <w:spacing w:after="0" w:line="240" w:lineRule="auto"/>
    </w:pPr>
    <w:rPr>
      <w:rFonts w:ascii="Gotham Narrow Medium" w:hAnsi="Gotham Narrow Medium" w:cs="Gotham Narrow Medium"/>
      <w:color w:val="000000"/>
      <w:sz w:val="24"/>
      <w:szCs w:val="24"/>
    </w:rPr>
  </w:style>
  <w:style w:type="character" w:customStyle="1" w:styleId="A5">
    <w:name w:val="A5"/>
    <w:uiPriority w:val="99"/>
    <w:rsid w:val="00AB7331"/>
    <w:rPr>
      <w:rFonts w:cs="Gotham Narrow Medium"/>
      <w:color w:val="000000"/>
      <w:sz w:val="11"/>
      <w:szCs w:val="11"/>
    </w:rPr>
  </w:style>
  <w:style w:type="character" w:customStyle="1" w:styleId="A7">
    <w:name w:val="A7"/>
    <w:uiPriority w:val="99"/>
    <w:rsid w:val="00AB7331"/>
    <w:rPr>
      <w:rFonts w:cs="Gotham Narrow Medium"/>
      <w:color w:val="000000"/>
      <w:sz w:val="16"/>
      <w:szCs w:val="16"/>
    </w:rPr>
  </w:style>
  <w:style w:type="paragraph" w:customStyle="1" w:styleId="author">
    <w:name w:val="author"/>
    <w:basedOn w:val="Normal"/>
    <w:rsid w:val="006641EE"/>
    <w:pPr>
      <w:spacing w:before="100" w:beforeAutospacing="1" w:after="100" w:afterAutospacing="1"/>
    </w:pPr>
  </w:style>
  <w:style w:type="character" w:customStyle="1" w:styleId="author-name">
    <w:name w:val="author-name"/>
    <w:basedOn w:val="Fontepargpadro"/>
    <w:rsid w:val="006641EE"/>
  </w:style>
  <w:style w:type="paragraph" w:styleId="Corpodetexto">
    <w:name w:val="Body Text"/>
    <w:basedOn w:val="Normal"/>
    <w:link w:val="CorpodetextoChar"/>
    <w:rsid w:val="0065298E"/>
    <w:pPr>
      <w:spacing w:after="120"/>
    </w:pPr>
    <w:rPr>
      <w:sz w:val="26"/>
      <w:szCs w:val="26"/>
    </w:rPr>
  </w:style>
  <w:style w:type="character" w:customStyle="1" w:styleId="CorpodetextoChar">
    <w:name w:val="Corpo de texto Char"/>
    <w:basedOn w:val="Fontepargpadro"/>
    <w:link w:val="Corpodetexto"/>
    <w:rsid w:val="0065298E"/>
    <w:rPr>
      <w:rFonts w:ascii="Times New Roman" w:eastAsia="Times New Roman" w:hAnsi="Times New Roman" w:cs="Times New Roman"/>
      <w:sz w:val="26"/>
      <w:szCs w:val="26"/>
      <w:lang w:eastAsia="pt-BR"/>
    </w:rPr>
  </w:style>
</w:styles>
</file>

<file path=word/webSettings.xml><?xml version="1.0" encoding="utf-8"?>
<w:webSettings xmlns:r="http://schemas.openxmlformats.org/officeDocument/2006/relationships" xmlns:w="http://schemas.openxmlformats.org/wordprocessingml/2006/main">
  <w:divs>
    <w:div w:id="12659269">
      <w:bodyDiv w:val="1"/>
      <w:marLeft w:val="0"/>
      <w:marRight w:val="0"/>
      <w:marTop w:val="0"/>
      <w:marBottom w:val="0"/>
      <w:divBdr>
        <w:top w:val="none" w:sz="0" w:space="0" w:color="auto"/>
        <w:left w:val="none" w:sz="0" w:space="0" w:color="auto"/>
        <w:bottom w:val="none" w:sz="0" w:space="0" w:color="auto"/>
        <w:right w:val="none" w:sz="0" w:space="0" w:color="auto"/>
      </w:divBdr>
    </w:div>
    <w:div w:id="118883431">
      <w:bodyDiv w:val="1"/>
      <w:marLeft w:val="0"/>
      <w:marRight w:val="0"/>
      <w:marTop w:val="0"/>
      <w:marBottom w:val="0"/>
      <w:divBdr>
        <w:top w:val="none" w:sz="0" w:space="0" w:color="auto"/>
        <w:left w:val="none" w:sz="0" w:space="0" w:color="auto"/>
        <w:bottom w:val="none" w:sz="0" w:space="0" w:color="auto"/>
        <w:right w:val="none" w:sz="0" w:space="0" w:color="auto"/>
      </w:divBdr>
    </w:div>
    <w:div w:id="122041010">
      <w:bodyDiv w:val="1"/>
      <w:marLeft w:val="0"/>
      <w:marRight w:val="0"/>
      <w:marTop w:val="0"/>
      <w:marBottom w:val="0"/>
      <w:divBdr>
        <w:top w:val="none" w:sz="0" w:space="0" w:color="auto"/>
        <w:left w:val="none" w:sz="0" w:space="0" w:color="auto"/>
        <w:bottom w:val="none" w:sz="0" w:space="0" w:color="auto"/>
        <w:right w:val="none" w:sz="0" w:space="0" w:color="auto"/>
      </w:divBdr>
    </w:div>
    <w:div w:id="158274637">
      <w:bodyDiv w:val="1"/>
      <w:marLeft w:val="0"/>
      <w:marRight w:val="0"/>
      <w:marTop w:val="0"/>
      <w:marBottom w:val="0"/>
      <w:divBdr>
        <w:top w:val="none" w:sz="0" w:space="0" w:color="auto"/>
        <w:left w:val="none" w:sz="0" w:space="0" w:color="auto"/>
        <w:bottom w:val="none" w:sz="0" w:space="0" w:color="auto"/>
        <w:right w:val="none" w:sz="0" w:space="0" w:color="auto"/>
      </w:divBdr>
      <w:divsChild>
        <w:div w:id="847912558">
          <w:marLeft w:val="0"/>
          <w:marRight w:val="0"/>
          <w:marTop w:val="0"/>
          <w:marBottom w:val="0"/>
          <w:divBdr>
            <w:top w:val="none" w:sz="0" w:space="0" w:color="auto"/>
            <w:left w:val="none" w:sz="0" w:space="0" w:color="auto"/>
            <w:bottom w:val="none" w:sz="0" w:space="0" w:color="auto"/>
            <w:right w:val="none" w:sz="0" w:space="0" w:color="auto"/>
          </w:divBdr>
        </w:div>
        <w:div w:id="1862236059">
          <w:marLeft w:val="0"/>
          <w:marRight w:val="0"/>
          <w:marTop w:val="0"/>
          <w:marBottom w:val="0"/>
          <w:divBdr>
            <w:top w:val="none" w:sz="0" w:space="0" w:color="auto"/>
            <w:left w:val="none" w:sz="0" w:space="0" w:color="auto"/>
            <w:bottom w:val="none" w:sz="0" w:space="0" w:color="auto"/>
            <w:right w:val="none" w:sz="0" w:space="0" w:color="auto"/>
          </w:divBdr>
        </w:div>
        <w:div w:id="566107251">
          <w:marLeft w:val="0"/>
          <w:marRight w:val="0"/>
          <w:marTop w:val="0"/>
          <w:marBottom w:val="0"/>
          <w:divBdr>
            <w:top w:val="none" w:sz="0" w:space="0" w:color="auto"/>
            <w:left w:val="none" w:sz="0" w:space="0" w:color="auto"/>
            <w:bottom w:val="none" w:sz="0" w:space="0" w:color="auto"/>
            <w:right w:val="none" w:sz="0" w:space="0" w:color="auto"/>
          </w:divBdr>
        </w:div>
      </w:divsChild>
    </w:div>
    <w:div w:id="270935747">
      <w:bodyDiv w:val="1"/>
      <w:marLeft w:val="0"/>
      <w:marRight w:val="0"/>
      <w:marTop w:val="0"/>
      <w:marBottom w:val="0"/>
      <w:divBdr>
        <w:top w:val="none" w:sz="0" w:space="0" w:color="auto"/>
        <w:left w:val="none" w:sz="0" w:space="0" w:color="auto"/>
        <w:bottom w:val="none" w:sz="0" w:space="0" w:color="auto"/>
        <w:right w:val="none" w:sz="0" w:space="0" w:color="auto"/>
      </w:divBdr>
      <w:divsChild>
        <w:div w:id="1371110451">
          <w:marLeft w:val="0"/>
          <w:marRight w:val="0"/>
          <w:marTop w:val="0"/>
          <w:marBottom w:val="0"/>
          <w:divBdr>
            <w:top w:val="none" w:sz="0" w:space="0" w:color="auto"/>
            <w:left w:val="none" w:sz="0" w:space="0" w:color="auto"/>
            <w:bottom w:val="none" w:sz="0" w:space="0" w:color="auto"/>
            <w:right w:val="none" w:sz="0" w:space="0" w:color="auto"/>
          </w:divBdr>
        </w:div>
        <w:div w:id="1673333351">
          <w:marLeft w:val="0"/>
          <w:marRight w:val="0"/>
          <w:marTop w:val="0"/>
          <w:marBottom w:val="0"/>
          <w:divBdr>
            <w:top w:val="none" w:sz="0" w:space="0" w:color="auto"/>
            <w:left w:val="none" w:sz="0" w:space="0" w:color="auto"/>
            <w:bottom w:val="none" w:sz="0" w:space="0" w:color="auto"/>
            <w:right w:val="none" w:sz="0" w:space="0" w:color="auto"/>
          </w:divBdr>
        </w:div>
      </w:divsChild>
    </w:div>
    <w:div w:id="595402522">
      <w:bodyDiv w:val="1"/>
      <w:marLeft w:val="0"/>
      <w:marRight w:val="0"/>
      <w:marTop w:val="0"/>
      <w:marBottom w:val="0"/>
      <w:divBdr>
        <w:top w:val="none" w:sz="0" w:space="0" w:color="auto"/>
        <w:left w:val="none" w:sz="0" w:space="0" w:color="auto"/>
        <w:bottom w:val="none" w:sz="0" w:space="0" w:color="auto"/>
        <w:right w:val="none" w:sz="0" w:space="0" w:color="auto"/>
      </w:divBdr>
      <w:divsChild>
        <w:div w:id="371348259">
          <w:marLeft w:val="0"/>
          <w:marRight w:val="0"/>
          <w:marTop w:val="0"/>
          <w:marBottom w:val="0"/>
          <w:divBdr>
            <w:top w:val="none" w:sz="0" w:space="0" w:color="auto"/>
            <w:left w:val="none" w:sz="0" w:space="0" w:color="auto"/>
            <w:bottom w:val="none" w:sz="0" w:space="0" w:color="auto"/>
            <w:right w:val="none" w:sz="0" w:space="0" w:color="auto"/>
          </w:divBdr>
        </w:div>
        <w:div w:id="194972839">
          <w:marLeft w:val="0"/>
          <w:marRight w:val="0"/>
          <w:marTop w:val="0"/>
          <w:marBottom w:val="0"/>
          <w:divBdr>
            <w:top w:val="none" w:sz="0" w:space="0" w:color="auto"/>
            <w:left w:val="none" w:sz="0" w:space="0" w:color="auto"/>
            <w:bottom w:val="none" w:sz="0" w:space="0" w:color="auto"/>
            <w:right w:val="none" w:sz="0" w:space="0" w:color="auto"/>
          </w:divBdr>
        </w:div>
        <w:div w:id="1584296753">
          <w:marLeft w:val="0"/>
          <w:marRight w:val="0"/>
          <w:marTop w:val="0"/>
          <w:marBottom w:val="0"/>
          <w:divBdr>
            <w:top w:val="none" w:sz="0" w:space="0" w:color="auto"/>
            <w:left w:val="none" w:sz="0" w:space="0" w:color="auto"/>
            <w:bottom w:val="none" w:sz="0" w:space="0" w:color="auto"/>
            <w:right w:val="none" w:sz="0" w:space="0" w:color="auto"/>
          </w:divBdr>
        </w:div>
        <w:div w:id="1387409659">
          <w:marLeft w:val="0"/>
          <w:marRight w:val="0"/>
          <w:marTop w:val="0"/>
          <w:marBottom w:val="0"/>
          <w:divBdr>
            <w:top w:val="none" w:sz="0" w:space="0" w:color="auto"/>
            <w:left w:val="none" w:sz="0" w:space="0" w:color="auto"/>
            <w:bottom w:val="none" w:sz="0" w:space="0" w:color="auto"/>
            <w:right w:val="none" w:sz="0" w:space="0" w:color="auto"/>
          </w:divBdr>
        </w:div>
      </w:divsChild>
    </w:div>
    <w:div w:id="657803793">
      <w:bodyDiv w:val="1"/>
      <w:marLeft w:val="0"/>
      <w:marRight w:val="0"/>
      <w:marTop w:val="0"/>
      <w:marBottom w:val="0"/>
      <w:divBdr>
        <w:top w:val="none" w:sz="0" w:space="0" w:color="auto"/>
        <w:left w:val="none" w:sz="0" w:space="0" w:color="auto"/>
        <w:bottom w:val="none" w:sz="0" w:space="0" w:color="auto"/>
        <w:right w:val="none" w:sz="0" w:space="0" w:color="auto"/>
      </w:divBdr>
    </w:div>
    <w:div w:id="659426230">
      <w:bodyDiv w:val="1"/>
      <w:marLeft w:val="0"/>
      <w:marRight w:val="0"/>
      <w:marTop w:val="0"/>
      <w:marBottom w:val="0"/>
      <w:divBdr>
        <w:top w:val="none" w:sz="0" w:space="0" w:color="auto"/>
        <w:left w:val="none" w:sz="0" w:space="0" w:color="auto"/>
        <w:bottom w:val="none" w:sz="0" w:space="0" w:color="auto"/>
        <w:right w:val="none" w:sz="0" w:space="0" w:color="auto"/>
      </w:divBdr>
    </w:div>
    <w:div w:id="666635971">
      <w:bodyDiv w:val="1"/>
      <w:marLeft w:val="0"/>
      <w:marRight w:val="0"/>
      <w:marTop w:val="0"/>
      <w:marBottom w:val="0"/>
      <w:divBdr>
        <w:top w:val="none" w:sz="0" w:space="0" w:color="auto"/>
        <w:left w:val="none" w:sz="0" w:space="0" w:color="auto"/>
        <w:bottom w:val="none" w:sz="0" w:space="0" w:color="auto"/>
        <w:right w:val="none" w:sz="0" w:space="0" w:color="auto"/>
      </w:divBdr>
    </w:div>
    <w:div w:id="765813154">
      <w:bodyDiv w:val="1"/>
      <w:marLeft w:val="0"/>
      <w:marRight w:val="0"/>
      <w:marTop w:val="0"/>
      <w:marBottom w:val="0"/>
      <w:divBdr>
        <w:top w:val="none" w:sz="0" w:space="0" w:color="auto"/>
        <w:left w:val="none" w:sz="0" w:space="0" w:color="auto"/>
        <w:bottom w:val="none" w:sz="0" w:space="0" w:color="auto"/>
        <w:right w:val="none" w:sz="0" w:space="0" w:color="auto"/>
      </w:divBdr>
    </w:div>
    <w:div w:id="879560453">
      <w:bodyDiv w:val="1"/>
      <w:marLeft w:val="0"/>
      <w:marRight w:val="0"/>
      <w:marTop w:val="0"/>
      <w:marBottom w:val="0"/>
      <w:divBdr>
        <w:top w:val="none" w:sz="0" w:space="0" w:color="auto"/>
        <w:left w:val="none" w:sz="0" w:space="0" w:color="auto"/>
        <w:bottom w:val="none" w:sz="0" w:space="0" w:color="auto"/>
        <w:right w:val="none" w:sz="0" w:space="0" w:color="auto"/>
      </w:divBdr>
      <w:divsChild>
        <w:div w:id="1916238592">
          <w:marLeft w:val="0"/>
          <w:marRight w:val="0"/>
          <w:marTop w:val="0"/>
          <w:marBottom w:val="0"/>
          <w:divBdr>
            <w:top w:val="none" w:sz="0" w:space="0" w:color="auto"/>
            <w:left w:val="none" w:sz="0" w:space="0" w:color="auto"/>
            <w:bottom w:val="none" w:sz="0" w:space="0" w:color="auto"/>
            <w:right w:val="none" w:sz="0" w:space="0" w:color="auto"/>
          </w:divBdr>
        </w:div>
        <w:div w:id="1407846187">
          <w:marLeft w:val="0"/>
          <w:marRight w:val="0"/>
          <w:marTop w:val="0"/>
          <w:marBottom w:val="0"/>
          <w:divBdr>
            <w:top w:val="none" w:sz="0" w:space="0" w:color="auto"/>
            <w:left w:val="none" w:sz="0" w:space="0" w:color="auto"/>
            <w:bottom w:val="none" w:sz="0" w:space="0" w:color="auto"/>
            <w:right w:val="none" w:sz="0" w:space="0" w:color="auto"/>
          </w:divBdr>
        </w:div>
        <w:div w:id="320307094">
          <w:marLeft w:val="0"/>
          <w:marRight w:val="0"/>
          <w:marTop w:val="0"/>
          <w:marBottom w:val="0"/>
          <w:divBdr>
            <w:top w:val="none" w:sz="0" w:space="0" w:color="auto"/>
            <w:left w:val="none" w:sz="0" w:space="0" w:color="auto"/>
            <w:bottom w:val="none" w:sz="0" w:space="0" w:color="auto"/>
            <w:right w:val="none" w:sz="0" w:space="0" w:color="auto"/>
          </w:divBdr>
        </w:div>
        <w:div w:id="1320185949">
          <w:marLeft w:val="0"/>
          <w:marRight w:val="0"/>
          <w:marTop w:val="0"/>
          <w:marBottom w:val="0"/>
          <w:divBdr>
            <w:top w:val="none" w:sz="0" w:space="0" w:color="auto"/>
            <w:left w:val="none" w:sz="0" w:space="0" w:color="auto"/>
            <w:bottom w:val="none" w:sz="0" w:space="0" w:color="auto"/>
            <w:right w:val="none" w:sz="0" w:space="0" w:color="auto"/>
          </w:divBdr>
        </w:div>
        <w:div w:id="1089691138">
          <w:marLeft w:val="0"/>
          <w:marRight w:val="0"/>
          <w:marTop w:val="0"/>
          <w:marBottom w:val="0"/>
          <w:divBdr>
            <w:top w:val="none" w:sz="0" w:space="0" w:color="auto"/>
            <w:left w:val="none" w:sz="0" w:space="0" w:color="auto"/>
            <w:bottom w:val="none" w:sz="0" w:space="0" w:color="auto"/>
            <w:right w:val="none" w:sz="0" w:space="0" w:color="auto"/>
          </w:divBdr>
        </w:div>
        <w:div w:id="517742479">
          <w:marLeft w:val="0"/>
          <w:marRight w:val="0"/>
          <w:marTop w:val="0"/>
          <w:marBottom w:val="0"/>
          <w:divBdr>
            <w:top w:val="none" w:sz="0" w:space="0" w:color="auto"/>
            <w:left w:val="none" w:sz="0" w:space="0" w:color="auto"/>
            <w:bottom w:val="none" w:sz="0" w:space="0" w:color="auto"/>
            <w:right w:val="none" w:sz="0" w:space="0" w:color="auto"/>
          </w:divBdr>
        </w:div>
        <w:div w:id="1097604909">
          <w:marLeft w:val="0"/>
          <w:marRight w:val="0"/>
          <w:marTop w:val="0"/>
          <w:marBottom w:val="0"/>
          <w:divBdr>
            <w:top w:val="none" w:sz="0" w:space="0" w:color="auto"/>
            <w:left w:val="none" w:sz="0" w:space="0" w:color="auto"/>
            <w:bottom w:val="none" w:sz="0" w:space="0" w:color="auto"/>
            <w:right w:val="none" w:sz="0" w:space="0" w:color="auto"/>
          </w:divBdr>
        </w:div>
        <w:div w:id="134491970">
          <w:marLeft w:val="0"/>
          <w:marRight w:val="0"/>
          <w:marTop w:val="0"/>
          <w:marBottom w:val="0"/>
          <w:divBdr>
            <w:top w:val="none" w:sz="0" w:space="0" w:color="auto"/>
            <w:left w:val="none" w:sz="0" w:space="0" w:color="auto"/>
            <w:bottom w:val="none" w:sz="0" w:space="0" w:color="auto"/>
            <w:right w:val="none" w:sz="0" w:space="0" w:color="auto"/>
          </w:divBdr>
        </w:div>
        <w:div w:id="391008620">
          <w:marLeft w:val="0"/>
          <w:marRight w:val="0"/>
          <w:marTop w:val="0"/>
          <w:marBottom w:val="0"/>
          <w:divBdr>
            <w:top w:val="none" w:sz="0" w:space="0" w:color="auto"/>
            <w:left w:val="none" w:sz="0" w:space="0" w:color="auto"/>
            <w:bottom w:val="none" w:sz="0" w:space="0" w:color="auto"/>
            <w:right w:val="none" w:sz="0" w:space="0" w:color="auto"/>
          </w:divBdr>
        </w:div>
        <w:div w:id="755054727">
          <w:marLeft w:val="0"/>
          <w:marRight w:val="0"/>
          <w:marTop w:val="0"/>
          <w:marBottom w:val="0"/>
          <w:divBdr>
            <w:top w:val="none" w:sz="0" w:space="0" w:color="auto"/>
            <w:left w:val="none" w:sz="0" w:space="0" w:color="auto"/>
            <w:bottom w:val="none" w:sz="0" w:space="0" w:color="auto"/>
            <w:right w:val="none" w:sz="0" w:space="0" w:color="auto"/>
          </w:divBdr>
        </w:div>
        <w:div w:id="581960238">
          <w:marLeft w:val="0"/>
          <w:marRight w:val="0"/>
          <w:marTop w:val="0"/>
          <w:marBottom w:val="0"/>
          <w:divBdr>
            <w:top w:val="none" w:sz="0" w:space="0" w:color="auto"/>
            <w:left w:val="none" w:sz="0" w:space="0" w:color="auto"/>
            <w:bottom w:val="none" w:sz="0" w:space="0" w:color="auto"/>
            <w:right w:val="none" w:sz="0" w:space="0" w:color="auto"/>
          </w:divBdr>
        </w:div>
      </w:divsChild>
    </w:div>
    <w:div w:id="902789575">
      <w:bodyDiv w:val="1"/>
      <w:marLeft w:val="0"/>
      <w:marRight w:val="0"/>
      <w:marTop w:val="0"/>
      <w:marBottom w:val="0"/>
      <w:divBdr>
        <w:top w:val="none" w:sz="0" w:space="0" w:color="auto"/>
        <w:left w:val="none" w:sz="0" w:space="0" w:color="auto"/>
        <w:bottom w:val="none" w:sz="0" w:space="0" w:color="auto"/>
        <w:right w:val="none" w:sz="0" w:space="0" w:color="auto"/>
      </w:divBdr>
    </w:div>
    <w:div w:id="939408762">
      <w:bodyDiv w:val="1"/>
      <w:marLeft w:val="0"/>
      <w:marRight w:val="0"/>
      <w:marTop w:val="0"/>
      <w:marBottom w:val="0"/>
      <w:divBdr>
        <w:top w:val="none" w:sz="0" w:space="0" w:color="auto"/>
        <w:left w:val="none" w:sz="0" w:space="0" w:color="auto"/>
        <w:bottom w:val="none" w:sz="0" w:space="0" w:color="auto"/>
        <w:right w:val="none" w:sz="0" w:space="0" w:color="auto"/>
      </w:divBdr>
    </w:div>
    <w:div w:id="956908874">
      <w:bodyDiv w:val="1"/>
      <w:marLeft w:val="0"/>
      <w:marRight w:val="0"/>
      <w:marTop w:val="0"/>
      <w:marBottom w:val="0"/>
      <w:divBdr>
        <w:top w:val="none" w:sz="0" w:space="0" w:color="auto"/>
        <w:left w:val="none" w:sz="0" w:space="0" w:color="auto"/>
        <w:bottom w:val="none" w:sz="0" w:space="0" w:color="auto"/>
        <w:right w:val="none" w:sz="0" w:space="0" w:color="auto"/>
      </w:divBdr>
    </w:div>
    <w:div w:id="1049842996">
      <w:bodyDiv w:val="1"/>
      <w:marLeft w:val="0"/>
      <w:marRight w:val="0"/>
      <w:marTop w:val="0"/>
      <w:marBottom w:val="0"/>
      <w:divBdr>
        <w:top w:val="none" w:sz="0" w:space="0" w:color="auto"/>
        <w:left w:val="none" w:sz="0" w:space="0" w:color="auto"/>
        <w:bottom w:val="none" w:sz="0" w:space="0" w:color="auto"/>
        <w:right w:val="none" w:sz="0" w:space="0" w:color="auto"/>
      </w:divBdr>
    </w:div>
    <w:div w:id="1213424476">
      <w:bodyDiv w:val="1"/>
      <w:marLeft w:val="0"/>
      <w:marRight w:val="0"/>
      <w:marTop w:val="0"/>
      <w:marBottom w:val="0"/>
      <w:divBdr>
        <w:top w:val="none" w:sz="0" w:space="0" w:color="auto"/>
        <w:left w:val="none" w:sz="0" w:space="0" w:color="auto"/>
        <w:bottom w:val="none" w:sz="0" w:space="0" w:color="auto"/>
        <w:right w:val="none" w:sz="0" w:space="0" w:color="auto"/>
      </w:divBdr>
    </w:div>
    <w:div w:id="1275404815">
      <w:bodyDiv w:val="1"/>
      <w:marLeft w:val="0"/>
      <w:marRight w:val="0"/>
      <w:marTop w:val="0"/>
      <w:marBottom w:val="0"/>
      <w:divBdr>
        <w:top w:val="none" w:sz="0" w:space="0" w:color="auto"/>
        <w:left w:val="none" w:sz="0" w:space="0" w:color="auto"/>
        <w:bottom w:val="none" w:sz="0" w:space="0" w:color="auto"/>
        <w:right w:val="none" w:sz="0" w:space="0" w:color="auto"/>
      </w:divBdr>
    </w:div>
    <w:div w:id="1291207247">
      <w:bodyDiv w:val="1"/>
      <w:marLeft w:val="0"/>
      <w:marRight w:val="0"/>
      <w:marTop w:val="0"/>
      <w:marBottom w:val="0"/>
      <w:divBdr>
        <w:top w:val="none" w:sz="0" w:space="0" w:color="auto"/>
        <w:left w:val="none" w:sz="0" w:space="0" w:color="auto"/>
        <w:bottom w:val="none" w:sz="0" w:space="0" w:color="auto"/>
        <w:right w:val="none" w:sz="0" w:space="0" w:color="auto"/>
      </w:divBdr>
    </w:div>
    <w:div w:id="1538424200">
      <w:bodyDiv w:val="1"/>
      <w:marLeft w:val="0"/>
      <w:marRight w:val="0"/>
      <w:marTop w:val="0"/>
      <w:marBottom w:val="0"/>
      <w:divBdr>
        <w:top w:val="none" w:sz="0" w:space="0" w:color="auto"/>
        <w:left w:val="none" w:sz="0" w:space="0" w:color="auto"/>
        <w:bottom w:val="none" w:sz="0" w:space="0" w:color="auto"/>
        <w:right w:val="none" w:sz="0" w:space="0" w:color="auto"/>
      </w:divBdr>
    </w:div>
    <w:div w:id="1543010589">
      <w:bodyDiv w:val="1"/>
      <w:marLeft w:val="0"/>
      <w:marRight w:val="0"/>
      <w:marTop w:val="0"/>
      <w:marBottom w:val="0"/>
      <w:divBdr>
        <w:top w:val="none" w:sz="0" w:space="0" w:color="auto"/>
        <w:left w:val="none" w:sz="0" w:space="0" w:color="auto"/>
        <w:bottom w:val="none" w:sz="0" w:space="0" w:color="auto"/>
        <w:right w:val="none" w:sz="0" w:space="0" w:color="auto"/>
      </w:divBdr>
    </w:div>
    <w:div w:id="1593320275">
      <w:bodyDiv w:val="1"/>
      <w:marLeft w:val="0"/>
      <w:marRight w:val="0"/>
      <w:marTop w:val="0"/>
      <w:marBottom w:val="0"/>
      <w:divBdr>
        <w:top w:val="none" w:sz="0" w:space="0" w:color="auto"/>
        <w:left w:val="none" w:sz="0" w:space="0" w:color="auto"/>
        <w:bottom w:val="none" w:sz="0" w:space="0" w:color="auto"/>
        <w:right w:val="none" w:sz="0" w:space="0" w:color="auto"/>
      </w:divBdr>
    </w:div>
    <w:div w:id="1622300471">
      <w:bodyDiv w:val="1"/>
      <w:marLeft w:val="0"/>
      <w:marRight w:val="0"/>
      <w:marTop w:val="0"/>
      <w:marBottom w:val="0"/>
      <w:divBdr>
        <w:top w:val="none" w:sz="0" w:space="0" w:color="auto"/>
        <w:left w:val="none" w:sz="0" w:space="0" w:color="auto"/>
        <w:bottom w:val="none" w:sz="0" w:space="0" w:color="auto"/>
        <w:right w:val="none" w:sz="0" w:space="0" w:color="auto"/>
      </w:divBdr>
    </w:div>
    <w:div w:id="1740398750">
      <w:bodyDiv w:val="1"/>
      <w:marLeft w:val="0"/>
      <w:marRight w:val="0"/>
      <w:marTop w:val="0"/>
      <w:marBottom w:val="0"/>
      <w:divBdr>
        <w:top w:val="none" w:sz="0" w:space="0" w:color="auto"/>
        <w:left w:val="none" w:sz="0" w:space="0" w:color="auto"/>
        <w:bottom w:val="none" w:sz="0" w:space="0" w:color="auto"/>
        <w:right w:val="none" w:sz="0" w:space="0" w:color="auto"/>
      </w:divBdr>
    </w:div>
    <w:div w:id="1925453611">
      <w:bodyDiv w:val="1"/>
      <w:marLeft w:val="0"/>
      <w:marRight w:val="0"/>
      <w:marTop w:val="0"/>
      <w:marBottom w:val="0"/>
      <w:divBdr>
        <w:top w:val="none" w:sz="0" w:space="0" w:color="auto"/>
        <w:left w:val="none" w:sz="0" w:space="0" w:color="auto"/>
        <w:bottom w:val="none" w:sz="0" w:space="0" w:color="auto"/>
        <w:right w:val="none" w:sz="0" w:space="0" w:color="auto"/>
      </w:divBdr>
    </w:div>
    <w:div w:id="19328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hyperlink" Target="https://www.ncbi.nlm.nih.gov/pubmed/?term=Cavalcanti%20AL%5BAuthor%5D&amp;cauthor=true&amp;cauthor_uid=26591695"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en.wikipedia.org/wiki/Biometrik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hyperlink" Target="https://www.ncbi.nlm.nih.gov/pubmed/?term=Silva%20AL%5BAuthor%5D&amp;cauthor=true&amp;cauthor_uid=265916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en.wikipedia.org/wiki/Martin_Wilk" TargetMode="External"/><Relationship Id="rId32" Type="http://schemas.openxmlformats.org/officeDocument/2006/relationships/hyperlink" Target="https://www.ncbi.nlm.nih.gov/pubmed/26591695"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who.int/violence_injury_prevention/road_safety_status/2013/en/" TargetMode="External"/><Relationship Id="rId28" Type="http://schemas.openxmlformats.org/officeDocument/2006/relationships/hyperlink" Target="https://www.ncbi.nlm.nih.gov/pubmed/?term=Rodrigues%20IS%5BAuthor%5D&amp;cauthor=true&amp;cauthor_uid=26591695"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s://www.ncbi.nlm.nih.gov/pubmed/?term=Xavier%20AF%5BAuthor%5D&amp;cauthor=true&amp;cauthor_uid=2659169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8.bin"/><Relationship Id="rId27" Type="http://schemas.openxmlformats.org/officeDocument/2006/relationships/hyperlink" Target="https://www.ncbi.nlm.nih.gov/pubmed/?term=Lucena%20BM%5BAuthor%5D&amp;cauthor=true&amp;cauthor_uid=26591695" TargetMode="External"/><Relationship Id="rId30" Type="http://schemas.openxmlformats.org/officeDocument/2006/relationships/hyperlink" Target="https://www.ncbi.nlm.nih.gov/pubmed/?term=Lima%20TT%5BAuthor%5D&amp;cauthor=true&amp;cauthor_uid=26591695"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BD61-2EC9-48F7-81C1-1415D12C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15</Pages>
  <Words>4763</Words>
  <Characters>25725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nlboliveira</dc:creator>
  <cp:lastModifiedBy>nlboliveira</cp:lastModifiedBy>
  <cp:revision>868</cp:revision>
  <dcterms:created xsi:type="dcterms:W3CDTF">2015-08-31T18:40:00Z</dcterms:created>
  <dcterms:modified xsi:type="dcterms:W3CDTF">2017-07-31T17:40:00Z</dcterms:modified>
</cp:coreProperties>
</file>