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86" w:rsidRPr="00393475" w:rsidRDefault="002B102F" w:rsidP="00F92986">
      <w:pPr>
        <w:jc w:val="both"/>
        <w:rPr>
          <w:rFonts w:eastAsia="Calibri"/>
          <w:b/>
          <w:lang w:val="en-US" w:eastAsia="en-US"/>
        </w:rPr>
      </w:pPr>
      <w:r w:rsidRPr="00393475">
        <w:rPr>
          <w:rFonts w:eastAsia="Calibri"/>
          <w:b/>
          <w:lang w:val="en-US" w:eastAsia="en-US"/>
        </w:rPr>
        <w:t xml:space="preserve">MORTALITY IN </w:t>
      </w:r>
      <w:r w:rsidR="004E4784" w:rsidRPr="00393475">
        <w:rPr>
          <w:rFonts w:eastAsia="Calibri"/>
          <w:b/>
          <w:lang w:val="en-US" w:eastAsia="en-US"/>
        </w:rPr>
        <w:t>TRAFFIC</w:t>
      </w:r>
      <w:r w:rsidRPr="00393475">
        <w:rPr>
          <w:rFonts w:eastAsia="Calibri"/>
          <w:b/>
          <w:lang w:val="en-US" w:eastAsia="en-US"/>
        </w:rPr>
        <w:t xml:space="preserve"> ACCIDENTS: TEMPORA</w:t>
      </w:r>
      <w:r w:rsidR="00393475">
        <w:rPr>
          <w:rFonts w:eastAsia="Calibri"/>
          <w:b/>
          <w:lang w:val="en-US" w:eastAsia="en-US"/>
        </w:rPr>
        <w:t>L</w:t>
      </w:r>
      <w:r w:rsidRPr="00393475">
        <w:rPr>
          <w:rFonts w:eastAsia="Calibri"/>
          <w:b/>
          <w:lang w:val="en-US" w:eastAsia="en-US"/>
        </w:rPr>
        <w:t xml:space="preserve"> TREND BETWEEN 1996 AND 2012</w:t>
      </w:r>
    </w:p>
    <w:p w:rsidR="00F92986" w:rsidRPr="00393475" w:rsidRDefault="00F92986" w:rsidP="00F92986">
      <w:pPr>
        <w:jc w:val="both"/>
        <w:rPr>
          <w:rFonts w:eastAsia="Calibri"/>
          <w:b/>
          <w:lang w:val="en-US" w:eastAsia="en-US"/>
        </w:rPr>
      </w:pPr>
    </w:p>
    <w:p w:rsidR="00F92986" w:rsidRPr="00393475" w:rsidRDefault="00F92986" w:rsidP="00F92986">
      <w:pPr>
        <w:autoSpaceDE w:val="0"/>
        <w:jc w:val="center"/>
        <w:rPr>
          <w:rFonts w:eastAsia="Calibri"/>
          <w:b/>
          <w:bCs/>
          <w:lang w:val="en-US" w:eastAsia="en-US"/>
        </w:rPr>
      </w:pPr>
    </w:p>
    <w:p w:rsidR="00F92986" w:rsidRPr="00393475" w:rsidRDefault="00F92986" w:rsidP="00F92986">
      <w:pPr>
        <w:autoSpaceDE w:val="0"/>
        <w:jc w:val="center"/>
        <w:rPr>
          <w:rFonts w:eastAsia="Calibri"/>
          <w:b/>
          <w:lang w:val="en-US" w:eastAsia="en-US"/>
        </w:rPr>
      </w:pPr>
    </w:p>
    <w:p w:rsidR="00F92986" w:rsidRPr="0056123C" w:rsidRDefault="00F92986" w:rsidP="00F92986">
      <w:pPr>
        <w:spacing w:after="200"/>
        <w:jc w:val="right"/>
        <w:rPr>
          <w:rFonts w:eastAsia="Calibri"/>
          <w:bCs/>
          <w:lang w:eastAsia="en-US"/>
        </w:rPr>
      </w:pPr>
      <w:r w:rsidRPr="0056123C">
        <w:rPr>
          <w:rFonts w:eastAsia="Calibri"/>
          <w:bCs/>
          <w:lang w:eastAsia="en-US"/>
        </w:rPr>
        <w:t>Nelson Luiz Batista de Oliveira</w:t>
      </w:r>
      <w:r w:rsidRPr="0056123C">
        <w:rPr>
          <w:rFonts w:eastAsia="Calibri"/>
          <w:bCs/>
          <w:vertAlign w:val="superscript"/>
          <w:lang w:eastAsia="en-US"/>
        </w:rPr>
        <w:footnoteReference w:id="1"/>
      </w:r>
    </w:p>
    <w:p w:rsidR="00F92986" w:rsidRPr="0056123C" w:rsidRDefault="00F92986" w:rsidP="00F92986">
      <w:pPr>
        <w:spacing w:after="200"/>
        <w:ind w:left="708"/>
        <w:jc w:val="right"/>
        <w:rPr>
          <w:rFonts w:eastAsia="Calibri"/>
          <w:bCs/>
          <w:lang w:eastAsia="en-US"/>
        </w:rPr>
      </w:pPr>
      <w:proofErr w:type="spellStart"/>
      <w:r w:rsidRPr="0056123C">
        <w:rPr>
          <w:rFonts w:eastAsia="Calibri"/>
          <w:bCs/>
          <w:lang w:eastAsia="en-US"/>
        </w:rPr>
        <w:t>Eniuce</w:t>
      </w:r>
      <w:proofErr w:type="spellEnd"/>
      <w:r w:rsidRPr="0056123C">
        <w:rPr>
          <w:rFonts w:eastAsia="Calibri"/>
          <w:bCs/>
          <w:lang w:eastAsia="en-US"/>
        </w:rPr>
        <w:t xml:space="preserve"> Menezes de Souza</w:t>
      </w:r>
      <w:r w:rsidRPr="0056123C">
        <w:rPr>
          <w:rFonts w:eastAsia="Calibri"/>
          <w:bCs/>
          <w:vertAlign w:val="superscript"/>
          <w:lang w:eastAsia="en-US"/>
        </w:rPr>
        <w:footnoteReference w:id="2"/>
      </w:r>
    </w:p>
    <w:p w:rsidR="00F92986" w:rsidRPr="0056123C" w:rsidRDefault="00F92986" w:rsidP="00F92986">
      <w:pPr>
        <w:spacing w:after="200"/>
        <w:ind w:left="708"/>
        <w:jc w:val="right"/>
        <w:rPr>
          <w:rFonts w:eastAsia="Calibri"/>
          <w:lang w:eastAsia="en-US"/>
        </w:rPr>
      </w:pPr>
      <w:r w:rsidRPr="0056123C">
        <w:rPr>
          <w:rFonts w:eastAsia="Calibri"/>
          <w:lang w:eastAsia="en-US"/>
        </w:rPr>
        <w:t xml:space="preserve">Guilherme </w:t>
      </w:r>
      <w:proofErr w:type="spellStart"/>
      <w:r w:rsidRPr="0056123C">
        <w:rPr>
          <w:rFonts w:eastAsia="Calibri"/>
          <w:lang w:eastAsia="en-US"/>
        </w:rPr>
        <w:t>Zubatch</w:t>
      </w:r>
      <w:proofErr w:type="spellEnd"/>
      <w:r w:rsidRPr="0056123C">
        <w:rPr>
          <w:rFonts w:eastAsia="Calibri"/>
          <w:lang w:eastAsia="en-US"/>
        </w:rPr>
        <w:t xml:space="preserve"> da Cunha</w:t>
      </w:r>
      <w:r w:rsidRPr="0056123C">
        <w:rPr>
          <w:rFonts w:eastAsia="Calibri"/>
          <w:vertAlign w:val="superscript"/>
          <w:lang w:eastAsia="en-US"/>
        </w:rPr>
        <w:footnoteReference w:id="3"/>
      </w:r>
    </w:p>
    <w:p w:rsidR="00F92986" w:rsidRPr="0056123C" w:rsidRDefault="00F92986" w:rsidP="00F92986">
      <w:pPr>
        <w:suppressAutoHyphens/>
        <w:jc w:val="both"/>
        <w:rPr>
          <w:rFonts w:eastAsia="Calibri" w:cs="Calibri"/>
          <w:b/>
          <w:lang w:eastAsia="ar-SA"/>
        </w:rPr>
      </w:pPr>
    </w:p>
    <w:p w:rsidR="000D73F4" w:rsidRPr="0056123C" w:rsidRDefault="000D73F4" w:rsidP="00F92986">
      <w:pPr>
        <w:suppressAutoHyphens/>
        <w:jc w:val="both"/>
        <w:rPr>
          <w:rFonts w:eastAsia="Calibri" w:cs="Calibri"/>
          <w:b/>
          <w:lang w:eastAsia="ar-SA"/>
        </w:rPr>
      </w:pPr>
    </w:p>
    <w:p w:rsidR="000D73F4" w:rsidRPr="0056123C" w:rsidRDefault="000D73F4" w:rsidP="00F92986">
      <w:pPr>
        <w:suppressAutoHyphens/>
        <w:jc w:val="both"/>
        <w:rPr>
          <w:rFonts w:eastAsia="Calibri" w:cs="Calibri"/>
          <w:b/>
          <w:lang w:eastAsia="ar-SA"/>
        </w:rPr>
      </w:pPr>
    </w:p>
    <w:p w:rsidR="000D73F4" w:rsidRPr="0056123C" w:rsidRDefault="000D73F4" w:rsidP="00F92986">
      <w:pPr>
        <w:suppressAutoHyphens/>
        <w:jc w:val="both"/>
        <w:rPr>
          <w:rFonts w:eastAsia="Calibri" w:cs="Calibri"/>
          <w:b/>
          <w:lang w:eastAsia="ar-SA"/>
        </w:rPr>
      </w:pPr>
    </w:p>
    <w:p w:rsidR="000D73F4" w:rsidRPr="0056123C" w:rsidRDefault="000D73F4" w:rsidP="00F92986">
      <w:pPr>
        <w:suppressAutoHyphens/>
        <w:jc w:val="both"/>
        <w:rPr>
          <w:rFonts w:eastAsia="Calibri" w:cs="Calibri"/>
          <w:b/>
          <w:lang w:eastAsia="ar-SA"/>
        </w:rPr>
      </w:pPr>
    </w:p>
    <w:p w:rsidR="00F92986" w:rsidRPr="00393475" w:rsidRDefault="002B102F" w:rsidP="00F92986">
      <w:pPr>
        <w:suppressAutoHyphens/>
        <w:jc w:val="both"/>
        <w:rPr>
          <w:rFonts w:eastAsia="Calibri" w:cs="Calibri"/>
          <w:b/>
          <w:lang w:val="en-US" w:eastAsia="ar-SA"/>
        </w:rPr>
      </w:pPr>
      <w:r w:rsidRPr="00393475">
        <w:rPr>
          <w:rFonts w:eastAsia="Calibri" w:cs="Calibri"/>
          <w:b/>
          <w:lang w:val="en-US" w:eastAsia="ar-SA"/>
        </w:rPr>
        <w:t xml:space="preserve">Section to which the Manuscript </w:t>
      </w:r>
      <w:proofErr w:type="gramStart"/>
      <w:r w:rsidRPr="00393475">
        <w:rPr>
          <w:rFonts w:eastAsia="Calibri" w:cs="Calibri"/>
          <w:b/>
          <w:lang w:val="en-US" w:eastAsia="ar-SA"/>
        </w:rPr>
        <w:t>is intended</w:t>
      </w:r>
      <w:proofErr w:type="gramEnd"/>
      <w:r w:rsidRPr="00393475">
        <w:rPr>
          <w:rFonts w:eastAsia="Calibri" w:cs="Calibri"/>
          <w:b/>
          <w:lang w:val="en-US" w:eastAsia="ar-SA"/>
        </w:rPr>
        <w:t xml:space="preserve">: </w:t>
      </w:r>
      <w:r w:rsidR="00393475" w:rsidRPr="007734E6">
        <w:rPr>
          <w:b/>
          <w:lang w:val="en-US"/>
        </w:rPr>
        <w:t>Original research article</w:t>
      </w:r>
      <w:r w:rsidR="00393475">
        <w:rPr>
          <w:b/>
          <w:lang w:val="en-US"/>
        </w:rPr>
        <w:t>.</w:t>
      </w:r>
    </w:p>
    <w:p w:rsidR="00F92986" w:rsidRPr="00393475" w:rsidRDefault="00F92986" w:rsidP="00F92986">
      <w:pPr>
        <w:suppressAutoHyphens/>
        <w:jc w:val="both"/>
        <w:rPr>
          <w:rFonts w:eastAsia="Calibri" w:cs="Calibri"/>
          <w:b/>
          <w:lang w:val="en-US" w:eastAsia="ar-SA"/>
        </w:rPr>
      </w:pPr>
    </w:p>
    <w:p w:rsidR="00F92986" w:rsidRPr="00393475" w:rsidRDefault="00F92986" w:rsidP="00F92986">
      <w:pPr>
        <w:spacing w:line="276" w:lineRule="auto"/>
        <w:jc w:val="both"/>
        <w:rPr>
          <w:rFonts w:eastAsia="Calibri"/>
          <w:b/>
          <w:lang w:val="en-US" w:eastAsia="en-US"/>
        </w:rPr>
      </w:pPr>
    </w:p>
    <w:p w:rsidR="00F92986" w:rsidRPr="00393475" w:rsidRDefault="002B102F" w:rsidP="00F92986">
      <w:pPr>
        <w:spacing w:line="276" w:lineRule="auto"/>
        <w:jc w:val="both"/>
        <w:rPr>
          <w:rFonts w:eastAsia="Calibri"/>
          <w:b/>
          <w:lang w:val="en-US" w:eastAsia="en-US"/>
        </w:rPr>
      </w:pPr>
      <w:r w:rsidRPr="00393475">
        <w:rPr>
          <w:rFonts w:eastAsia="Calibri"/>
          <w:b/>
          <w:lang w:val="en-US" w:eastAsia="en-US"/>
        </w:rPr>
        <w:t xml:space="preserve">Financing: </w:t>
      </w:r>
      <w:r w:rsidR="00393475" w:rsidRPr="00C527B7">
        <w:rPr>
          <w:b/>
          <w:lang w:val="en-US"/>
        </w:rPr>
        <w:t>There w</w:t>
      </w:r>
      <w:r w:rsidR="00393475">
        <w:rPr>
          <w:b/>
          <w:lang w:val="en-US"/>
        </w:rPr>
        <w:t>as</w:t>
      </w:r>
      <w:r w:rsidR="00393475" w:rsidRPr="00C527B7">
        <w:rPr>
          <w:b/>
          <w:lang w:val="en-US"/>
        </w:rPr>
        <w:t xml:space="preserve"> no financing.</w:t>
      </w:r>
    </w:p>
    <w:p w:rsidR="00F92986" w:rsidRPr="00393475" w:rsidRDefault="00F92986" w:rsidP="00F92986">
      <w:pPr>
        <w:spacing w:line="276" w:lineRule="auto"/>
        <w:jc w:val="both"/>
        <w:rPr>
          <w:rFonts w:eastAsia="Calibri"/>
          <w:lang w:val="en-US" w:eastAsia="en-US"/>
        </w:rPr>
      </w:pPr>
    </w:p>
    <w:p w:rsidR="00F92986" w:rsidRPr="00393475" w:rsidRDefault="00F92986" w:rsidP="00F92986">
      <w:pPr>
        <w:suppressAutoHyphens/>
        <w:jc w:val="both"/>
        <w:rPr>
          <w:rFonts w:eastAsia="Calibri" w:cs="Calibri"/>
          <w:b/>
          <w:lang w:val="en-US" w:eastAsia="ar-SA"/>
        </w:rPr>
      </w:pPr>
    </w:p>
    <w:p w:rsidR="00F92986" w:rsidRPr="0056123C" w:rsidRDefault="002B102F" w:rsidP="00F92986">
      <w:pPr>
        <w:suppressAutoHyphens/>
        <w:spacing w:after="120"/>
        <w:rPr>
          <w:rFonts w:eastAsia="Calibri"/>
          <w:lang w:eastAsia="ar-SA"/>
        </w:rPr>
      </w:pPr>
      <w:proofErr w:type="spellStart"/>
      <w:r w:rsidRPr="002B102F">
        <w:rPr>
          <w:rFonts w:eastAsia="Calibri"/>
          <w:b/>
          <w:lang w:eastAsia="ar-SA"/>
        </w:rPr>
        <w:t>Corresponding</w:t>
      </w:r>
      <w:proofErr w:type="spellEnd"/>
      <w:r w:rsidRPr="002B102F">
        <w:rPr>
          <w:rFonts w:eastAsia="Calibri"/>
          <w:b/>
          <w:lang w:eastAsia="ar-SA"/>
        </w:rPr>
        <w:t xml:space="preserve"> </w:t>
      </w:r>
      <w:proofErr w:type="spellStart"/>
      <w:r w:rsidRPr="002B102F">
        <w:rPr>
          <w:rFonts w:eastAsia="Calibri"/>
          <w:b/>
          <w:lang w:eastAsia="ar-SA"/>
        </w:rPr>
        <w:t>Author</w:t>
      </w:r>
      <w:proofErr w:type="spellEnd"/>
      <w:r w:rsidR="00F92986" w:rsidRPr="0056123C">
        <w:rPr>
          <w:rFonts w:eastAsia="Calibri"/>
          <w:lang w:eastAsia="ar-SA"/>
        </w:rPr>
        <w:t xml:space="preserve">:  </w:t>
      </w:r>
      <w:r w:rsidR="002E1C00" w:rsidRPr="0056123C">
        <w:rPr>
          <w:rFonts w:eastAsia="Calibri"/>
          <w:lang w:eastAsia="ar-SA"/>
        </w:rPr>
        <w:t>Nelson Luiz Batista de Oliveira</w:t>
      </w:r>
    </w:p>
    <w:p w:rsidR="00F92986" w:rsidRPr="0056123C" w:rsidRDefault="00F92986" w:rsidP="00F92986">
      <w:pPr>
        <w:suppressAutoHyphens/>
        <w:spacing w:after="120"/>
        <w:rPr>
          <w:rFonts w:eastAsia="Calibri"/>
          <w:lang w:eastAsia="ar-SA"/>
        </w:rPr>
      </w:pPr>
      <w:r w:rsidRPr="0056123C">
        <w:rPr>
          <w:rFonts w:eastAsia="Calibri"/>
          <w:lang w:eastAsia="ar-SA"/>
        </w:rPr>
        <w:t xml:space="preserve">              </w:t>
      </w:r>
      <w:r w:rsidR="00393475">
        <w:rPr>
          <w:rFonts w:eastAsia="Calibri"/>
          <w:lang w:eastAsia="ar-SA"/>
        </w:rPr>
        <w:t xml:space="preserve">                            </w:t>
      </w:r>
      <w:r w:rsidRPr="0056123C">
        <w:rPr>
          <w:rFonts w:eastAsia="Calibri"/>
          <w:lang w:eastAsia="ar-SA"/>
        </w:rPr>
        <w:t>Avenida Colombo, n</w:t>
      </w:r>
      <w:r w:rsidR="000D73F4" w:rsidRPr="0056123C">
        <w:rPr>
          <w:rFonts w:eastAsia="Calibri"/>
          <w:lang w:eastAsia="ar-SA"/>
        </w:rPr>
        <w:t>.</w:t>
      </w:r>
      <w:r w:rsidR="002E1C00" w:rsidRPr="0056123C">
        <w:rPr>
          <w:rFonts w:eastAsia="Calibri"/>
          <w:lang w:eastAsia="ar-SA"/>
        </w:rPr>
        <w:t xml:space="preserve"> 5790 – Zona 07</w:t>
      </w:r>
    </w:p>
    <w:p w:rsidR="00F92986" w:rsidRPr="0056123C" w:rsidRDefault="00F92986" w:rsidP="00F92986">
      <w:pPr>
        <w:suppressAutoHyphens/>
        <w:spacing w:after="120"/>
        <w:rPr>
          <w:rFonts w:eastAsia="Calibri"/>
          <w:lang w:eastAsia="ar-SA"/>
        </w:rPr>
      </w:pPr>
      <w:r w:rsidRPr="0056123C">
        <w:rPr>
          <w:rFonts w:eastAsia="Calibri"/>
          <w:lang w:eastAsia="ar-SA"/>
        </w:rPr>
        <w:t xml:space="preserve">              </w:t>
      </w:r>
      <w:r w:rsidR="00393475">
        <w:rPr>
          <w:rFonts w:eastAsia="Calibri"/>
          <w:lang w:eastAsia="ar-SA"/>
        </w:rPr>
        <w:t xml:space="preserve">                            </w:t>
      </w:r>
      <w:r w:rsidRPr="0056123C">
        <w:rPr>
          <w:rFonts w:eastAsia="Calibri"/>
          <w:lang w:eastAsia="ar-SA"/>
        </w:rPr>
        <w:t>CEP: 87020-900.</w:t>
      </w:r>
    </w:p>
    <w:p w:rsidR="00F92986" w:rsidRPr="0056123C" w:rsidRDefault="00F92986" w:rsidP="00F92986">
      <w:pPr>
        <w:suppressAutoHyphens/>
        <w:spacing w:after="120"/>
        <w:rPr>
          <w:rFonts w:eastAsia="Calibri"/>
          <w:lang w:eastAsia="ar-SA"/>
        </w:rPr>
      </w:pPr>
      <w:r w:rsidRPr="0056123C">
        <w:rPr>
          <w:rFonts w:eastAsia="Calibri"/>
          <w:lang w:eastAsia="ar-SA"/>
        </w:rPr>
        <w:t xml:space="preserve">              </w:t>
      </w:r>
      <w:r w:rsidR="00393475">
        <w:rPr>
          <w:rFonts w:eastAsia="Calibri"/>
          <w:lang w:eastAsia="ar-SA"/>
        </w:rPr>
        <w:t xml:space="preserve">                            </w:t>
      </w:r>
      <w:r w:rsidRPr="0056123C">
        <w:rPr>
          <w:rFonts w:eastAsia="Calibri"/>
          <w:lang w:eastAsia="ar-SA"/>
        </w:rPr>
        <w:t>Maringá, Paraná, Brasil.</w:t>
      </w:r>
    </w:p>
    <w:p w:rsidR="00F92986" w:rsidRPr="0056123C" w:rsidRDefault="00F92986" w:rsidP="00F92986">
      <w:pPr>
        <w:suppressAutoHyphens/>
        <w:spacing w:after="120"/>
        <w:rPr>
          <w:rFonts w:eastAsia="Calibri"/>
          <w:lang w:eastAsia="ar-SA"/>
        </w:rPr>
      </w:pPr>
      <w:r w:rsidRPr="0056123C">
        <w:rPr>
          <w:rFonts w:eastAsia="Calibri"/>
          <w:lang w:eastAsia="ar-SA"/>
        </w:rPr>
        <w:t xml:space="preserve">              </w:t>
      </w:r>
      <w:r w:rsidR="00393475">
        <w:rPr>
          <w:rFonts w:eastAsia="Calibri"/>
          <w:lang w:eastAsia="ar-SA"/>
        </w:rPr>
        <w:t xml:space="preserve">                            </w:t>
      </w:r>
      <w:r w:rsidRPr="0056123C">
        <w:rPr>
          <w:rFonts w:eastAsia="Calibri"/>
          <w:lang w:eastAsia="ar-SA"/>
        </w:rPr>
        <w:t>(44) 3011-4511.</w:t>
      </w:r>
    </w:p>
    <w:p w:rsidR="00F92986" w:rsidRPr="0056123C" w:rsidRDefault="00F92986" w:rsidP="00F92986">
      <w:pPr>
        <w:suppressAutoHyphens/>
        <w:spacing w:after="120"/>
        <w:rPr>
          <w:rFonts w:eastAsia="Calibri"/>
          <w:lang w:eastAsia="ar-SA"/>
        </w:rPr>
      </w:pPr>
      <w:r w:rsidRPr="0056123C">
        <w:rPr>
          <w:rFonts w:eastAsia="Calibri"/>
          <w:lang w:eastAsia="ar-SA"/>
        </w:rPr>
        <w:t xml:space="preserve">              </w:t>
      </w:r>
      <w:r w:rsidR="00393475">
        <w:rPr>
          <w:rFonts w:eastAsia="Calibri"/>
          <w:lang w:eastAsia="ar-SA"/>
        </w:rPr>
        <w:t xml:space="preserve">                            </w:t>
      </w:r>
      <w:r w:rsidRPr="0056123C">
        <w:rPr>
          <w:rFonts w:eastAsia="Calibri"/>
          <w:lang w:eastAsia="ar-SA"/>
        </w:rPr>
        <w:t>nlboliveira@uem.br</w:t>
      </w:r>
    </w:p>
    <w:p w:rsidR="00F92986" w:rsidRPr="0056123C" w:rsidRDefault="00F92986" w:rsidP="00F92986">
      <w:pPr>
        <w:spacing w:after="200" w:line="276" w:lineRule="auto"/>
        <w:jc w:val="center"/>
        <w:rPr>
          <w:rFonts w:ascii="Calibri" w:eastAsia="Calibri" w:hAnsi="Calibri"/>
          <w:b/>
          <w:sz w:val="32"/>
          <w:szCs w:val="32"/>
          <w:lang w:eastAsia="en-US"/>
        </w:rPr>
      </w:pPr>
    </w:p>
    <w:p w:rsidR="00F92986" w:rsidRPr="0056123C" w:rsidRDefault="00F92986" w:rsidP="00F92986">
      <w:pPr>
        <w:spacing w:after="200" w:line="276" w:lineRule="auto"/>
        <w:rPr>
          <w:rFonts w:ascii="Calibri" w:eastAsia="Calibri" w:hAnsi="Calibri"/>
          <w:sz w:val="22"/>
          <w:szCs w:val="22"/>
          <w:lang w:eastAsia="en-US"/>
        </w:rPr>
      </w:pPr>
    </w:p>
    <w:p w:rsidR="00F92986" w:rsidRPr="0056123C" w:rsidRDefault="00F92986" w:rsidP="00F92986">
      <w:pPr>
        <w:pStyle w:val="SemEspaamento"/>
        <w:jc w:val="both"/>
        <w:rPr>
          <w:rFonts w:ascii="Times New Roman" w:hAnsi="Times New Roman"/>
          <w:b/>
          <w:szCs w:val="24"/>
        </w:rPr>
      </w:pPr>
    </w:p>
    <w:p w:rsidR="00F92986" w:rsidRPr="0056123C" w:rsidRDefault="00F92986" w:rsidP="00F92986">
      <w:pPr>
        <w:pStyle w:val="SemEspaamento"/>
        <w:jc w:val="both"/>
        <w:rPr>
          <w:rFonts w:ascii="Times New Roman" w:hAnsi="Times New Roman"/>
          <w:b/>
          <w:szCs w:val="24"/>
        </w:rPr>
      </w:pPr>
    </w:p>
    <w:p w:rsidR="00F92986" w:rsidRPr="0056123C" w:rsidRDefault="00F92986" w:rsidP="00F92986">
      <w:pPr>
        <w:pStyle w:val="SemEspaamento"/>
        <w:jc w:val="both"/>
        <w:rPr>
          <w:rFonts w:ascii="Times New Roman" w:hAnsi="Times New Roman"/>
          <w:b/>
          <w:szCs w:val="24"/>
        </w:rPr>
      </w:pPr>
    </w:p>
    <w:p w:rsidR="00F92986" w:rsidRDefault="00F92986" w:rsidP="00F92986">
      <w:pPr>
        <w:pStyle w:val="SemEspaamento"/>
        <w:jc w:val="both"/>
        <w:rPr>
          <w:rFonts w:ascii="Times New Roman" w:hAnsi="Times New Roman"/>
          <w:b/>
          <w:szCs w:val="24"/>
        </w:rPr>
      </w:pPr>
    </w:p>
    <w:p w:rsidR="002B102F" w:rsidRDefault="002B102F" w:rsidP="00F92986">
      <w:pPr>
        <w:pStyle w:val="SemEspaamento"/>
        <w:jc w:val="both"/>
        <w:rPr>
          <w:rFonts w:ascii="Times New Roman" w:hAnsi="Times New Roman"/>
          <w:b/>
          <w:szCs w:val="24"/>
        </w:rPr>
      </w:pPr>
    </w:p>
    <w:p w:rsidR="002B102F" w:rsidRPr="0056123C" w:rsidRDefault="002B102F" w:rsidP="00F92986">
      <w:pPr>
        <w:pStyle w:val="SemEspaamento"/>
        <w:jc w:val="both"/>
        <w:rPr>
          <w:rFonts w:ascii="Times New Roman" w:hAnsi="Times New Roman"/>
          <w:b/>
          <w:szCs w:val="24"/>
        </w:rPr>
      </w:pPr>
    </w:p>
    <w:p w:rsidR="00F92986" w:rsidRPr="0056123C" w:rsidRDefault="00F92986" w:rsidP="00F92986">
      <w:pPr>
        <w:pStyle w:val="SemEspaamento"/>
        <w:jc w:val="both"/>
        <w:rPr>
          <w:rFonts w:ascii="Times New Roman" w:hAnsi="Times New Roman"/>
          <w:b/>
          <w:szCs w:val="24"/>
        </w:rPr>
      </w:pPr>
    </w:p>
    <w:p w:rsidR="009E01AB" w:rsidRPr="00393475" w:rsidRDefault="002B102F" w:rsidP="0056123C">
      <w:pPr>
        <w:pStyle w:val="SemEspaamento"/>
        <w:jc w:val="both"/>
        <w:rPr>
          <w:rFonts w:ascii="Times New Roman" w:hAnsi="Times New Roman"/>
          <w:b/>
          <w:szCs w:val="24"/>
          <w:lang w:val="en-US"/>
        </w:rPr>
      </w:pPr>
      <w:r w:rsidRPr="00393475">
        <w:rPr>
          <w:rFonts w:ascii="Times New Roman" w:hAnsi="Times New Roman"/>
          <w:b/>
          <w:szCs w:val="24"/>
          <w:lang w:val="en-US"/>
        </w:rPr>
        <w:lastRenderedPageBreak/>
        <w:t xml:space="preserve">MORTALITY IN </w:t>
      </w:r>
      <w:r w:rsidR="00366D3D" w:rsidRPr="00393475">
        <w:rPr>
          <w:rFonts w:ascii="Times New Roman" w:hAnsi="Times New Roman"/>
          <w:b/>
          <w:szCs w:val="24"/>
          <w:lang w:val="en-US"/>
        </w:rPr>
        <w:t>TRAFFIC</w:t>
      </w:r>
      <w:r w:rsidRPr="00393475">
        <w:rPr>
          <w:rFonts w:ascii="Times New Roman" w:hAnsi="Times New Roman"/>
          <w:b/>
          <w:szCs w:val="24"/>
          <w:lang w:val="en-US"/>
        </w:rPr>
        <w:t xml:space="preserve"> ACCIDENTS: TEMPORA</w:t>
      </w:r>
      <w:r w:rsidR="00393475">
        <w:rPr>
          <w:rFonts w:ascii="Times New Roman" w:hAnsi="Times New Roman"/>
          <w:b/>
          <w:szCs w:val="24"/>
          <w:lang w:val="en-US"/>
        </w:rPr>
        <w:t>L</w:t>
      </w:r>
      <w:r w:rsidRPr="00393475">
        <w:rPr>
          <w:rFonts w:ascii="Times New Roman" w:hAnsi="Times New Roman"/>
          <w:b/>
          <w:szCs w:val="24"/>
          <w:lang w:val="en-US"/>
        </w:rPr>
        <w:t xml:space="preserve"> TREND BETWEEN 1996 AND 2012</w:t>
      </w:r>
      <w:r w:rsidR="009E01AB" w:rsidRPr="00393475">
        <w:rPr>
          <w:rFonts w:ascii="Times New Roman" w:hAnsi="Times New Roman"/>
          <w:b/>
          <w:szCs w:val="24"/>
          <w:lang w:val="en-US"/>
        </w:rPr>
        <w:t xml:space="preserve"> </w:t>
      </w:r>
    </w:p>
    <w:p w:rsidR="009E01AB" w:rsidRPr="00393475" w:rsidRDefault="009E01AB" w:rsidP="0056123C">
      <w:pPr>
        <w:pStyle w:val="SemEspaamento"/>
        <w:jc w:val="both"/>
        <w:rPr>
          <w:rFonts w:ascii="Times New Roman" w:hAnsi="Times New Roman"/>
          <w:b/>
          <w:szCs w:val="24"/>
          <w:lang w:val="en-US"/>
        </w:rPr>
      </w:pPr>
    </w:p>
    <w:p w:rsidR="009E01AB" w:rsidRPr="00393475" w:rsidRDefault="002B102F" w:rsidP="0056123C">
      <w:pPr>
        <w:jc w:val="both"/>
        <w:rPr>
          <w:b/>
          <w:bCs/>
          <w:lang w:val="en-US"/>
        </w:rPr>
      </w:pPr>
      <w:r w:rsidRPr="00393475">
        <w:rPr>
          <w:b/>
          <w:bCs/>
          <w:lang w:val="en-US"/>
        </w:rPr>
        <w:t>ABSTRACT</w:t>
      </w:r>
    </w:p>
    <w:p w:rsidR="00A61A40" w:rsidRPr="00393475" w:rsidRDefault="00A61A40" w:rsidP="00A61A40">
      <w:pPr>
        <w:jc w:val="both"/>
        <w:rPr>
          <w:bCs/>
          <w:lang w:val="en-US"/>
        </w:rPr>
      </w:pPr>
      <w:r w:rsidRPr="00393475">
        <w:rPr>
          <w:bCs/>
          <w:lang w:val="en-US"/>
        </w:rPr>
        <w:t xml:space="preserve">The objective of the present study was to analyze the temporal trend of mortality in </w:t>
      </w:r>
      <w:r w:rsidR="004E4784" w:rsidRPr="00393475">
        <w:rPr>
          <w:bCs/>
          <w:lang w:val="en-US"/>
        </w:rPr>
        <w:t>traffic</w:t>
      </w:r>
      <w:r w:rsidRPr="00393475">
        <w:rPr>
          <w:bCs/>
          <w:lang w:val="en-US"/>
        </w:rPr>
        <w:t xml:space="preserve"> accidents between 1996 and 2012. </w:t>
      </w:r>
      <w:r w:rsidR="004E4784" w:rsidRPr="00393475">
        <w:rPr>
          <w:bCs/>
          <w:lang w:val="en-US"/>
        </w:rPr>
        <w:t>It is an e</w:t>
      </w:r>
      <w:r w:rsidRPr="00393475">
        <w:rPr>
          <w:bCs/>
          <w:lang w:val="en-US"/>
        </w:rPr>
        <w:t>pidemiological study of the mortality of 368 victims</w:t>
      </w:r>
      <w:r w:rsidR="004E4784" w:rsidRPr="00393475">
        <w:rPr>
          <w:bCs/>
          <w:lang w:val="en-US"/>
        </w:rPr>
        <w:t xml:space="preserve"> living</w:t>
      </w:r>
      <w:r w:rsidRPr="00393475">
        <w:rPr>
          <w:bCs/>
          <w:lang w:val="en-US"/>
        </w:rPr>
        <w:t xml:space="preserve"> in </w:t>
      </w:r>
      <w:proofErr w:type="spellStart"/>
      <w:r w:rsidRPr="00393475">
        <w:rPr>
          <w:bCs/>
          <w:lang w:val="en-US"/>
        </w:rPr>
        <w:t>Maringá</w:t>
      </w:r>
      <w:proofErr w:type="spellEnd"/>
      <w:r w:rsidRPr="00393475">
        <w:rPr>
          <w:bCs/>
          <w:lang w:val="en-US"/>
        </w:rPr>
        <w:t xml:space="preserve">, Paraná. Data </w:t>
      </w:r>
      <w:proofErr w:type="gramStart"/>
      <w:r w:rsidRPr="00393475">
        <w:rPr>
          <w:bCs/>
          <w:lang w:val="en-US"/>
        </w:rPr>
        <w:t>were extracted</w:t>
      </w:r>
      <w:proofErr w:type="gramEnd"/>
      <w:r w:rsidRPr="00393475">
        <w:rPr>
          <w:bCs/>
          <w:lang w:val="en-US"/>
        </w:rPr>
        <w:t xml:space="preserve"> from the Mortality Information System of the Department of Informatics of the </w:t>
      </w:r>
      <w:r w:rsidR="002129B9" w:rsidRPr="00393475">
        <w:rPr>
          <w:bCs/>
          <w:lang w:val="en-US"/>
        </w:rPr>
        <w:t>National</w:t>
      </w:r>
      <w:r w:rsidRPr="00393475">
        <w:rPr>
          <w:bCs/>
          <w:lang w:val="en-US"/>
        </w:rPr>
        <w:t xml:space="preserve"> Health System. The analysis of temporal trend of mortality </w:t>
      </w:r>
      <w:proofErr w:type="gramStart"/>
      <w:r w:rsidRPr="00393475">
        <w:rPr>
          <w:bCs/>
          <w:lang w:val="en-US"/>
        </w:rPr>
        <w:t>was performed</w:t>
      </w:r>
      <w:proofErr w:type="gramEnd"/>
      <w:r w:rsidRPr="00393475">
        <w:rPr>
          <w:bCs/>
          <w:lang w:val="en-US"/>
        </w:rPr>
        <w:t xml:space="preserve"> from the adjustment of a Poisson regression model to time series. The majority of the victims (76.35%) were male, aged 20 and 39 years (48.36%), </w:t>
      </w:r>
      <w:r w:rsidR="004E4784" w:rsidRPr="00393475">
        <w:rPr>
          <w:bCs/>
          <w:lang w:val="en-US"/>
        </w:rPr>
        <w:t xml:space="preserve">white </w:t>
      </w:r>
      <w:r w:rsidRPr="00393475">
        <w:rPr>
          <w:bCs/>
          <w:lang w:val="en-US"/>
        </w:rPr>
        <w:t>color</w:t>
      </w:r>
      <w:r w:rsidR="004E4784" w:rsidRPr="00393475">
        <w:rPr>
          <w:bCs/>
          <w:lang w:val="en-US"/>
        </w:rPr>
        <w:t>/</w:t>
      </w:r>
      <w:r w:rsidRPr="00393475">
        <w:rPr>
          <w:bCs/>
          <w:lang w:val="en-US"/>
        </w:rPr>
        <w:t xml:space="preserve">race (81.52%), with 8 and 11 years of study (28.54%) and single (44.30%). Deaths occurred more frequently on public roads (62.77%) and, at the time of the accident, 8.96% of the individuals were working. There was a predominance of </w:t>
      </w:r>
      <w:r w:rsidR="00D7712E" w:rsidRPr="00393475">
        <w:rPr>
          <w:bCs/>
          <w:lang w:val="en-US"/>
        </w:rPr>
        <w:t xml:space="preserve">collisions between </w:t>
      </w:r>
      <w:r w:rsidR="004E4784" w:rsidRPr="00393475">
        <w:rPr>
          <w:bCs/>
          <w:lang w:val="en-US"/>
        </w:rPr>
        <w:t>car</w:t>
      </w:r>
      <w:r w:rsidR="00D7712E" w:rsidRPr="00393475">
        <w:rPr>
          <w:bCs/>
          <w:lang w:val="en-US"/>
        </w:rPr>
        <w:t xml:space="preserve">s, </w:t>
      </w:r>
      <w:r w:rsidR="004E4784" w:rsidRPr="00393475">
        <w:rPr>
          <w:bCs/>
          <w:lang w:val="en-US"/>
        </w:rPr>
        <w:t>pick</w:t>
      </w:r>
      <w:r w:rsidR="00591D9D" w:rsidRPr="00393475">
        <w:rPr>
          <w:bCs/>
          <w:lang w:val="en-US"/>
        </w:rPr>
        <w:t>-</w:t>
      </w:r>
      <w:r w:rsidR="004E4784" w:rsidRPr="00393475">
        <w:rPr>
          <w:bCs/>
          <w:lang w:val="en-US"/>
        </w:rPr>
        <w:t xml:space="preserve">up </w:t>
      </w:r>
      <w:r w:rsidR="00591D9D" w:rsidRPr="00393475">
        <w:rPr>
          <w:bCs/>
          <w:lang w:val="en-US"/>
        </w:rPr>
        <w:t>trucks</w:t>
      </w:r>
      <w:r w:rsidR="00D7712E" w:rsidRPr="00393475">
        <w:rPr>
          <w:bCs/>
          <w:lang w:val="en-US"/>
        </w:rPr>
        <w:t xml:space="preserve"> and </w:t>
      </w:r>
      <w:r w:rsidR="004E4784" w:rsidRPr="00393475">
        <w:rPr>
          <w:bCs/>
          <w:lang w:val="en-US"/>
        </w:rPr>
        <w:t>t</w:t>
      </w:r>
      <w:r w:rsidRPr="00393475">
        <w:rPr>
          <w:bCs/>
          <w:lang w:val="en-US"/>
        </w:rPr>
        <w:t>ruck</w:t>
      </w:r>
      <w:r w:rsidR="00D7712E" w:rsidRPr="00393475">
        <w:rPr>
          <w:bCs/>
          <w:lang w:val="en-US"/>
        </w:rPr>
        <w:t>s</w:t>
      </w:r>
      <w:r w:rsidRPr="00393475">
        <w:rPr>
          <w:bCs/>
          <w:lang w:val="en-US"/>
        </w:rPr>
        <w:t xml:space="preserve"> (27.17%). Annually, there was a 5.2% increase in the number of deaths. It </w:t>
      </w:r>
      <w:proofErr w:type="gramStart"/>
      <w:r w:rsidRPr="00393475">
        <w:rPr>
          <w:bCs/>
          <w:lang w:val="en-US"/>
        </w:rPr>
        <w:t>is concluded</w:t>
      </w:r>
      <w:proofErr w:type="gramEnd"/>
      <w:r w:rsidRPr="00393475">
        <w:rPr>
          <w:bCs/>
          <w:lang w:val="en-US"/>
        </w:rPr>
        <w:t xml:space="preserve"> that, among the components of external causes, traffic accidents are responsible for a large number of deaths.</w:t>
      </w:r>
    </w:p>
    <w:p w:rsidR="009E01AB" w:rsidRPr="00393475" w:rsidRDefault="00A61A40" w:rsidP="00A61A40">
      <w:pPr>
        <w:jc w:val="both"/>
        <w:rPr>
          <w:lang w:val="en-US"/>
        </w:rPr>
      </w:pPr>
      <w:r w:rsidRPr="00393475">
        <w:rPr>
          <w:bCs/>
          <w:lang w:val="en-US"/>
        </w:rPr>
        <w:t>Keywords: Epidemiology. Time series studies. External causes. Traffic</w:t>
      </w:r>
      <w:r w:rsidR="00393475">
        <w:rPr>
          <w:bCs/>
          <w:lang w:val="en-US"/>
        </w:rPr>
        <w:t>,</w:t>
      </w:r>
      <w:r w:rsidRPr="00393475">
        <w:rPr>
          <w:bCs/>
          <w:lang w:val="en-US"/>
        </w:rPr>
        <w:t xml:space="preserve"> </w:t>
      </w:r>
      <w:r w:rsidR="00393475">
        <w:rPr>
          <w:bCs/>
          <w:lang w:val="en-US"/>
        </w:rPr>
        <w:t>A</w:t>
      </w:r>
      <w:r w:rsidRPr="00393475">
        <w:rPr>
          <w:bCs/>
          <w:lang w:val="en-US"/>
        </w:rPr>
        <w:t>ccidents. Mortality</w:t>
      </w:r>
      <w:r w:rsidR="009E01AB" w:rsidRPr="00393475">
        <w:rPr>
          <w:lang w:val="en-US"/>
        </w:rPr>
        <w:t xml:space="preserve">. </w:t>
      </w:r>
    </w:p>
    <w:p w:rsidR="00393475" w:rsidRPr="00393475" w:rsidRDefault="00393475" w:rsidP="0056123C">
      <w:pPr>
        <w:jc w:val="both"/>
        <w:rPr>
          <w:lang w:val="en-US"/>
        </w:rPr>
      </w:pPr>
    </w:p>
    <w:p w:rsidR="009E01AB" w:rsidRPr="00393475" w:rsidRDefault="009E01AB" w:rsidP="00DA1E0A">
      <w:pPr>
        <w:spacing w:line="480" w:lineRule="auto"/>
        <w:jc w:val="both"/>
        <w:rPr>
          <w:b/>
          <w:lang w:val="en-US"/>
        </w:rPr>
      </w:pPr>
      <w:r w:rsidRPr="00393475">
        <w:rPr>
          <w:b/>
          <w:lang w:val="en-US"/>
        </w:rPr>
        <w:t>INTRODU</w:t>
      </w:r>
      <w:r w:rsidR="002B102F" w:rsidRPr="00393475">
        <w:rPr>
          <w:b/>
          <w:lang w:val="en-US"/>
        </w:rPr>
        <w:t>CTION</w:t>
      </w:r>
    </w:p>
    <w:p w:rsidR="009E01AB" w:rsidRPr="00393475" w:rsidRDefault="009E01AB" w:rsidP="00DA1E0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lang w:val="en-US"/>
        </w:rPr>
      </w:pPr>
      <w:r w:rsidRPr="00393475">
        <w:rPr>
          <w:lang w:val="en-US"/>
        </w:rPr>
        <w:tab/>
      </w:r>
      <w:r w:rsidR="00D7712E" w:rsidRPr="00393475">
        <w:rPr>
          <w:lang w:val="en-US"/>
        </w:rPr>
        <w:t>Traffic accidents stand out as an important public health problem on a global, national and regional scale and are responsible for a large number of deaths</w:t>
      </w:r>
      <w:r w:rsidRPr="00393475">
        <w:rPr>
          <w:vertAlign w:val="superscript"/>
          <w:lang w:val="en-US"/>
        </w:rPr>
        <w:t>(1)</w:t>
      </w:r>
      <w:r w:rsidRPr="00393475">
        <w:rPr>
          <w:lang w:val="en-US"/>
        </w:rPr>
        <w:t xml:space="preserve">. </w:t>
      </w:r>
      <w:r w:rsidR="00D7712E" w:rsidRPr="00393475">
        <w:rPr>
          <w:lang w:val="en-US"/>
        </w:rPr>
        <w:t xml:space="preserve">They cause approximately 1.3 million deaths annually, 90% of them in </w:t>
      </w:r>
      <w:r w:rsidR="00FC4241" w:rsidRPr="00393475">
        <w:rPr>
          <w:lang w:val="en-US"/>
        </w:rPr>
        <w:t xml:space="preserve">low- and medium-income </w:t>
      </w:r>
      <w:r w:rsidR="00D7712E" w:rsidRPr="00393475">
        <w:rPr>
          <w:lang w:val="en-US"/>
        </w:rPr>
        <w:t xml:space="preserve">countries. In 2013, low- and middle-income countries had the highest mortality rates due to traffic accident traffic per 100,000 inhabitants (24.1 and 18.4, respectively) compared to </w:t>
      </w:r>
      <w:r w:rsidR="00FC4241" w:rsidRPr="00393475">
        <w:rPr>
          <w:lang w:val="en-US"/>
        </w:rPr>
        <w:t xml:space="preserve">high-income </w:t>
      </w:r>
      <w:r w:rsidR="00D7712E" w:rsidRPr="00393475">
        <w:rPr>
          <w:lang w:val="en-US"/>
        </w:rPr>
        <w:t>countries(9.2)</w:t>
      </w:r>
      <w:r w:rsidRPr="00393475">
        <w:rPr>
          <w:vertAlign w:val="superscript"/>
          <w:lang w:val="en-US"/>
        </w:rPr>
        <w:t>(2)</w:t>
      </w:r>
      <w:r w:rsidRPr="00393475">
        <w:rPr>
          <w:lang w:val="en-US"/>
        </w:rPr>
        <w:t xml:space="preserve">. </w:t>
      </w:r>
      <w:r w:rsidR="00FC4241" w:rsidRPr="00393475">
        <w:rPr>
          <w:lang w:val="en-US"/>
        </w:rPr>
        <w:t xml:space="preserve">In Brazil, mortality due to traffic accidents in 2013 was estimated at 23.4 per 100,000 </w:t>
      </w:r>
      <w:proofErr w:type="gramStart"/>
      <w:r w:rsidR="00FC4241" w:rsidRPr="00393475">
        <w:rPr>
          <w:lang w:val="en-US"/>
        </w:rPr>
        <w:t>inhabitants</w:t>
      </w:r>
      <w:r w:rsidRPr="00393475">
        <w:rPr>
          <w:vertAlign w:val="superscript"/>
          <w:lang w:val="en-US"/>
        </w:rPr>
        <w:t>(</w:t>
      </w:r>
      <w:proofErr w:type="gramEnd"/>
      <w:r w:rsidRPr="00393475">
        <w:rPr>
          <w:vertAlign w:val="superscript"/>
          <w:lang w:val="en-US"/>
        </w:rPr>
        <w:t>2)</w:t>
      </w:r>
      <w:r w:rsidRPr="00393475">
        <w:rPr>
          <w:lang w:val="en-US"/>
        </w:rPr>
        <w:t>.</w:t>
      </w:r>
    </w:p>
    <w:p w:rsidR="009E01AB" w:rsidRPr="00393475" w:rsidRDefault="00FC4241" w:rsidP="00DA1E0A">
      <w:pPr>
        <w:pStyle w:val="Recuodecorpodetexto"/>
        <w:spacing w:line="480" w:lineRule="auto"/>
        <w:ind w:left="0" w:firstLine="709"/>
        <w:rPr>
          <w:szCs w:val="24"/>
          <w:lang w:val="en-US"/>
        </w:rPr>
      </w:pPr>
      <w:r w:rsidRPr="00393475">
        <w:rPr>
          <w:szCs w:val="24"/>
          <w:lang w:val="en-US"/>
        </w:rPr>
        <w:t>These occurrences are due to the association of several factors related to the precarious infrastructure of roads and highways, increase of the circulating fleet, deficient road system, vehicle conditions, traffic disorganization</w:t>
      </w:r>
      <w:r w:rsidR="00D05F44" w:rsidRPr="00393475">
        <w:rPr>
          <w:szCs w:val="24"/>
          <w:lang w:val="en-US"/>
        </w:rPr>
        <w:t>,</w:t>
      </w:r>
      <w:r w:rsidRPr="00393475">
        <w:rPr>
          <w:szCs w:val="24"/>
          <w:lang w:val="en-US"/>
        </w:rPr>
        <w:t xml:space="preserve"> general deficiency of surveillance, users' risk behaviors, migration of the rural population to urban areas and the lack of investment in traffic safety and engineering</w:t>
      </w:r>
      <w:r w:rsidR="009E01AB" w:rsidRPr="00393475">
        <w:rPr>
          <w:vertAlign w:val="superscript"/>
          <w:lang w:val="en-US"/>
        </w:rPr>
        <w:t>(3)</w:t>
      </w:r>
      <w:r w:rsidR="009E01AB" w:rsidRPr="00393475">
        <w:rPr>
          <w:lang w:val="en-US"/>
        </w:rPr>
        <w:t xml:space="preserve">. </w:t>
      </w:r>
      <w:r w:rsidR="005E1CCA" w:rsidRPr="00393475">
        <w:rPr>
          <w:szCs w:val="24"/>
          <w:lang w:val="en-US"/>
        </w:rPr>
        <w:t xml:space="preserve">For victims, the consequences of these occurrences are trauma, </w:t>
      </w:r>
      <w:proofErr w:type="spellStart"/>
      <w:r w:rsidR="005E1CCA" w:rsidRPr="00393475">
        <w:rPr>
          <w:szCs w:val="24"/>
          <w:lang w:val="en-US"/>
        </w:rPr>
        <w:t>sequelae</w:t>
      </w:r>
      <w:proofErr w:type="spellEnd"/>
      <w:r w:rsidR="005E1CCA" w:rsidRPr="00393475">
        <w:rPr>
          <w:szCs w:val="24"/>
          <w:lang w:val="en-US"/>
        </w:rPr>
        <w:t>, need for specialized pre-hospital and in-hospital care, potential years of life lost and deaths</w:t>
      </w:r>
      <w:r w:rsidR="009E01AB" w:rsidRPr="00393475">
        <w:rPr>
          <w:szCs w:val="24"/>
          <w:vertAlign w:val="superscript"/>
          <w:lang w:val="en-US"/>
        </w:rPr>
        <w:t>(1)</w:t>
      </w:r>
      <w:r w:rsidR="009E01AB" w:rsidRPr="00393475">
        <w:rPr>
          <w:szCs w:val="24"/>
          <w:lang w:val="en-US"/>
        </w:rPr>
        <w:t>.</w:t>
      </w:r>
    </w:p>
    <w:p w:rsidR="009E01AB" w:rsidRPr="00393475" w:rsidRDefault="005E1CCA" w:rsidP="00DA1E0A">
      <w:pPr>
        <w:pStyle w:val="Recuodecorpodetexto"/>
        <w:spacing w:line="480" w:lineRule="auto"/>
        <w:ind w:left="0" w:firstLine="709"/>
        <w:rPr>
          <w:lang w:val="en-US"/>
        </w:rPr>
      </w:pPr>
      <w:r w:rsidRPr="00393475">
        <w:rPr>
          <w:lang w:val="en-US"/>
        </w:rPr>
        <w:lastRenderedPageBreak/>
        <w:t xml:space="preserve">Thus, traffic accident statistics show lack of safety and investments in this area, and the impacts of these events are observed in negative indicators, as they entail high costs for victims, families, society and the health </w:t>
      </w:r>
      <w:proofErr w:type="gramStart"/>
      <w:r w:rsidRPr="00393475">
        <w:rPr>
          <w:lang w:val="en-US"/>
        </w:rPr>
        <w:t>system</w:t>
      </w:r>
      <w:r w:rsidR="009E01AB" w:rsidRPr="00393475">
        <w:rPr>
          <w:szCs w:val="24"/>
          <w:vertAlign w:val="superscript"/>
          <w:lang w:val="en-US"/>
        </w:rPr>
        <w:t>(</w:t>
      </w:r>
      <w:proofErr w:type="gramEnd"/>
      <w:r w:rsidR="009E01AB" w:rsidRPr="00393475">
        <w:rPr>
          <w:szCs w:val="24"/>
          <w:vertAlign w:val="superscript"/>
          <w:lang w:val="en-US"/>
        </w:rPr>
        <w:t>1,4)</w:t>
      </w:r>
      <w:r w:rsidR="009E01AB" w:rsidRPr="00393475">
        <w:rPr>
          <w:szCs w:val="24"/>
          <w:lang w:val="en-US"/>
        </w:rPr>
        <w:t xml:space="preserve">. </w:t>
      </w:r>
      <w:r w:rsidRPr="00393475">
        <w:rPr>
          <w:szCs w:val="24"/>
          <w:lang w:val="en-US"/>
        </w:rPr>
        <w:t>The prevention and reduction of deaths due to traffic occurrences are associated with the commitment of the public authorities to the adequate planning and directing of human and financial resources, and related to public policies implemented in a coordinated way among all segments of society</w:t>
      </w:r>
      <w:r w:rsidR="009E01AB" w:rsidRPr="00393475">
        <w:rPr>
          <w:vertAlign w:val="superscript"/>
          <w:lang w:val="en-US"/>
        </w:rPr>
        <w:t>(5)</w:t>
      </w:r>
      <w:r w:rsidR="009E01AB" w:rsidRPr="00393475">
        <w:rPr>
          <w:lang w:val="en-US"/>
        </w:rPr>
        <w:t xml:space="preserve">. </w:t>
      </w:r>
    </w:p>
    <w:p w:rsidR="009E01AB" w:rsidRPr="00393475" w:rsidRDefault="002129B9" w:rsidP="00DA1E0A">
      <w:pPr>
        <w:pStyle w:val="Recuodecorpodetexto"/>
        <w:spacing w:line="480" w:lineRule="auto"/>
        <w:ind w:left="0" w:firstLine="709"/>
        <w:rPr>
          <w:color w:val="000000"/>
          <w:shd w:val="clear" w:color="auto" w:fill="FFFFFF"/>
          <w:lang w:val="en-US"/>
        </w:rPr>
      </w:pPr>
      <w:r w:rsidRPr="00393475">
        <w:rPr>
          <w:color w:val="000000"/>
          <w:shd w:val="clear" w:color="auto" w:fill="FFFFFF"/>
          <w:lang w:val="en-US"/>
        </w:rPr>
        <w:t xml:space="preserve">The elaboration of this study is justified by </w:t>
      </w:r>
      <w:r w:rsidR="00643FBC" w:rsidRPr="00393475">
        <w:rPr>
          <w:color w:val="000000"/>
          <w:shd w:val="clear" w:color="auto" w:fill="FFFFFF"/>
          <w:lang w:val="en-US"/>
        </w:rPr>
        <w:t>the fact that knowledge of the reality of traffic accidents and consequent mortality can contribute not only to the development of measures and programs to prevent injuries and deaths but also to implement, inform and develop programs of assistance to individuals involved in these occurrences</w:t>
      </w:r>
      <w:r w:rsidRPr="00393475">
        <w:rPr>
          <w:color w:val="000000"/>
          <w:shd w:val="clear" w:color="auto" w:fill="FFFFFF"/>
          <w:lang w:val="en-US"/>
        </w:rPr>
        <w:t>.</w:t>
      </w:r>
      <w:r w:rsidR="00643FBC" w:rsidRPr="00393475">
        <w:rPr>
          <w:color w:val="000000"/>
          <w:shd w:val="clear" w:color="auto" w:fill="FFFFFF"/>
          <w:lang w:val="en-US"/>
        </w:rPr>
        <w:t xml:space="preserve"> </w:t>
      </w:r>
      <w:r w:rsidRPr="00393475">
        <w:rPr>
          <w:color w:val="000000"/>
          <w:shd w:val="clear" w:color="auto" w:fill="FFFFFF"/>
          <w:lang w:val="en-US"/>
        </w:rPr>
        <w:t>It can also</w:t>
      </w:r>
      <w:r w:rsidR="00643FBC" w:rsidRPr="00393475">
        <w:rPr>
          <w:color w:val="000000"/>
          <w:shd w:val="clear" w:color="auto" w:fill="FFFFFF"/>
          <w:lang w:val="en-US"/>
        </w:rPr>
        <w:t xml:space="preserve"> provid</w:t>
      </w:r>
      <w:r w:rsidRPr="00393475">
        <w:rPr>
          <w:color w:val="000000"/>
          <w:shd w:val="clear" w:color="auto" w:fill="FFFFFF"/>
          <w:lang w:val="en-US"/>
        </w:rPr>
        <w:t>e</w:t>
      </w:r>
      <w:r w:rsidR="00643FBC" w:rsidRPr="00393475">
        <w:rPr>
          <w:color w:val="000000"/>
          <w:shd w:val="clear" w:color="auto" w:fill="FFFFFF"/>
          <w:lang w:val="en-US"/>
        </w:rPr>
        <w:t xml:space="preserve"> a real diagnosis of the situation to carry out other studies that serve as a reference to the multidisciplinary team and to establish behaviors that aim to reduce this event in the population</w:t>
      </w:r>
      <w:r w:rsidR="009E01AB" w:rsidRPr="00393475">
        <w:rPr>
          <w:color w:val="000000"/>
          <w:shd w:val="clear" w:color="auto" w:fill="FFFFFF"/>
          <w:lang w:val="en-US"/>
        </w:rPr>
        <w:t>.</w:t>
      </w:r>
    </w:p>
    <w:p w:rsidR="009E01AB" w:rsidRPr="00393475" w:rsidRDefault="002129B9" w:rsidP="00DA1E0A">
      <w:pPr>
        <w:pStyle w:val="Recuodecorpodetexto"/>
        <w:spacing w:line="480" w:lineRule="auto"/>
        <w:ind w:left="0" w:firstLine="709"/>
        <w:rPr>
          <w:szCs w:val="24"/>
          <w:lang w:val="en-US"/>
        </w:rPr>
      </w:pPr>
      <w:r w:rsidRPr="00393475">
        <w:rPr>
          <w:lang w:val="en-US"/>
        </w:rPr>
        <w:t>Considering this perspective and considering the importance of traffic accidents for the occurrence of deaths, the objective of this study was to analyze the temporal trend of mortality between 1996 and 2012</w:t>
      </w:r>
      <w:r w:rsidR="009E01AB" w:rsidRPr="00393475">
        <w:rPr>
          <w:szCs w:val="24"/>
          <w:lang w:val="en-US"/>
        </w:rPr>
        <w:t>.</w:t>
      </w:r>
    </w:p>
    <w:p w:rsidR="009E01AB" w:rsidRPr="00393475" w:rsidRDefault="009E01AB" w:rsidP="00DA1E0A">
      <w:pPr>
        <w:pStyle w:val="Recuodecorpodetexto"/>
        <w:spacing w:line="480" w:lineRule="auto"/>
        <w:rPr>
          <w:b/>
          <w:szCs w:val="24"/>
          <w:lang w:val="en-US" w:eastAsia="pt-BR"/>
        </w:rPr>
      </w:pPr>
      <w:r w:rsidRPr="00393475">
        <w:rPr>
          <w:b/>
          <w:szCs w:val="24"/>
          <w:lang w:val="en-US" w:eastAsia="pt-BR"/>
        </w:rPr>
        <w:t>MET</w:t>
      </w:r>
      <w:r w:rsidR="002B102F" w:rsidRPr="00393475">
        <w:rPr>
          <w:b/>
          <w:szCs w:val="24"/>
          <w:lang w:val="en-US" w:eastAsia="pt-BR"/>
        </w:rPr>
        <w:t>H</w:t>
      </w:r>
      <w:r w:rsidRPr="00393475">
        <w:rPr>
          <w:b/>
          <w:szCs w:val="24"/>
          <w:lang w:val="en-US" w:eastAsia="pt-BR"/>
        </w:rPr>
        <w:t>ODOLOG</w:t>
      </w:r>
      <w:r w:rsidR="002B102F" w:rsidRPr="00393475">
        <w:rPr>
          <w:b/>
          <w:szCs w:val="24"/>
          <w:lang w:val="en-US" w:eastAsia="pt-BR"/>
        </w:rPr>
        <w:t>Y</w:t>
      </w:r>
    </w:p>
    <w:p w:rsidR="009E01AB" w:rsidRPr="00393475" w:rsidRDefault="002129B9" w:rsidP="00DA1E0A">
      <w:pPr>
        <w:autoSpaceDE w:val="0"/>
        <w:autoSpaceDN w:val="0"/>
        <w:adjustRightInd w:val="0"/>
        <w:spacing w:line="480" w:lineRule="auto"/>
        <w:ind w:firstLine="539"/>
        <w:jc w:val="both"/>
        <w:rPr>
          <w:lang w:val="en-US"/>
        </w:rPr>
      </w:pPr>
      <w:r w:rsidRPr="00393475">
        <w:rPr>
          <w:lang w:val="en-US"/>
        </w:rPr>
        <w:t xml:space="preserve">This is an epidemiological, descriptive and retrospective study with a longitudinal </w:t>
      </w:r>
      <w:proofErr w:type="gramStart"/>
      <w:r w:rsidRPr="00393475">
        <w:rPr>
          <w:lang w:val="en-US"/>
        </w:rPr>
        <w:t>approach</w:t>
      </w:r>
      <w:r w:rsidR="009E01AB" w:rsidRPr="00393475">
        <w:rPr>
          <w:vertAlign w:val="superscript"/>
          <w:lang w:val="en-US"/>
        </w:rPr>
        <w:t>(</w:t>
      </w:r>
      <w:proofErr w:type="gramEnd"/>
      <w:r w:rsidR="009E01AB" w:rsidRPr="00393475">
        <w:rPr>
          <w:vertAlign w:val="superscript"/>
          <w:lang w:val="en-US"/>
        </w:rPr>
        <w:t>6</w:t>
      </w:r>
      <w:r w:rsidR="009F04E8" w:rsidRPr="00393475">
        <w:rPr>
          <w:vertAlign w:val="superscript"/>
          <w:lang w:val="en-US"/>
        </w:rPr>
        <w:t>)</w:t>
      </w:r>
      <w:r w:rsidR="009E01AB" w:rsidRPr="00393475">
        <w:rPr>
          <w:lang w:val="en-US"/>
        </w:rPr>
        <w:t xml:space="preserve"> </w:t>
      </w:r>
      <w:r w:rsidRPr="00393475">
        <w:rPr>
          <w:lang w:val="en-US"/>
        </w:rPr>
        <w:t xml:space="preserve">on mortality from motor vehicle accidents in the city of </w:t>
      </w:r>
      <w:proofErr w:type="spellStart"/>
      <w:r w:rsidRPr="00393475">
        <w:rPr>
          <w:lang w:val="en-US"/>
        </w:rPr>
        <w:t>Maringá</w:t>
      </w:r>
      <w:proofErr w:type="spellEnd"/>
      <w:r w:rsidRPr="00393475">
        <w:rPr>
          <w:lang w:val="en-US"/>
        </w:rPr>
        <w:t xml:space="preserve">, PR, from 1996 to 2012. The data collection </w:t>
      </w:r>
      <w:proofErr w:type="gramStart"/>
      <w:r w:rsidRPr="00393475">
        <w:rPr>
          <w:lang w:val="en-US"/>
        </w:rPr>
        <w:t>was performed</w:t>
      </w:r>
      <w:proofErr w:type="gramEnd"/>
      <w:r w:rsidRPr="00393475">
        <w:rPr>
          <w:lang w:val="en-US"/>
        </w:rPr>
        <w:t xml:space="preserve"> in 2014, the year in which information was available for the study period. All data on the mortality of the 368 victims </w:t>
      </w:r>
      <w:proofErr w:type="gramStart"/>
      <w:r w:rsidRPr="00393475">
        <w:rPr>
          <w:lang w:val="en-US"/>
        </w:rPr>
        <w:t>were extracted</w:t>
      </w:r>
      <w:proofErr w:type="gramEnd"/>
      <w:r w:rsidRPr="00393475">
        <w:rPr>
          <w:lang w:val="en-US"/>
        </w:rPr>
        <w:t xml:space="preserve"> from the Mortality Information System available on the Department of Informatics of the National Health System of the Ministry of Health (</w:t>
      </w:r>
      <w:proofErr w:type="spellStart"/>
      <w:r w:rsidRPr="00393475">
        <w:rPr>
          <w:lang w:val="en-US"/>
        </w:rPr>
        <w:t>Datasus</w:t>
      </w:r>
      <w:proofErr w:type="spellEnd"/>
      <w:r w:rsidRPr="00393475">
        <w:rPr>
          <w:lang w:val="en-US"/>
        </w:rPr>
        <w:t xml:space="preserve">), which uses information from death certificates and from demographic censuses performed by </w:t>
      </w:r>
      <w:r w:rsidRPr="00393475">
        <w:rPr>
          <w:lang w:val="en-US"/>
        </w:rPr>
        <w:lastRenderedPageBreak/>
        <w:t xml:space="preserve">the Brazilian Institute of Geography and Statistics (IBGE). Accidents were analyzed according to codes from the 10th revision of the International Statistical Classification of Diseases and Health-Related </w:t>
      </w:r>
      <w:proofErr w:type="gramStart"/>
      <w:r w:rsidRPr="00393475">
        <w:rPr>
          <w:lang w:val="en-US"/>
        </w:rPr>
        <w:t>Problems</w:t>
      </w:r>
      <w:r w:rsidR="009E01AB" w:rsidRPr="00393475">
        <w:rPr>
          <w:vertAlign w:val="superscript"/>
          <w:lang w:val="en-US"/>
        </w:rPr>
        <w:t>(</w:t>
      </w:r>
      <w:proofErr w:type="gramEnd"/>
      <w:r w:rsidR="009E01AB" w:rsidRPr="00393475">
        <w:rPr>
          <w:vertAlign w:val="superscript"/>
          <w:lang w:val="en-US"/>
        </w:rPr>
        <w:t>7)</w:t>
      </w:r>
      <w:r w:rsidR="009E01AB" w:rsidRPr="00393475">
        <w:rPr>
          <w:lang w:val="en-US"/>
        </w:rPr>
        <w:t xml:space="preserve"> </w:t>
      </w:r>
      <w:r w:rsidRPr="00393475">
        <w:rPr>
          <w:lang w:val="en-US"/>
        </w:rPr>
        <w:t xml:space="preserve">and grouped from V40 to V49 (car occupant </w:t>
      </w:r>
      <w:r w:rsidR="00591D9D" w:rsidRPr="00393475">
        <w:rPr>
          <w:lang w:val="en-US"/>
        </w:rPr>
        <w:t>injured</w:t>
      </w:r>
      <w:r w:rsidRPr="00393475">
        <w:rPr>
          <w:lang w:val="en-US"/>
        </w:rPr>
        <w:t xml:space="preserve"> in transport accident</w:t>
      </w:r>
      <w:r w:rsidR="009E01AB" w:rsidRPr="00393475">
        <w:rPr>
          <w:shd w:val="clear" w:color="auto" w:fill="FFFFFF"/>
          <w:lang w:val="en-US"/>
        </w:rPr>
        <w:t>)</w:t>
      </w:r>
      <w:r w:rsidR="009E01AB" w:rsidRPr="00393475">
        <w:rPr>
          <w:lang w:val="en-US"/>
        </w:rPr>
        <w:t>.</w:t>
      </w:r>
    </w:p>
    <w:p w:rsidR="009E01AB" w:rsidRPr="00393475" w:rsidRDefault="00591D9D" w:rsidP="00DA1E0A">
      <w:pPr>
        <w:autoSpaceDE w:val="0"/>
        <w:autoSpaceDN w:val="0"/>
        <w:adjustRightInd w:val="0"/>
        <w:spacing w:line="480" w:lineRule="auto"/>
        <w:ind w:firstLine="539"/>
        <w:jc w:val="both"/>
        <w:rPr>
          <w:lang w:val="en-US"/>
        </w:rPr>
      </w:pPr>
      <w:proofErr w:type="gramStart"/>
      <w:r w:rsidRPr="00393475">
        <w:rPr>
          <w:lang w:val="en-US"/>
        </w:rPr>
        <w:t>The following variables were used for the analysis of this study: age range (0 to 14, 15 to 19, 20 to 29, 30 to 39, 40 to 49, 50 to 59 and individuals aged&gt; 60 years</w:t>
      </w:r>
      <w:r w:rsidR="00E7098F" w:rsidRPr="00393475">
        <w:rPr>
          <w:lang w:val="en-US"/>
        </w:rPr>
        <w:t xml:space="preserve"> old</w:t>
      </w:r>
      <w:r w:rsidRPr="00393475">
        <w:rPr>
          <w:lang w:val="en-US"/>
        </w:rPr>
        <w:t xml:space="preserve">), </w:t>
      </w:r>
      <w:r w:rsidR="00E7098F" w:rsidRPr="00393475">
        <w:rPr>
          <w:lang w:val="en-US"/>
        </w:rPr>
        <w:t>sex (male and</w:t>
      </w:r>
      <w:r w:rsidRPr="00393475">
        <w:rPr>
          <w:lang w:val="en-US"/>
        </w:rPr>
        <w:t xml:space="preserve"> female); race/color (white, black/brown, yellow); schooling (none, 1-3, 4-7, 8-11 and 12 years and </w:t>
      </w:r>
      <w:r w:rsidR="00E7098F" w:rsidRPr="00393475">
        <w:rPr>
          <w:lang w:val="en-US"/>
        </w:rPr>
        <w:t>more</w:t>
      </w:r>
      <w:r w:rsidRPr="00393475">
        <w:rPr>
          <w:lang w:val="en-US"/>
        </w:rPr>
        <w:t>); marital status (single, married and others); place of occurrence (hospital, public highway and others); work accident (yes and no) and type of accident (</w:t>
      </w:r>
      <w:r w:rsidR="00E7098F" w:rsidRPr="00393475">
        <w:rPr>
          <w:lang w:val="en-US"/>
        </w:rPr>
        <w:t xml:space="preserve">collision with </w:t>
      </w:r>
      <w:r w:rsidRPr="00393475">
        <w:rPr>
          <w:lang w:val="en-US"/>
        </w:rPr>
        <w:t>pedestrian</w:t>
      </w:r>
      <w:r w:rsidR="00E7098F" w:rsidRPr="00393475">
        <w:rPr>
          <w:lang w:val="en-US"/>
        </w:rPr>
        <w:t xml:space="preserve"> or </w:t>
      </w:r>
      <w:r w:rsidRPr="00393475">
        <w:rPr>
          <w:lang w:val="en-US"/>
        </w:rPr>
        <w:t xml:space="preserve">animal, collision with pedal </w:t>
      </w:r>
      <w:r w:rsidR="00E7098F" w:rsidRPr="00393475">
        <w:rPr>
          <w:lang w:val="en-US"/>
        </w:rPr>
        <w:t>cycle</w:t>
      </w:r>
      <w:r w:rsidRPr="00393475">
        <w:rPr>
          <w:lang w:val="en-US"/>
        </w:rPr>
        <w:t>, collision with two- or three-wheel</w:t>
      </w:r>
      <w:r w:rsidR="00E7098F" w:rsidRPr="00393475">
        <w:rPr>
          <w:lang w:val="en-US"/>
        </w:rPr>
        <w:t>ed</w:t>
      </w:r>
      <w:r w:rsidRPr="00393475">
        <w:rPr>
          <w:lang w:val="en-US"/>
        </w:rPr>
        <w:t xml:space="preserve"> motor vehicle, collision with </w:t>
      </w:r>
      <w:r w:rsidR="00E7098F" w:rsidRPr="00393475">
        <w:rPr>
          <w:lang w:val="en-US"/>
        </w:rPr>
        <w:t xml:space="preserve">car or pick-up </w:t>
      </w:r>
      <w:r w:rsidRPr="00393475">
        <w:rPr>
          <w:lang w:val="en-US"/>
        </w:rPr>
        <w:t>truck, collision with heavy transport vehicle</w:t>
      </w:r>
      <w:r w:rsidR="00E7098F" w:rsidRPr="00393475">
        <w:rPr>
          <w:lang w:val="en-US"/>
        </w:rPr>
        <w:t xml:space="preserve"> or </w:t>
      </w:r>
      <w:r w:rsidRPr="00393475">
        <w:rPr>
          <w:lang w:val="en-US"/>
        </w:rPr>
        <w:t xml:space="preserve">bus, collision with </w:t>
      </w:r>
      <w:proofErr w:type="spellStart"/>
      <w:r w:rsidRPr="00393475">
        <w:rPr>
          <w:lang w:val="en-US"/>
        </w:rPr>
        <w:t>nonmotor</w:t>
      </w:r>
      <w:proofErr w:type="spellEnd"/>
      <w:r w:rsidRPr="00393475">
        <w:rPr>
          <w:lang w:val="en-US"/>
        </w:rPr>
        <w:t xml:space="preserve"> vehicle, collision with fixed </w:t>
      </w:r>
      <w:r w:rsidR="00E7098F" w:rsidRPr="00393475">
        <w:rPr>
          <w:lang w:val="en-US"/>
        </w:rPr>
        <w:t xml:space="preserve">or stationary </w:t>
      </w:r>
      <w:r w:rsidRPr="00393475">
        <w:rPr>
          <w:lang w:val="en-US"/>
        </w:rPr>
        <w:t xml:space="preserve">object, </w:t>
      </w:r>
      <w:proofErr w:type="spellStart"/>
      <w:r w:rsidR="00452C63" w:rsidRPr="00393475">
        <w:rPr>
          <w:lang w:val="en-US"/>
        </w:rPr>
        <w:t>non</w:t>
      </w:r>
      <w:r w:rsidRPr="00393475">
        <w:rPr>
          <w:lang w:val="en-US"/>
        </w:rPr>
        <w:t>collision</w:t>
      </w:r>
      <w:proofErr w:type="spellEnd"/>
      <w:r w:rsidR="00452C63" w:rsidRPr="00393475">
        <w:rPr>
          <w:lang w:val="en-US"/>
        </w:rPr>
        <w:t xml:space="preserve"> transport accident</w:t>
      </w:r>
      <w:r w:rsidRPr="00393475">
        <w:rPr>
          <w:lang w:val="en-US"/>
        </w:rPr>
        <w:t>, other and unspecified</w:t>
      </w:r>
      <w:r w:rsidR="00452C63" w:rsidRPr="00393475">
        <w:rPr>
          <w:lang w:val="en-US"/>
        </w:rPr>
        <w:t xml:space="preserve"> accidents</w:t>
      </w:r>
      <w:r w:rsidR="009E01AB" w:rsidRPr="00393475">
        <w:rPr>
          <w:lang w:val="en-US"/>
        </w:rPr>
        <w:t>).</w:t>
      </w:r>
      <w:proofErr w:type="gramEnd"/>
    </w:p>
    <w:p w:rsidR="009E01AB" w:rsidRPr="00393475" w:rsidRDefault="00BD1070" w:rsidP="00DA1E0A">
      <w:pPr>
        <w:autoSpaceDE w:val="0"/>
        <w:autoSpaceDN w:val="0"/>
        <w:adjustRightInd w:val="0"/>
        <w:spacing w:line="480" w:lineRule="auto"/>
        <w:ind w:firstLine="539"/>
        <w:jc w:val="both"/>
        <w:rPr>
          <w:lang w:val="en-US"/>
        </w:rPr>
      </w:pPr>
      <w:r w:rsidRPr="00393475">
        <w:rPr>
          <w:lang w:val="en-US"/>
        </w:rPr>
        <w:t>In order to model the annual death count, the Poisson distribution adapts to the main characteristic of the counting data, non-negative integer values. The mortality trend analysis performed from the adjustment of a Poisson regression model to time series</w:t>
      </w:r>
      <w:r w:rsidR="009E01AB" w:rsidRPr="00393475">
        <w:rPr>
          <w:lang w:val="en-US"/>
        </w:rPr>
        <w:t xml:space="preserve"> </w:t>
      </w:r>
      <w:r w:rsidR="009E01AB" w:rsidRPr="0056123C">
        <w:rPr>
          <w:position w:val="-12"/>
        </w:rPr>
        <w:object w:dxaOrig="106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18pt" o:ole="">
            <v:imagedata r:id="rId7" o:title=""/>
          </v:shape>
          <o:OLEObject Type="Embed" ProgID="Equation.DSMT4" ShapeID="_x0000_i1025" DrawAspect="Content" ObjectID="_1580566890" r:id="rId8"/>
        </w:object>
      </w:r>
      <w:r w:rsidR="0018683D" w:rsidRPr="00393475">
        <w:rPr>
          <w:lang w:val="en-US"/>
        </w:rPr>
        <w:t xml:space="preserve"> with</w:t>
      </w:r>
      <m:oMath>
        <m:r>
          <w:rPr>
            <w:rFonts w:ascii="Cambria Math"/>
            <w:lang w:val="en-US"/>
          </w:rPr>
          <m:t xml:space="preserve"> </m:t>
        </m:r>
        <m:func>
          <m:funcPr>
            <m:ctrlPr>
              <w:rPr>
                <w:rFonts w:ascii="Cambria Math" w:hAnsi="Cambria Math"/>
                <w:i/>
              </w:rPr>
            </m:ctrlPr>
          </m:funcPr>
          <m:fName>
            <m:r>
              <m:rPr>
                <m:sty m:val="p"/>
              </m:rPr>
              <w:rPr>
                <w:rFonts w:ascii="Cambria Math"/>
                <w:lang w:val="en-US"/>
              </w:rPr>
              <m:t>log</m:t>
            </m:r>
          </m:fName>
          <m:e>
            <m:d>
              <m:dPr>
                <m:ctrlPr>
                  <w:rPr>
                    <w:rFonts w:ascii="Cambria Math" w:hAnsi="Cambria Math"/>
                    <w:i/>
                  </w:rPr>
                </m:ctrlPr>
              </m:dPr>
              <m:e>
                <m:sSub>
                  <m:sSubPr>
                    <m:ctrlPr>
                      <w:rPr>
                        <w:rFonts w:ascii="Cambria Math" w:hAnsi="Cambria Math"/>
                        <w:i/>
                      </w:rPr>
                    </m:ctrlPr>
                  </m:sSubPr>
                  <m:e>
                    <m:r>
                      <w:rPr>
                        <w:rFonts w:ascii="Cambria Math" w:hAnsi="Cambria Math"/>
                      </w:rPr>
                      <m:t>μ</m:t>
                    </m:r>
                  </m:e>
                  <m:sub>
                    <m:r>
                      <w:rPr>
                        <w:rFonts w:ascii="Cambria Math" w:hAnsi="Cambria Math"/>
                      </w:rPr>
                      <m:t>i</m:t>
                    </m:r>
                  </m:sub>
                </m:sSub>
              </m:e>
            </m:d>
          </m:e>
        </m:func>
        <m:r>
          <w:rPr>
            <w:rFonts w:ascii="Cambria Math"/>
            <w:lang w:val="en-US"/>
          </w:rPr>
          <m:t xml:space="preserve">= </m:t>
        </m:r>
        <m:sSub>
          <m:sSubPr>
            <m:ctrlPr>
              <w:rPr>
                <w:rFonts w:ascii="Cambria Math" w:hAnsi="Cambria Math"/>
                <w:i/>
              </w:rPr>
            </m:ctrlPr>
          </m:sSubPr>
          <m:e>
            <m:r>
              <w:rPr>
                <w:rFonts w:ascii="Cambria Math" w:hAnsi="Cambria Math"/>
              </w:rPr>
              <m:t>β</m:t>
            </m:r>
          </m:e>
          <m:sub>
            <m:r>
              <w:rPr>
                <w:rFonts w:ascii="Cambria Math"/>
                <w:lang w:val="en-US"/>
              </w:rPr>
              <m:t>0</m:t>
            </m:r>
          </m:sub>
        </m:sSub>
        <m:r>
          <w:rPr>
            <w:rFonts w:ascii="Cambria Math"/>
            <w:lang w:val="en-US"/>
          </w:rPr>
          <m:t>+</m:t>
        </m:r>
        <m:sSub>
          <m:sSubPr>
            <m:ctrlPr>
              <w:rPr>
                <w:rFonts w:ascii="Cambria Math" w:hAnsi="Cambria Math"/>
                <w:i/>
              </w:rPr>
            </m:ctrlPr>
          </m:sSubPr>
          <m:e>
            <m:r>
              <w:rPr>
                <w:rFonts w:ascii="Cambria Math" w:hAnsi="Cambria Math"/>
              </w:rPr>
              <m:t>β</m:t>
            </m:r>
          </m:e>
          <m:sub>
            <m:r>
              <w:rPr>
                <w:rFonts w:ascii="Cambria Math"/>
                <w:lang w:val="en-US"/>
              </w:rPr>
              <m:t>1</m:t>
            </m:r>
          </m:sub>
        </m:sSub>
        <m:sSub>
          <m:sSubPr>
            <m:ctrlPr>
              <w:rPr>
                <w:rFonts w:ascii="Cambria Math" w:hAnsi="Cambria Math"/>
                <w:i/>
              </w:rPr>
            </m:ctrlPr>
          </m:sSubPr>
          <m:e>
            <m:r>
              <w:rPr>
                <w:rFonts w:ascii="Cambria Math" w:hAnsi="Cambria Math"/>
              </w:rPr>
              <m:t>t</m:t>
            </m:r>
          </m:e>
          <m:sub>
            <m:r>
              <w:rPr>
                <w:rFonts w:ascii="Cambria Math" w:hAnsi="Cambria Math"/>
              </w:rPr>
              <m:t>i</m:t>
            </m:r>
            <m:r>
              <w:rPr>
                <w:rFonts w:ascii="Cambria Math"/>
                <w:lang w:val="en-US"/>
              </w:rPr>
              <m:t xml:space="preserve">,  </m:t>
            </m:r>
          </m:sub>
        </m:sSub>
        <m:r>
          <w:rPr>
            <w:rFonts w:ascii="Cambria Math"/>
            <w:lang w:val="en-US"/>
          </w:rPr>
          <m:t xml:space="preserve"> </m:t>
        </m:r>
        <m:r>
          <w:rPr>
            <w:rFonts w:ascii="Cambria Math" w:hAnsi="Cambria Math"/>
          </w:rPr>
          <m:t>i</m:t>
        </m:r>
        <m:r>
          <w:rPr>
            <w:rFonts w:ascii="Cambria Math"/>
            <w:lang w:val="en-US"/>
          </w:rPr>
          <m:t>=1,</m:t>
        </m:r>
        <m:r>
          <w:rPr>
            <w:rFonts w:ascii="Cambria Math" w:hAnsi="Cambria Math"/>
            <w:lang w:val="en-US"/>
          </w:rPr>
          <m:t>…</m:t>
        </m:r>
        <m:r>
          <w:rPr>
            <w:rFonts w:ascii="Cambria Math"/>
            <w:lang w:val="en-US"/>
          </w:rPr>
          <m:t>17</m:t>
        </m:r>
      </m:oMath>
      <w:r w:rsidR="009F04E8" w:rsidRPr="00393475">
        <w:rPr>
          <w:lang w:val="en-US"/>
        </w:rPr>
        <w:t xml:space="preserve">, </w:t>
      </w:r>
      <w:r w:rsidR="0018683D" w:rsidRPr="00393475">
        <w:rPr>
          <w:lang w:val="en-US"/>
        </w:rPr>
        <w:t>in which</w:t>
      </w:r>
      <w:r w:rsidR="009E01AB" w:rsidRPr="0056123C">
        <w:rPr>
          <w:position w:val="-12"/>
        </w:rPr>
        <w:object w:dxaOrig="300" w:dyaOrig="360">
          <v:shape id="_x0000_i1026" type="#_x0000_t75" style="width:15pt;height:18pt" o:ole="">
            <v:imagedata r:id="rId9" o:title=""/>
          </v:shape>
          <o:OLEObject Type="Embed" ProgID="Equation.DSMT4" ShapeID="_x0000_i1026" DrawAspect="Content" ObjectID="_1580566891" r:id="rId10"/>
        </w:object>
      </w:r>
      <w:r w:rsidR="009E01AB" w:rsidRPr="00393475">
        <w:rPr>
          <w:lang w:val="en-US"/>
        </w:rPr>
        <w:t xml:space="preserve"> </w:t>
      </w:r>
      <w:r w:rsidR="0018683D" w:rsidRPr="00393475">
        <w:rPr>
          <w:lang w:val="en-US"/>
        </w:rPr>
        <w:t>is the intercept</w:t>
      </w:r>
      <w:r w:rsidR="009E01AB" w:rsidRPr="00393475">
        <w:rPr>
          <w:lang w:val="en-US"/>
        </w:rPr>
        <w:t xml:space="preserve">, </w:t>
      </w:r>
      <w:r w:rsidR="009E01AB" w:rsidRPr="0056123C">
        <w:rPr>
          <w:position w:val="-12"/>
        </w:rPr>
        <w:object w:dxaOrig="260" w:dyaOrig="360">
          <v:shape id="_x0000_i1027" type="#_x0000_t75" style="width:13.5pt;height:18pt" o:ole="">
            <v:imagedata r:id="rId11" o:title=""/>
          </v:shape>
          <o:OLEObject Type="Embed" ProgID="Equation.DSMT4" ShapeID="_x0000_i1027" DrawAspect="Content" ObjectID="_1580566892" r:id="rId12"/>
        </w:object>
      </w:r>
      <w:r w:rsidR="009E01AB" w:rsidRPr="00393475">
        <w:rPr>
          <w:lang w:val="en-US"/>
        </w:rPr>
        <w:t xml:space="preserve"> </w:t>
      </w:r>
      <w:r w:rsidR="0018683D" w:rsidRPr="00393475">
        <w:rPr>
          <w:lang w:val="en-US"/>
        </w:rPr>
        <w:t xml:space="preserve">is the coefficient accompanying the independent variable year and </w:t>
      </w:r>
      <m:oMath>
        <m:sSub>
          <m:sSubPr>
            <m:ctrlPr>
              <w:rPr>
                <w:rFonts w:ascii="Cambria Math" w:hAnsi="Cambria Math"/>
                <w:i/>
              </w:rPr>
            </m:ctrlPr>
          </m:sSubPr>
          <m:e>
            <m:r>
              <w:rPr>
                <w:rFonts w:ascii="Cambria Math" w:hAnsi="Cambria Math"/>
              </w:rPr>
              <m:t>t</m:t>
            </m:r>
          </m:e>
          <m:sub>
            <m:r>
              <w:rPr>
                <w:rFonts w:ascii="Cambria Math" w:hAnsi="Cambria Math"/>
              </w:rPr>
              <m:t>i</m:t>
            </m:r>
          </m:sub>
        </m:sSub>
      </m:oMath>
      <w:r w:rsidR="009E01AB" w:rsidRPr="00393475">
        <w:rPr>
          <w:lang w:val="en-US"/>
        </w:rPr>
        <w:t xml:space="preserve"> </w:t>
      </w:r>
      <w:r w:rsidR="0018683D" w:rsidRPr="00393475">
        <w:rPr>
          <w:lang w:val="en-US"/>
        </w:rPr>
        <w:t xml:space="preserve">is </w:t>
      </w:r>
      <w:proofErr w:type="gramStart"/>
      <w:r w:rsidR="0018683D" w:rsidRPr="00393475">
        <w:rPr>
          <w:lang w:val="en-US"/>
        </w:rPr>
        <w:t xml:space="preserve">the </w:t>
      </w:r>
      <w:proofErr w:type="spellStart"/>
      <w:r w:rsidR="0018683D" w:rsidRPr="00393475">
        <w:rPr>
          <w:lang w:val="en-US"/>
        </w:rPr>
        <w:t>i</w:t>
      </w:r>
      <w:proofErr w:type="gramEnd"/>
      <w:r w:rsidR="0018683D" w:rsidRPr="00393475">
        <w:rPr>
          <w:lang w:val="en-US"/>
        </w:rPr>
        <w:t>-th</w:t>
      </w:r>
      <w:proofErr w:type="spellEnd"/>
      <w:r w:rsidR="0018683D" w:rsidRPr="00393475">
        <w:rPr>
          <w:lang w:val="en-US"/>
        </w:rPr>
        <w:t xml:space="preserve"> year of study. </w:t>
      </w:r>
      <w:r w:rsidR="00B419DE">
        <w:rPr>
          <w:lang w:val="en-US"/>
        </w:rPr>
        <w:tab/>
      </w:r>
      <w:bookmarkStart w:id="0" w:name="_GoBack"/>
      <w:bookmarkEnd w:id="0"/>
      <w:r w:rsidR="0018683D" w:rsidRPr="00393475">
        <w:rPr>
          <w:lang w:val="en-US"/>
        </w:rPr>
        <w:t xml:space="preserve">The function of canonical connection was used, which, in the case of the Poisson distribution, is the logarithmic function. From the estimated trend coefficient and its respective standard error, it was possible to verify the existence of a statistically significant increasing or decreasing trend. After adjusting the model, the residue independence assumption was verified from </w:t>
      </w:r>
      <w:proofErr w:type="spellStart"/>
      <w:r w:rsidR="0018683D" w:rsidRPr="00393475">
        <w:rPr>
          <w:lang w:val="en-US"/>
        </w:rPr>
        <w:t>correlograms</w:t>
      </w:r>
      <w:proofErr w:type="spellEnd"/>
      <w:r w:rsidR="0018683D" w:rsidRPr="00393475">
        <w:rPr>
          <w:lang w:val="en-US"/>
        </w:rPr>
        <w:t xml:space="preserve"> and from the Run's </w:t>
      </w:r>
      <w:proofErr w:type="gramStart"/>
      <w:r w:rsidR="0018683D" w:rsidRPr="00393475">
        <w:rPr>
          <w:lang w:val="en-US"/>
        </w:rPr>
        <w:t>Test</w:t>
      </w:r>
      <w:r w:rsidR="009E01AB" w:rsidRPr="00393475">
        <w:rPr>
          <w:vertAlign w:val="superscript"/>
          <w:lang w:val="en-US"/>
        </w:rPr>
        <w:t>(</w:t>
      </w:r>
      <w:proofErr w:type="gramEnd"/>
      <w:r w:rsidR="009E01AB" w:rsidRPr="00393475">
        <w:rPr>
          <w:vertAlign w:val="superscript"/>
          <w:lang w:val="en-US"/>
        </w:rPr>
        <w:t>8)</w:t>
      </w:r>
      <w:r w:rsidR="009E01AB" w:rsidRPr="00393475">
        <w:rPr>
          <w:lang w:val="en-US"/>
        </w:rPr>
        <w:t xml:space="preserve">. </w:t>
      </w:r>
      <w:r w:rsidR="0018683D" w:rsidRPr="00393475">
        <w:rPr>
          <w:lang w:val="en-US"/>
        </w:rPr>
        <w:t xml:space="preserve">Normality and constant variance </w:t>
      </w:r>
      <w:proofErr w:type="gramStart"/>
      <w:r w:rsidR="0018683D" w:rsidRPr="00393475">
        <w:rPr>
          <w:lang w:val="en-US"/>
        </w:rPr>
        <w:t>were also verified</w:t>
      </w:r>
      <w:proofErr w:type="gramEnd"/>
      <w:r w:rsidR="0018683D" w:rsidRPr="00393475">
        <w:rPr>
          <w:lang w:val="en-US"/>
        </w:rPr>
        <w:t xml:space="preserve">. The presence of trend could also be verified by the Cox-Stuart </w:t>
      </w:r>
      <w:proofErr w:type="gramStart"/>
      <w:r w:rsidR="0018683D" w:rsidRPr="00393475">
        <w:rPr>
          <w:lang w:val="en-US"/>
        </w:rPr>
        <w:t>test</w:t>
      </w:r>
      <w:r w:rsidR="009E01AB" w:rsidRPr="00393475">
        <w:rPr>
          <w:vertAlign w:val="superscript"/>
          <w:lang w:val="en-US"/>
        </w:rPr>
        <w:t>(</w:t>
      </w:r>
      <w:proofErr w:type="gramEnd"/>
      <w:r w:rsidR="009E01AB" w:rsidRPr="00393475">
        <w:rPr>
          <w:vertAlign w:val="superscript"/>
          <w:lang w:val="en-US"/>
        </w:rPr>
        <w:t>9)</w:t>
      </w:r>
      <w:r w:rsidR="009E01AB" w:rsidRPr="00393475">
        <w:rPr>
          <w:lang w:val="en-US"/>
        </w:rPr>
        <w:t>.</w:t>
      </w:r>
    </w:p>
    <w:p w:rsidR="009E01AB" w:rsidRPr="00393475" w:rsidRDefault="0018683D" w:rsidP="00DA1E0A">
      <w:pPr>
        <w:autoSpaceDE w:val="0"/>
        <w:autoSpaceDN w:val="0"/>
        <w:adjustRightInd w:val="0"/>
        <w:spacing w:line="480" w:lineRule="auto"/>
        <w:ind w:firstLine="709"/>
        <w:jc w:val="both"/>
        <w:rPr>
          <w:lang w:val="en-US"/>
        </w:rPr>
      </w:pPr>
      <w:r w:rsidRPr="00393475">
        <w:rPr>
          <w:lang w:val="en-US"/>
        </w:rPr>
        <w:lastRenderedPageBreak/>
        <w:t>In the analysis and interpretation of the results, we used the statistical program</w:t>
      </w:r>
      <w:r w:rsidR="009E01AB" w:rsidRPr="00393475">
        <w:rPr>
          <w:lang w:val="en-US"/>
        </w:rPr>
        <w:t xml:space="preserve"> “R 3.1.1”</w:t>
      </w:r>
      <w:r w:rsidR="009E01AB" w:rsidRPr="00393475">
        <w:rPr>
          <w:vertAlign w:val="superscript"/>
          <w:lang w:val="en-US"/>
        </w:rPr>
        <w:t>®</w:t>
      </w:r>
      <w:r w:rsidR="009E01AB" w:rsidRPr="00393475">
        <w:rPr>
          <w:lang w:val="en-US"/>
        </w:rPr>
        <w:t xml:space="preserve">, </w:t>
      </w:r>
      <w:r w:rsidRPr="00393475">
        <w:rPr>
          <w:lang w:val="en-US"/>
        </w:rPr>
        <w:t xml:space="preserve">establishing the level of significance of 5%. The results </w:t>
      </w:r>
      <w:proofErr w:type="gramStart"/>
      <w:r w:rsidRPr="00393475">
        <w:rPr>
          <w:lang w:val="en-US"/>
        </w:rPr>
        <w:t>were analyzed in simple and absolute frequencies and presented in the form of tables and figures</w:t>
      </w:r>
      <w:proofErr w:type="gramEnd"/>
      <w:r w:rsidRPr="00393475">
        <w:rPr>
          <w:lang w:val="en-US"/>
        </w:rPr>
        <w:t xml:space="preserve">. Considering that this study used data from the public domain, available in a database of DATASUS of the Ministry of Health, the research </w:t>
      </w:r>
      <w:proofErr w:type="gramStart"/>
      <w:r w:rsidRPr="00393475">
        <w:rPr>
          <w:lang w:val="en-US"/>
        </w:rPr>
        <w:t>was exempted</w:t>
      </w:r>
      <w:proofErr w:type="gramEnd"/>
      <w:r w:rsidRPr="00393475">
        <w:rPr>
          <w:lang w:val="en-US"/>
        </w:rPr>
        <w:t xml:space="preserve"> from the analysis of ethical submission by the Standing Committee on Ethics in Research Involving Human Beings of the State University of </w:t>
      </w:r>
      <w:proofErr w:type="spellStart"/>
      <w:r w:rsidRPr="00393475">
        <w:rPr>
          <w:lang w:val="en-US"/>
        </w:rPr>
        <w:t>Maringá</w:t>
      </w:r>
      <w:proofErr w:type="spellEnd"/>
      <w:r w:rsidRPr="00393475">
        <w:rPr>
          <w:lang w:val="en-US"/>
        </w:rPr>
        <w:t xml:space="preserve"> through the Ordinance no. 03/2015 - COPEP</w:t>
      </w:r>
      <w:r w:rsidR="009E01AB" w:rsidRPr="00393475">
        <w:rPr>
          <w:lang w:val="en-US"/>
        </w:rPr>
        <w:t>.</w:t>
      </w:r>
    </w:p>
    <w:p w:rsidR="009E01AB" w:rsidRPr="00393475" w:rsidRDefault="009E01AB" w:rsidP="00DA1E0A">
      <w:pPr>
        <w:autoSpaceDE w:val="0"/>
        <w:autoSpaceDN w:val="0"/>
        <w:adjustRightInd w:val="0"/>
        <w:spacing w:line="480" w:lineRule="auto"/>
        <w:jc w:val="both"/>
        <w:rPr>
          <w:b/>
          <w:lang w:val="en-US"/>
        </w:rPr>
      </w:pPr>
      <w:r w:rsidRPr="00393475">
        <w:rPr>
          <w:b/>
          <w:lang w:val="en-US"/>
        </w:rPr>
        <w:t>RESULTS</w:t>
      </w:r>
    </w:p>
    <w:p w:rsidR="009E01AB" w:rsidRPr="00393475" w:rsidRDefault="009E01AB" w:rsidP="00DA1E0A">
      <w:pPr>
        <w:autoSpaceDE w:val="0"/>
        <w:autoSpaceDN w:val="0"/>
        <w:adjustRightInd w:val="0"/>
        <w:spacing w:line="480" w:lineRule="auto"/>
        <w:jc w:val="both"/>
        <w:rPr>
          <w:lang w:val="en-US"/>
        </w:rPr>
      </w:pPr>
      <w:r w:rsidRPr="00393475">
        <w:rPr>
          <w:lang w:val="en-US"/>
        </w:rPr>
        <w:tab/>
      </w:r>
      <w:r w:rsidR="0018683D" w:rsidRPr="00393475">
        <w:rPr>
          <w:lang w:val="en-US"/>
        </w:rPr>
        <w:t>Table 1 shows the prevalence of male mortality (76.35%). The highest proportion of males allowed a male/female ratio of 3.2: 1</w:t>
      </w:r>
      <w:r w:rsidRPr="00393475">
        <w:rPr>
          <w:lang w:val="en-US"/>
        </w:rPr>
        <w:t>.</w:t>
      </w:r>
    </w:p>
    <w:p w:rsidR="009E01AB" w:rsidRPr="0056123C" w:rsidRDefault="0018683D" w:rsidP="0056123C">
      <w:pPr>
        <w:autoSpaceDE w:val="0"/>
        <w:autoSpaceDN w:val="0"/>
        <w:adjustRightInd w:val="0"/>
        <w:jc w:val="both"/>
        <w:rPr>
          <w:bCs/>
        </w:rPr>
      </w:pPr>
      <w:r w:rsidRPr="00393475">
        <w:rPr>
          <w:bCs/>
          <w:lang w:val="en-US"/>
        </w:rPr>
        <w:t xml:space="preserve">Table 1- Distribution of deaths due to traffic accidents according to </w:t>
      </w:r>
      <w:proofErr w:type="spellStart"/>
      <w:r w:rsidRPr="00393475">
        <w:rPr>
          <w:bCs/>
          <w:lang w:val="en-US"/>
        </w:rPr>
        <w:t>sociodemographic</w:t>
      </w:r>
      <w:proofErr w:type="spellEnd"/>
      <w:r w:rsidRPr="00393475">
        <w:rPr>
          <w:bCs/>
          <w:lang w:val="en-US"/>
        </w:rPr>
        <w:t xml:space="preserve"> variables. </w:t>
      </w:r>
      <w:r w:rsidRPr="0018683D">
        <w:rPr>
          <w:bCs/>
        </w:rPr>
        <w:t xml:space="preserve">Maringá, PR, </w:t>
      </w:r>
      <w:proofErr w:type="spellStart"/>
      <w:r w:rsidRPr="0018683D">
        <w:rPr>
          <w:bCs/>
        </w:rPr>
        <w:t>Brazil</w:t>
      </w:r>
      <w:proofErr w:type="spellEnd"/>
      <w:r w:rsidRPr="0018683D">
        <w:rPr>
          <w:bCs/>
        </w:rPr>
        <w:t xml:space="preserve">, 1996 </w:t>
      </w:r>
      <w:proofErr w:type="spellStart"/>
      <w:r w:rsidRPr="0018683D">
        <w:rPr>
          <w:bCs/>
        </w:rPr>
        <w:t>to</w:t>
      </w:r>
      <w:proofErr w:type="spellEnd"/>
      <w:r w:rsidRPr="0018683D">
        <w:rPr>
          <w:bCs/>
        </w:rPr>
        <w:t xml:space="preserve"> 2012</w:t>
      </w:r>
      <w:r w:rsidR="009E01AB" w:rsidRPr="0056123C">
        <w:rPr>
          <w:bCs/>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1"/>
        <w:gridCol w:w="2777"/>
        <w:gridCol w:w="1853"/>
        <w:gridCol w:w="2389"/>
      </w:tblGrid>
      <w:tr w:rsidR="009E01AB" w:rsidRPr="0056123C" w:rsidTr="00452C63">
        <w:tc>
          <w:tcPr>
            <w:tcW w:w="2161" w:type="dxa"/>
            <w:tcBorders>
              <w:left w:val="nil"/>
              <w:bottom w:val="single" w:sz="4" w:space="0" w:color="auto"/>
              <w:right w:val="nil"/>
            </w:tcBorders>
            <w:shd w:val="clear" w:color="auto" w:fill="auto"/>
          </w:tcPr>
          <w:p w:rsidR="009E01AB" w:rsidRPr="0056123C" w:rsidRDefault="009E01AB" w:rsidP="0056123C">
            <w:pPr>
              <w:jc w:val="center"/>
              <w:rPr>
                <w:b/>
              </w:rPr>
            </w:pPr>
            <w:proofErr w:type="spellStart"/>
            <w:r w:rsidRPr="0056123C">
              <w:rPr>
                <w:b/>
              </w:rPr>
              <w:t>Vari</w:t>
            </w:r>
            <w:r w:rsidR="002B102F">
              <w:rPr>
                <w:b/>
              </w:rPr>
              <w:t>able</w:t>
            </w:r>
            <w:proofErr w:type="spellEnd"/>
          </w:p>
        </w:tc>
        <w:tc>
          <w:tcPr>
            <w:tcW w:w="2777" w:type="dxa"/>
            <w:tcBorders>
              <w:left w:val="nil"/>
              <w:bottom w:val="single" w:sz="4" w:space="0" w:color="auto"/>
              <w:right w:val="nil"/>
            </w:tcBorders>
            <w:shd w:val="clear" w:color="auto" w:fill="auto"/>
          </w:tcPr>
          <w:p w:rsidR="009E01AB" w:rsidRPr="0056123C" w:rsidRDefault="009E01AB" w:rsidP="0056123C">
            <w:pPr>
              <w:jc w:val="center"/>
              <w:rPr>
                <w:b/>
              </w:rPr>
            </w:pPr>
            <w:proofErr w:type="spellStart"/>
            <w:r w:rsidRPr="0056123C">
              <w:rPr>
                <w:b/>
              </w:rPr>
              <w:t>Categor</w:t>
            </w:r>
            <w:r w:rsidR="002B102F">
              <w:rPr>
                <w:b/>
              </w:rPr>
              <w:t>y</w:t>
            </w:r>
            <w:proofErr w:type="spellEnd"/>
          </w:p>
        </w:tc>
        <w:tc>
          <w:tcPr>
            <w:tcW w:w="1853" w:type="dxa"/>
            <w:tcBorders>
              <w:left w:val="nil"/>
              <w:bottom w:val="single" w:sz="4" w:space="0" w:color="auto"/>
              <w:right w:val="nil"/>
            </w:tcBorders>
            <w:shd w:val="clear" w:color="auto" w:fill="auto"/>
          </w:tcPr>
          <w:p w:rsidR="009E01AB" w:rsidRPr="0056123C" w:rsidRDefault="009E01AB" w:rsidP="0056123C">
            <w:pPr>
              <w:jc w:val="center"/>
              <w:rPr>
                <w:b/>
              </w:rPr>
            </w:pPr>
            <w:proofErr w:type="gramStart"/>
            <w:r w:rsidRPr="0056123C">
              <w:rPr>
                <w:b/>
              </w:rPr>
              <w:t>n</w:t>
            </w:r>
            <w:proofErr w:type="gramEnd"/>
          </w:p>
        </w:tc>
        <w:tc>
          <w:tcPr>
            <w:tcW w:w="2389" w:type="dxa"/>
            <w:tcBorders>
              <w:left w:val="nil"/>
              <w:bottom w:val="single" w:sz="4" w:space="0" w:color="auto"/>
              <w:right w:val="nil"/>
            </w:tcBorders>
            <w:shd w:val="clear" w:color="auto" w:fill="auto"/>
          </w:tcPr>
          <w:p w:rsidR="009E01AB" w:rsidRPr="0056123C" w:rsidRDefault="009E01AB" w:rsidP="0056123C">
            <w:pPr>
              <w:jc w:val="center"/>
              <w:rPr>
                <w:b/>
              </w:rPr>
            </w:pPr>
            <w:r w:rsidRPr="0056123C">
              <w:rPr>
                <w:b/>
              </w:rPr>
              <w:t>%</w:t>
            </w:r>
          </w:p>
        </w:tc>
      </w:tr>
      <w:tr w:rsidR="009E01AB" w:rsidRPr="0056123C" w:rsidTr="00452C63">
        <w:tc>
          <w:tcPr>
            <w:tcW w:w="2161" w:type="dxa"/>
            <w:vMerge w:val="restart"/>
            <w:tcBorders>
              <w:top w:val="single" w:sz="4" w:space="0" w:color="auto"/>
              <w:left w:val="nil"/>
              <w:bottom w:val="nil"/>
              <w:right w:val="nil"/>
            </w:tcBorders>
            <w:shd w:val="clear" w:color="auto" w:fill="auto"/>
          </w:tcPr>
          <w:p w:rsidR="009E01AB" w:rsidRPr="0056123C" w:rsidRDefault="009E01AB" w:rsidP="0056123C">
            <w:pPr>
              <w:spacing w:before="240"/>
              <w:jc w:val="center"/>
            </w:pPr>
            <w:r w:rsidRPr="0056123C">
              <w:rPr>
                <w:bCs/>
              </w:rPr>
              <w:t>Sex</w:t>
            </w:r>
          </w:p>
        </w:tc>
        <w:tc>
          <w:tcPr>
            <w:tcW w:w="2777" w:type="dxa"/>
            <w:tcBorders>
              <w:top w:val="single" w:sz="4" w:space="0" w:color="auto"/>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Ma</w:t>
            </w:r>
            <w:r w:rsidR="00591D9D">
              <w:t>le</w:t>
            </w:r>
          </w:p>
        </w:tc>
        <w:tc>
          <w:tcPr>
            <w:tcW w:w="1853" w:type="dxa"/>
            <w:tcBorders>
              <w:top w:val="single" w:sz="4" w:space="0" w:color="auto"/>
              <w:left w:val="nil"/>
              <w:bottom w:val="nil"/>
              <w:right w:val="nil"/>
            </w:tcBorders>
            <w:shd w:val="clear" w:color="auto" w:fill="auto"/>
          </w:tcPr>
          <w:p w:rsidR="009E01AB" w:rsidRPr="0056123C" w:rsidRDefault="009E01AB" w:rsidP="00161855">
            <w:pPr>
              <w:autoSpaceDE w:val="0"/>
              <w:autoSpaceDN w:val="0"/>
              <w:adjustRightInd w:val="0"/>
              <w:jc w:val="center"/>
              <w:rPr>
                <w:bCs/>
              </w:rPr>
            </w:pPr>
            <w:r w:rsidRPr="0056123C">
              <w:rPr>
                <w:bCs/>
              </w:rPr>
              <w:t>281</w:t>
            </w:r>
          </w:p>
        </w:tc>
        <w:tc>
          <w:tcPr>
            <w:tcW w:w="2389" w:type="dxa"/>
            <w:tcBorders>
              <w:top w:val="single" w:sz="4" w:space="0" w:color="auto"/>
              <w:left w:val="nil"/>
              <w:bottom w:val="nil"/>
              <w:right w:val="nil"/>
            </w:tcBorders>
            <w:shd w:val="clear" w:color="auto" w:fill="auto"/>
          </w:tcPr>
          <w:p w:rsidR="009E01AB" w:rsidRPr="0056123C" w:rsidRDefault="009E01AB" w:rsidP="0056123C">
            <w:pPr>
              <w:jc w:val="center"/>
            </w:pPr>
            <w:r w:rsidRPr="0056123C">
              <w:t>76</w:t>
            </w:r>
            <w:r w:rsidR="002B102F">
              <w:t>.</w:t>
            </w:r>
            <w:r w:rsidRPr="0056123C">
              <w:t>35</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proofErr w:type="spellStart"/>
            <w:r w:rsidRPr="0056123C">
              <w:t>Fem</w:t>
            </w:r>
            <w:r w:rsidR="00591D9D">
              <w:t>ale</w:t>
            </w:r>
            <w:proofErr w:type="spellEnd"/>
          </w:p>
        </w:tc>
        <w:tc>
          <w:tcPr>
            <w:tcW w:w="1853" w:type="dxa"/>
            <w:tcBorders>
              <w:top w:val="nil"/>
              <w:left w:val="nil"/>
              <w:bottom w:val="nil"/>
              <w:right w:val="nil"/>
            </w:tcBorders>
            <w:shd w:val="clear" w:color="auto" w:fill="auto"/>
          </w:tcPr>
          <w:p w:rsidR="009E01AB" w:rsidRPr="0056123C" w:rsidRDefault="009E01AB" w:rsidP="00161855">
            <w:pPr>
              <w:autoSpaceDE w:val="0"/>
              <w:autoSpaceDN w:val="0"/>
              <w:adjustRightInd w:val="0"/>
              <w:jc w:val="center"/>
              <w:rPr>
                <w:bCs/>
              </w:rPr>
            </w:pPr>
            <w:r w:rsidRPr="0056123C">
              <w:rPr>
                <w:bCs/>
              </w:rPr>
              <w:t>87</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23</w:t>
            </w:r>
            <w:r w:rsidR="002B102F">
              <w:t>.</w:t>
            </w:r>
            <w:r w:rsidRPr="0056123C">
              <w:t>65</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rPr>
                <w:b/>
                <w:bCs/>
              </w:rPr>
            </w:pPr>
          </w:p>
        </w:tc>
        <w:tc>
          <w:tcPr>
            <w:tcW w:w="1853" w:type="dxa"/>
            <w:tcBorders>
              <w:top w:val="nil"/>
              <w:left w:val="nil"/>
              <w:bottom w:val="nil"/>
              <w:right w:val="nil"/>
            </w:tcBorders>
            <w:shd w:val="clear" w:color="auto" w:fill="auto"/>
          </w:tcPr>
          <w:p w:rsidR="009E01AB" w:rsidRPr="0056123C" w:rsidRDefault="009E01AB" w:rsidP="0056123C"/>
        </w:tc>
        <w:tc>
          <w:tcPr>
            <w:tcW w:w="2389" w:type="dxa"/>
            <w:tcBorders>
              <w:top w:val="nil"/>
              <w:left w:val="nil"/>
              <w:bottom w:val="nil"/>
              <w:right w:val="nil"/>
            </w:tcBorders>
            <w:shd w:val="clear" w:color="auto" w:fill="auto"/>
          </w:tcPr>
          <w:p w:rsidR="009E01AB" w:rsidRPr="0056123C" w:rsidRDefault="009E01AB" w:rsidP="0056123C"/>
        </w:tc>
      </w:tr>
      <w:tr w:rsidR="009E01AB" w:rsidRPr="0056123C" w:rsidTr="00452C63">
        <w:tc>
          <w:tcPr>
            <w:tcW w:w="2161" w:type="dxa"/>
            <w:vMerge w:val="restart"/>
            <w:tcBorders>
              <w:top w:val="nil"/>
              <w:left w:val="nil"/>
              <w:bottom w:val="nil"/>
              <w:right w:val="nil"/>
            </w:tcBorders>
            <w:shd w:val="clear" w:color="auto" w:fill="auto"/>
          </w:tcPr>
          <w:p w:rsidR="009E01AB" w:rsidRPr="0056123C" w:rsidRDefault="00591D9D" w:rsidP="0056123C">
            <w:pPr>
              <w:spacing w:before="840"/>
              <w:jc w:val="center"/>
            </w:pPr>
            <w:r>
              <w:rPr>
                <w:bCs/>
              </w:rPr>
              <w:t>Age range</w:t>
            </w: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 xml:space="preserve">0 – 14 </w:t>
            </w:r>
            <w:proofErr w:type="spellStart"/>
            <w:r w:rsidR="00591D9D">
              <w:rPr>
                <w:bCs/>
              </w:rPr>
              <w:t>years</w:t>
            </w:r>
            <w:proofErr w:type="spellEnd"/>
            <w:r w:rsidR="00591D9D">
              <w:rPr>
                <w:bCs/>
              </w:rPr>
              <w:t xml:space="preserve"> </w:t>
            </w:r>
            <w:proofErr w:type="spellStart"/>
            <w:r w:rsidR="00591D9D">
              <w:rPr>
                <w:bCs/>
              </w:rPr>
              <w:t>old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25</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6</w:t>
            </w:r>
            <w:r w:rsidR="002B102F">
              <w:t>.</w:t>
            </w:r>
            <w:r w:rsidRPr="0056123C">
              <w:t>79</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r w:rsidRPr="0056123C">
              <w:t xml:space="preserve">15 – 19 </w:t>
            </w:r>
            <w:proofErr w:type="spellStart"/>
            <w:r w:rsidR="00591D9D">
              <w:rPr>
                <w:bCs/>
              </w:rPr>
              <w:t>years</w:t>
            </w:r>
            <w:proofErr w:type="spellEnd"/>
            <w:r w:rsidR="00591D9D">
              <w:rPr>
                <w:bCs/>
              </w:rPr>
              <w:t xml:space="preserve"> </w:t>
            </w:r>
            <w:proofErr w:type="spellStart"/>
            <w:r w:rsidR="00591D9D">
              <w:rPr>
                <w:bCs/>
              </w:rPr>
              <w:t>old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r w:rsidRPr="0056123C">
              <w:t>38</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10</w:t>
            </w:r>
            <w:r w:rsidR="002B102F">
              <w:t>.</w:t>
            </w:r>
            <w:r w:rsidRPr="0056123C">
              <w:t>32</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 xml:space="preserve">20 – 29 </w:t>
            </w:r>
            <w:proofErr w:type="spellStart"/>
            <w:r w:rsidR="00591D9D">
              <w:rPr>
                <w:bCs/>
              </w:rPr>
              <w:t>years</w:t>
            </w:r>
            <w:proofErr w:type="spellEnd"/>
            <w:r w:rsidR="00591D9D">
              <w:rPr>
                <w:bCs/>
              </w:rPr>
              <w:t xml:space="preserve"> </w:t>
            </w:r>
            <w:proofErr w:type="spellStart"/>
            <w:r w:rsidR="00591D9D">
              <w:rPr>
                <w:bCs/>
              </w:rPr>
              <w:t>old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93</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25</w:t>
            </w:r>
            <w:r w:rsidR="002B102F">
              <w:t>.</w:t>
            </w:r>
            <w:r w:rsidRPr="0056123C">
              <w:t>27</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 xml:space="preserve">30 - 39 </w:t>
            </w:r>
            <w:proofErr w:type="spellStart"/>
            <w:r w:rsidR="00591D9D">
              <w:rPr>
                <w:bCs/>
              </w:rPr>
              <w:t>years</w:t>
            </w:r>
            <w:proofErr w:type="spellEnd"/>
            <w:r w:rsidR="00591D9D">
              <w:rPr>
                <w:bCs/>
              </w:rPr>
              <w:t xml:space="preserve"> </w:t>
            </w:r>
            <w:proofErr w:type="spellStart"/>
            <w:r w:rsidR="00591D9D">
              <w:rPr>
                <w:bCs/>
              </w:rPr>
              <w:t>old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85</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23</w:t>
            </w:r>
            <w:r w:rsidR="002B102F">
              <w:t>.</w:t>
            </w:r>
            <w:r w:rsidRPr="0056123C">
              <w:t>09</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 xml:space="preserve">40 - 49 </w:t>
            </w:r>
            <w:proofErr w:type="spellStart"/>
            <w:r w:rsidR="00591D9D">
              <w:rPr>
                <w:bCs/>
              </w:rPr>
              <w:t>years</w:t>
            </w:r>
            <w:proofErr w:type="spellEnd"/>
            <w:r w:rsidR="00591D9D">
              <w:rPr>
                <w:bCs/>
              </w:rPr>
              <w:t xml:space="preserve"> </w:t>
            </w:r>
            <w:proofErr w:type="spellStart"/>
            <w:r w:rsidR="00591D9D">
              <w:rPr>
                <w:bCs/>
              </w:rPr>
              <w:t>old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55</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14</w:t>
            </w:r>
            <w:r w:rsidR="002B102F">
              <w:t>.</w:t>
            </w:r>
            <w:r w:rsidRPr="0056123C">
              <w:t>95</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 xml:space="preserve">50 – 59 </w:t>
            </w:r>
            <w:proofErr w:type="spellStart"/>
            <w:r w:rsidR="00591D9D">
              <w:rPr>
                <w:bCs/>
              </w:rPr>
              <w:t>years</w:t>
            </w:r>
            <w:proofErr w:type="spellEnd"/>
            <w:r w:rsidR="00591D9D">
              <w:rPr>
                <w:bCs/>
              </w:rPr>
              <w:t xml:space="preserve"> </w:t>
            </w:r>
            <w:proofErr w:type="spellStart"/>
            <w:r w:rsidR="00591D9D">
              <w:rPr>
                <w:bCs/>
              </w:rPr>
              <w:t>old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36</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9</w:t>
            </w:r>
            <w:r w:rsidR="002B102F">
              <w:t>.</w:t>
            </w:r>
            <w:r w:rsidRPr="0056123C">
              <w:t>79</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r w:rsidRPr="0056123C">
              <w:rPr>
                <w:u w:val="single"/>
              </w:rPr>
              <w:t>&gt;</w:t>
            </w:r>
            <w:r w:rsidRPr="0056123C">
              <w:t xml:space="preserve"> 60 </w:t>
            </w:r>
            <w:proofErr w:type="spellStart"/>
            <w:r w:rsidR="00591D9D">
              <w:rPr>
                <w:bCs/>
              </w:rPr>
              <w:t>years</w:t>
            </w:r>
            <w:proofErr w:type="spellEnd"/>
            <w:r w:rsidR="00591D9D">
              <w:rPr>
                <w:bCs/>
              </w:rPr>
              <w:t xml:space="preserve"> </w:t>
            </w:r>
            <w:proofErr w:type="spellStart"/>
            <w:r w:rsidR="00591D9D">
              <w:rPr>
                <w:bCs/>
              </w:rPr>
              <w:t>old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r w:rsidRPr="0056123C">
              <w:t>36</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9</w:t>
            </w:r>
            <w:r w:rsidR="002B102F">
              <w:t>.</w:t>
            </w:r>
            <w:r w:rsidRPr="0056123C">
              <w:t>79</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pPr>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pPr>
          </w:p>
        </w:tc>
        <w:tc>
          <w:tcPr>
            <w:tcW w:w="2389" w:type="dxa"/>
            <w:tcBorders>
              <w:top w:val="nil"/>
              <w:left w:val="nil"/>
              <w:bottom w:val="nil"/>
              <w:right w:val="nil"/>
            </w:tcBorders>
            <w:shd w:val="clear" w:color="auto" w:fill="auto"/>
          </w:tcPr>
          <w:p w:rsidR="009E01AB" w:rsidRPr="0056123C" w:rsidRDefault="009E01AB" w:rsidP="0056123C"/>
        </w:tc>
      </w:tr>
      <w:tr w:rsidR="009E01AB" w:rsidRPr="0056123C" w:rsidTr="00452C63">
        <w:tc>
          <w:tcPr>
            <w:tcW w:w="2161" w:type="dxa"/>
            <w:vMerge w:val="restart"/>
            <w:tcBorders>
              <w:top w:val="nil"/>
              <w:left w:val="nil"/>
              <w:bottom w:val="nil"/>
              <w:right w:val="nil"/>
            </w:tcBorders>
            <w:shd w:val="clear" w:color="auto" w:fill="auto"/>
          </w:tcPr>
          <w:p w:rsidR="009E01AB" w:rsidRPr="0056123C" w:rsidRDefault="009E01AB" w:rsidP="0056123C">
            <w:pPr>
              <w:spacing w:before="480"/>
              <w:jc w:val="center"/>
            </w:pPr>
            <w:r w:rsidRPr="0056123C">
              <w:rPr>
                <w:bCs/>
              </w:rPr>
              <w:t>Co</w:t>
            </w:r>
            <w:r w:rsidR="00591D9D">
              <w:rPr>
                <w:bCs/>
              </w:rPr>
              <w:t>lo</w:t>
            </w:r>
            <w:r w:rsidRPr="0056123C">
              <w:rPr>
                <w:bCs/>
              </w:rPr>
              <w:t>r/</w:t>
            </w:r>
            <w:proofErr w:type="spellStart"/>
            <w:r w:rsidRPr="0056123C">
              <w:rPr>
                <w:bCs/>
              </w:rPr>
              <w:t>Ra</w:t>
            </w:r>
            <w:r w:rsidR="00591D9D">
              <w:rPr>
                <w:bCs/>
              </w:rPr>
              <w:t>ce</w:t>
            </w:r>
            <w:proofErr w:type="spellEnd"/>
          </w:p>
        </w:tc>
        <w:tc>
          <w:tcPr>
            <w:tcW w:w="2777"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rPr>
                <w:b/>
                <w:bCs/>
              </w:rPr>
            </w:pPr>
            <w:r>
              <w:t>White</w:t>
            </w:r>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300</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81</w:t>
            </w:r>
            <w:r w:rsidR="002B102F">
              <w:t>.</w:t>
            </w:r>
            <w:r w:rsidRPr="0056123C">
              <w:t>52</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rPr>
                <w:b/>
                <w:bCs/>
              </w:rPr>
            </w:pPr>
            <w:r>
              <w:t>Black</w:t>
            </w:r>
            <w:r w:rsidR="009E01AB" w:rsidRPr="0056123C">
              <w:t>/</w:t>
            </w:r>
            <w:r>
              <w:t>Brown</w:t>
            </w:r>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24</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6</w:t>
            </w:r>
            <w:r w:rsidR="002B102F">
              <w:t>.</w:t>
            </w:r>
            <w:r w:rsidRPr="0056123C">
              <w:t>53</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rPr>
                <w:b/>
                <w:bCs/>
              </w:rPr>
            </w:pPr>
            <w:proofErr w:type="spellStart"/>
            <w:r>
              <w:t>Yellow</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10</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2</w:t>
            </w:r>
            <w:r w:rsidR="002B102F">
              <w:t>.</w:t>
            </w:r>
            <w:r w:rsidRPr="0056123C">
              <w:t>71</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rPr>
                <w:bCs/>
              </w:rPr>
            </w:pPr>
            <w:proofErr w:type="spellStart"/>
            <w:r w:rsidRPr="0056123C">
              <w:t>Ignor</w:t>
            </w:r>
            <w:r>
              <w:t>ed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34</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9</w:t>
            </w:r>
            <w:r w:rsidR="002B102F">
              <w:t>.</w:t>
            </w:r>
            <w:r w:rsidRPr="0056123C">
              <w:t>24</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tc>
        <w:tc>
          <w:tcPr>
            <w:tcW w:w="1853" w:type="dxa"/>
            <w:tcBorders>
              <w:top w:val="nil"/>
              <w:left w:val="nil"/>
              <w:bottom w:val="nil"/>
              <w:right w:val="nil"/>
            </w:tcBorders>
            <w:shd w:val="clear" w:color="auto" w:fill="auto"/>
          </w:tcPr>
          <w:p w:rsidR="009E01AB" w:rsidRPr="0056123C" w:rsidRDefault="009E01AB" w:rsidP="0056123C"/>
        </w:tc>
        <w:tc>
          <w:tcPr>
            <w:tcW w:w="2389" w:type="dxa"/>
            <w:tcBorders>
              <w:top w:val="nil"/>
              <w:left w:val="nil"/>
              <w:bottom w:val="nil"/>
              <w:right w:val="nil"/>
            </w:tcBorders>
            <w:shd w:val="clear" w:color="auto" w:fill="auto"/>
          </w:tcPr>
          <w:p w:rsidR="009E01AB" w:rsidRPr="0056123C" w:rsidRDefault="009E01AB" w:rsidP="0056123C"/>
        </w:tc>
      </w:tr>
      <w:tr w:rsidR="009E01AB" w:rsidRPr="0056123C" w:rsidTr="00452C63">
        <w:tc>
          <w:tcPr>
            <w:tcW w:w="2161" w:type="dxa"/>
            <w:vMerge w:val="restart"/>
            <w:tcBorders>
              <w:top w:val="nil"/>
              <w:left w:val="nil"/>
              <w:bottom w:val="nil"/>
              <w:right w:val="nil"/>
            </w:tcBorders>
            <w:shd w:val="clear" w:color="auto" w:fill="auto"/>
          </w:tcPr>
          <w:p w:rsidR="009E01AB" w:rsidRPr="0056123C" w:rsidRDefault="00591D9D" w:rsidP="0056123C">
            <w:pPr>
              <w:spacing w:before="720"/>
              <w:jc w:val="center"/>
            </w:pPr>
            <w:proofErr w:type="spellStart"/>
            <w:r>
              <w:rPr>
                <w:bCs/>
              </w:rPr>
              <w:t>Schooling</w:t>
            </w:r>
            <w:proofErr w:type="spellEnd"/>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proofErr w:type="spellStart"/>
            <w:r w:rsidRPr="0056123C">
              <w:t>N</w:t>
            </w:r>
            <w:r w:rsidR="00591D9D">
              <w:t>one</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6</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1</w:t>
            </w:r>
            <w:r w:rsidR="002B102F">
              <w:t>.</w:t>
            </w:r>
            <w:r w:rsidRPr="0056123C">
              <w:t>64</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 xml:space="preserve">1 - 3 </w:t>
            </w:r>
            <w:proofErr w:type="spellStart"/>
            <w:r w:rsidR="00591D9D">
              <w:t>years</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38</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10</w:t>
            </w:r>
            <w:r w:rsidR="002B102F">
              <w:t>.</w:t>
            </w:r>
            <w:r w:rsidRPr="0056123C">
              <w:t>32</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 xml:space="preserve">4 - 7 </w:t>
            </w:r>
            <w:proofErr w:type="spellStart"/>
            <w:r w:rsidR="00591D9D">
              <w:t>years</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71</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19</w:t>
            </w:r>
            <w:r w:rsidR="002B102F">
              <w:t>.</w:t>
            </w:r>
            <w:r w:rsidRPr="0056123C">
              <w:t>29</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 xml:space="preserve">8 - 11 </w:t>
            </w:r>
            <w:proofErr w:type="spellStart"/>
            <w:r w:rsidR="00591D9D">
              <w:t>years</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105</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28</w:t>
            </w:r>
            <w:r w:rsidR="002B102F">
              <w:t>.</w:t>
            </w:r>
            <w:r w:rsidRPr="0056123C">
              <w:t>54</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rPr>
                <w:u w:val="single"/>
              </w:rPr>
              <w:t>&gt;</w:t>
            </w:r>
            <w:r w:rsidRPr="0056123C">
              <w:t xml:space="preserve">12 </w:t>
            </w:r>
            <w:proofErr w:type="spellStart"/>
            <w:r w:rsidR="00591D9D">
              <w:t>years</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69</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18</w:t>
            </w:r>
            <w:r w:rsidR="002B102F">
              <w:t>.</w:t>
            </w:r>
            <w:r w:rsidRPr="0056123C">
              <w:t>75</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proofErr w:type="spellStart"/>
            <w:r w:rsidRPr="0056123C">
              <w:t>Ignor</w:t>
            </w:r>
            <w:r w:rsidR="00591D9D">
              <w:t>ed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Cs/>
              </w:rPr>
            </w:pPr>
            <w:r w:rsidRPr="0056123C">
              <w:rPr>
                <w:bCs/>
              </w:rPr>
              <w:t>79</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21</w:t>
            </w:r>
            <w:r w:rsidR="002B102F">
              <w:t>.</w:t>
            </w:r>
            <w:r w:rsidRPr="0056123C">
              <w:t>46</w:t>
            </w:r>
          </w:p>
        </w:tc>
      </w:tr>
      <w:tr w:rsidR="009E01AB" w:rsidRPr="0056123C" w:rsidTr="00452C63">
        <w:tc>
          <w:tcPr>
            <w:tcW w:w="2161" w:type="dxa"/>
            <w:vMerge/>
            <w:tcBorders>
              <w:top w:val="nil"/>
              <w:left w:val="nil"/>
              <w:bottom w:val="nil"/>
              <w:right w:val="nil"/>
            </w:tcBorders>
            <w:shd w:val="clear" w:color="auto" w:fill="auto"/>
          </w:tcPr>
          <w:p w:rsidR="009E01AB" w:rsidRPr="0056123C" w:rsidRDefault="009E01AB" w:rsidP="0056123C">
            <w:pPr>
              <w:jc w:val="center"/>
            </w:pPr>
          </w:p>
        </w:tc>
        <w:tc>
          <w:tcPr>
            <w:tcW w:w="2777" w:type="dxa"/>
            <w:tcBorders>
              <w:top w:val="nil"/>
              <w:left w:val="nil"/>
              <w:bottom w:val="nil"/>
              <w:right w:val="nil"/>
            </w:tcBorders>
            <w:shd w:val="clear" w:color="auto" w:fill="auto"/>
          </w:tcPr>
          <w:p w:rsidR="009E01AB" w:rsidRPr="0056123C" w:rsidRDefault="009E01AB" w:rsidP="0056123C"/>
        </w:tc>
        <w:tc>
          <w:tcPr>
            <w:tcW w:w="1853" w:type="dxa"/>
            <w:tcBorders>
              <w:top w:val="nil"/>
              <w:left w:val="nil"/>
              <w:bottom w:val="nil"/>
              <w:right w:val="nil"/>
            </w:tcBorders>
            <w:shd w:val="clear" w:color="auto" w:fill="auto"/>
          </w:tcPr>
          <w:p w:rsidR="009E01AB" w:rsidRPr="0056123C" w:rsidRDefault="009E01AB" w:rsidP="0056123C"/>
        </w:tc>
        <w:tc>
          <w:tcPr>
            <w:tcW w:w="2389" w:type="dxa"/>
            <w:tcBorders>
              <w:top w:val="nil"/>
              <w:left w:val="nil"/>
              <w:bottom w:val="nil"/>
              <w:right w:val="nil"/>
            </w:tcBorders>
            <w:shd w:val="clear" w:color="auto" w:fill="auto"/>
          </w:tcPr>
          <w:p w:rsidR="009E01AB" w:rsidRPr="0056123C" w:rsidRDefault="009E01AB" w:rsidP="0056123C">
            <w:pPr>
              <w:jc w:val="center"/>
            </w:pPr>
          </w:p>
        </w:tc>
      </w:tr>
      <w:tr w:rsidR="009E01AB" w:rsidRPr="0056123C" w:rsidTr="00452C63">
        <w:tc>
          <w:tcPr>
            <w:tcW w:w="2161" w:type="dxa"/>
            <w:vMerge w:val="restart"/>
            <w:tcBorders>
              <w:top w:val="nil"/>
              <w:left w:val="nil"/>
              <w:bottom w:val="single" w:sz="4" w:space="0" w:color="000000"/>
              <w:right w:val="nil"/>
            </w:tcBorders>
            <w:shd w:val="clear" w:color="auto" w:fill="auto"/>
          </w:tcPr>
          <w:p w:rsidR="009E01AB" w:rsidRPr="0056123C" w:rsidRDefault="00591D9D" w:rsidP="0056123C">
            <w:pPr>
              <w:spacing w:before="240"/>
              <w:jc w:val="center"/>
            </w:pPr>
            <w:r>
              <w:rPr>
                <w:bCs/>
              </w:rPr>
              <w:t>Marital status</w:t>
            </w:r>
          </w:p>
        </w:tc>
        <w:tc>
          <w:tcPr>
            <w:tcW w:w="2777"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pPr>
            <w:r>
              <w:t>Single</w:t>
            </w:r>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r w:rsidRPr="0056123C">
              <w:t>163</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44</w:t>
            </w:r>
            <w:r w:rsidR="002B102F">
              <w:t>.</w:t>
            </w:r>
            <w:r w:rsidRPr="0056123C">
              <w:t>30</w:t>
            </w:r>
          </w:p>
        </w:tc>
      </w:tr>
      <w:tr w:rsidR="009E01AB" w:rsidRPr="0056123C" w:rsidTr="00452C63">
        <w:tc>
          <w:tcPr>
            <w:tcW w:w="2161" w:type="dxa"/>
            <w:vMerge/>
            <w:tcBorders>
              <w:top w:val="single" w:sz="4" w:space="0" w:color="000000"/>
              <w:left w:val="nil"/>
              <w:bottom w:val="single" w:sz="4" w:space="0" w:color="000000"/>
              <w:right w:val="nil"/>
            </w:tcBorders>
            <w:shd w:val="clear" w:color="auto" w:fill="auto"/>
          </w:tcPr>
          <w:p w:rsidR="009E01AB" w:rsidRPr="0056123C" w:rsidRDefault="009E01AB" w:rsidP="0056123C"/>
        </w:tc>
        <w:tc>
          <w:tcPr>
            <w:tcW w:w="2777"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pPr>
            <w:proofErr w:type="spellStart"/>
            <w:r>
              <w:t>Married</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r w:rsidRPr="0056123C">
              <w:t>148</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40</w:t>
            </w:r>
            <w:r w:rsidR="002B102F">
              <w:t>.</w:t>
            </w:r>
            <w:r w:rsidRPr="0056123C">
              <w:t>21</w:t>
            </w:r>
          </w:p>
        </w:tc>
      </w:tr>
      <w:tr w:rsidR="009E01AB" w:rsidRPr="0056123C" w:rsidTr="00452C63">
        <w:tc>
          <w:tcPr>
            <w:tcW w:w="2161" w:type="dxa"/>
            <w:vMerge/>
            <w:tcBorders>
              <w:top w:val="single" w:sz="4" w:space="0" w:color="000000"/>
              <w:left w:val="nil"/>
              <w:bottom w:val="single" w:sz="4" w:space="0" w:color="000000"/>
              <w:right w:val="nil"/>
            </w:tcBorders>
            <w:shd w:val="clear" w:color="auto" w:fill="auto"/>
          </w:tcPr>
          <w:p w:rsidR="009E01AB" w:rsidRPr="0056123C" w:rsidRDefault="009E01AB" w:rsidP="0056123C"/>
        </w:tc>
        <w:tc>
          <w:tcPr>
            <w:tcW w:w="2777"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pPr>
            <w:proofErr w:type="spellStart"/>
            <w:r w:rsidRPr="0056123C">
              <w:t>O</w:t>
            </w:r>
            <w:r>
              <w:t>ther</w:t>
            </w:r>
            <w:r w:rsidRPr="0056123C">
              <w:t>s</w:t>
            </w:r>
            <w:proofErr w:type="spellEnd"/>
          </w:p>
        </w:tc>
        <w:tc>
          <w:tcPr>
            <w:tcW w:w="1853"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pPr>
            <w:r w:rsidRPr="0056123C">
              <w:t>39</w:t>
            </w:r>
          </w:p>
        </w:tc>
        <w:tc>
          <w:tcPr>
            <w:tcW w:w="2389" w:type="dxa"/>
            <w:tcBorders>
              <w:top w:val="nil"/>
              <w:left w:val="nil"/>
              <w:bottom w:val="nil"/>
              <w:right w:val="nil"/>
            </w:tcBorders>
            <w:shd w:val="clear" w:color="auto" w:fill="auto"/>
          </w:tcPr>
          <w:p w:rsidR="009E01AB" w:rsidRPr="0056123C" w:rsidRDefault="009E01AB" w:rsidP="0056123C">
            <w:pPr>
              <w:jc w:val="center"/>
            </w:pPr>
            <w:r w:rsidRPr="0056123C">
              <w:t>10</w:t>
            </w:r>
            <w:r w:rsidR="002B102F">
              <w:t>.</w:t>
            </w:r>
            <w:r w:rsidRPr="0056123C">
              <w:t>60</w:t>
            </w:r>
          </w:p>
        </w:tc>
      </w:tr>
      <w:tr w:rsidR="009E01AB" w:rsidRPr="0056123C" w:rsidTr="00452C63">
        <w:tc>
          <w:tcPr>
            <w:tcW w:w="2161" w:type="dxa"/>
            <w:vMerge/>
            <w:tcBorders>
              <w:top w:val="single" w:sz="4" w:space="0" w:color="000000"/>
              <w:left w:val="nil"/>
              <w:right w:val="nil"/>
            </w:tcBorders>
            <w:shd w:val="clear" w:color="auto" w:fill="auto"/>
          </w:tcPr>
          <w:p w:rsidR="009E01AB" w:rsidRPr="0056123C" w:rsidRDefault="009E01AB" w:rsidP="0056123C"/>
        </w:tc>
        <w:tc>
          <w:tcPr>
            <w:tcW w:w="2777" w:type="dxa"/>
            <w:tcBorders>
              <w:top w:val="nil"/>
              <w:left w:val="nil"/>
              <w:bottom w:val="single" w:sz="4" w:space="0" w:color="auto"/>
              <w:right w:val="nil"/>
            </w:tcBorders>
            <w:shd w:val="clear" w:color="auto" w:fill="auto"/>
          </w:tcPr>
          <w:p w:rsidR="009E01AB" w:rsidRPr="0056123C" w:rsidRDefault="00591D9D" w:rsidP="0056123C">
            <w:pPr>
              <w:autoSpaceDE w:val="0"/>
              <w:autoSpaceDN w:val="0"/>
              <w:adjustRightInd w:val="0"/>
              <w:jc w:val="center"/>
            </w:pPr>
            <w:proofErr w:type="spellStart"/>
            <w:r w:rsidRPr="0056123C">
              <w:t>Ignor</w:t>
            </w:r>
            <w:r>
              <w:t>ed</w:t>
            </w:r>
            <w:proofErr w:type="spellEnd"/>
          </w:p>
        </w:tc>
        <w:tc>
          <w:tcPr>
            <w:tcW w:w="1853" w:type="dxa"/>
            <w:tcBorders>
              <w:top w:val="nil"/>
              <w:left w:val="nil"/>
              <w:bottom w:val="single" w:sz="4" w:space="0" w:color="auto"/>
              <w:right w:val="nil"/>
            </w:tcBorders>
            <w:shd w:val="clear" w:color="auto" w:fill="auto"/>
          </w:tcPr>
          <w:p w:rsidR="009E01AB" w:rsidRPr="0056123C" w:rsidRDefault="009E01AB" w:rsidP="0056123C">
            <w:pPr>
              <w:autoSpaceDE w:val="0"/>
              <w:autoSpaceDN w:val="0"/>
              <w:adjustRightInd w:val="0"/>
              <w:jc w:val="center"/>
            </w:pPr>
            <w:r w:rsidRPr="0056123C">
              <w:t>18</w:t>
            </w:r>
          </w:p>
        </w:tc>
        <w:tc>
          <w:tcPr>
            <w:tcW w:w="2389" w:type="dxa"/>
            <w:tcBorders>
              <w:top w:val="nil"/>
              <w:left w:val="nil"/>
              <w:bottom w:val="single" w:sz="4" w:space="0" w:color="auto"/>
              <w:right w:val="nil"/>
            </w:tcBorders>
            <w:shd w:val="clear" w:color="auto" w:fill="auto"/>
          </w:tcPr>
          <w:p w:rsidR="009E01AB" w:rsidRPr="0056123C" w:rsidRDefault="009E01AB" w:rsidP="0056123C">
            <w:pPr>
              <w:jc w:val="center"/>
            </w:pPr>
            <w:r w:rsidRPr="0056123C">
              <w:t>4</w:t>
            </w:r>
            <w:r w:rsidR="002B102F">
              <w:t>.</w:t>
            </w:r>
            <w:r w:rsidRPr="0056123C">
              <w:t>89</w:t>
            </w:r>
          </w:p>
        </w:tc>
      </w:tr>
    </w:tbl>
    <w:p w:rsidR="009E01AB" w:rsidRPr="00393475" w:rsidRDefault="00452C63" w:rsidP="0056123C">
      <w:pPr>
        <w:autoSpaceDE w:val="0"/>
        <w:autoSpaceDN w:val="0"/>
        <w:adjustRightInd w:val="0"/>
        <w:jc w:val="both"/>
        <w:rPr>
          <w:lang w:val="en-US"/>
        </w:rPr>
      </w:pPr>
      <w:r w:rsidRPr="00393475">
        <w:rPr>
          <w:lang w:val="en-US"/>
        </w:rPr>
        <w:lastRenderedPageBreak/>
        <w:t>Source: Ministry of Health/Secretariat of Health Surveillance/General Information Coordination and Epidemiological Analysis/Mortality Information System</w:t>
      </w:r>
      <w:r w:rsidR="009E01AB" w:rsidRPr="00393475">
        <w:rPr>
          <w:lang w:val="en-US"/>
        </w:rPr>
        <w:t>.</w:t>
      </w:r>
    </w:p>
    <w:p w:rsidR="009E01AB" w:rsidRPr="00393475" w:rsidRDefault="009E01AB" w:rsidP="0056123C">
      <w:pPr>
        <w:autoSpaceDE w:val="0"/>
        <w:autoSpaceDN w:val="0"/>
        <w:adjustRightInd w:val="0"/>
        <w:jc w:val="both"/>
        <w:rPr>
          <w:lang w:val="en-US"/>
        </w:rPr>
      </w:pPr>
    </w:p>
    <w:p w:rsidR="009E01AB" w:rsidRPr="00393475" w:rsidRDefault="0018683D" w:rsidP="00DA1E0A">
      <w:pPr>
        <w:autoSpaceDE w:val="0"/>
        <w:autoSpaceDN w:val="0"/>
        <w:adjustRightInd w:val="0"/>
        <w:spacing w:line="480" w:lineRule="auto"/>
        <w:ind w:firstLine="708"/>
        <w:jc w:val="both"/>
        <w:rPr>
          <w:lang w:val="en-US"/>
        </w:rPr>
      </w:pPr>
      <w:r w:rsidRPr="00393475">
        <w:rPr>
          <w:lang w:val="en-US"/>
        </w:rPr>
        <w:t xml:space="preserve">Regarding the age group, </w:t>
      </w:r>
      <w:r w:rsidR="00087BA2" w:rsidRPr="00393475">
        <w:rPr>
          <w:lang w:val="en-US"/>
        </w:rPr>
        <w:t>we</w:t>
      </w:r>
      <w:r w:rsidRPr="00393475">
        <w:rPr>
          <w:lang w:val="en-US"/>
        </w:rPr>
        <w:t xml:space="preserve"> observed that the majority (48.36%) were young adults, aged between 20 and 39 years. Next, the age group of individuals aged 40 to 49 years was the most present in the analyzed group (14.95%) and the lowest frequencies </w:t>
      </w:r>
      <w:proofErr w:type="gramStart"/>
      <w:r w:rsidRPr="00393475">
        <w:rPr>
          <w:lang w:val="en-US"/>
        </w:rPr>
        <w:t>were observed</w:t>
      </w:r>
      <w:proofErr w:type="gramEnd"/>
      <w:r w:rsidRPr="00393475">
        <w:rPr>
          <w:lang w:val="en-US"/>
        </w:rPr>
        <w:t xml:space="preserve"> in the extreme age groups, up to 14 years and 60 years or more. The minimum age found was one year and the maximum </w:t>
      </w:r>
      <w:r w:rsidR="00087BA2" w:rsidRPr="00393475">
        <w:rPr>
          <w:lang w:val="en-US"/>
        </w:rPr>
        <w:t xml:space="preserve">was </w:t>
      </w:r>
      <w:r w:rsidRPr="00393475">
        <w:rPr>
          <w:lang w:val="en-US"/>
        </w:rPr>
        <w:t xml:space="preserve">81 years (mean of 30 years, SD = 11.60, median of 25 years and </w:t>
      </w:r>
      <w:r w:rsidR="00087BA2" w:rsidRPr="00393475">
        <w:rPr>
          <w:lang w:val="en-US"/>
        </w:rPr>
        <w:t>mode</w:t>
      </w:r>
      <w:r w:rsidRPr="00393475">
        <w:rPr>
          <w:lang w:val="en-US"/>
        </w:rPr>
        <w:t xml:space="preserve"> of 21 years</w:t>
      </w:r>
      <w:r w:rsidR="009E01AB" w:rsidRPr="00393475">
        <w:rPr>
          <w:lang w:val="en-US"/>
        </w:rPr>
        <w:t>).</w:t>
      </w:r>
    </w:p>
    <w:p w:rsidR="009E01AB" w:rsidRPr="00393475" w:rsidRDefault="00087BA2" w:rsidP="00DA1E0A">
      <w:pPr>
        <w:autoSpaceDE w:val="0"/>
        <w:autoSpaceDN w:val="0"/>
        <w:adjustRightInd w:val="0"/>
        <w:spacing w:line="480" w:lineRule="auto"/>
        <w:ind w:firstLine="709"/>
        <w:jc w:val="both"/>
        <w:rPr>
          <w:lang w:val="en-US"/>
        </w:rPr>
      </w:pPr>
      <w:r w:rsidRPr="00393475">
        <w:rPr>
          <w:lang w:val="en-US"/>
        </w:rPr>
        <w:t>Regarding race/color, it is observed that the frequency of deaths was higher among white individuals (81.52%), followed by black/brown individuals (6.53%). The schooling variable showed that the majority of the victims had eight to 11 years of study (28.54%). Among the victims, 44.30% were single and 40.21% married</w:t>
      </w:r>
      <w:r w:rsidR="009E01AB" w:rsidRPr="00393475">
        <w:rPr>
          <w:lang w:val="en-US"/>
        </w:rPr>
        <w:t>.</w:t>
      </w:r>
      <w:r w:rsidRPr="00393475">
        <w:rPr>
          <w:lang w:val="en-US"/>
        </w:rPr>
        <w:t xml:space="preserve"> </w:t>
      </w:r>
    </w:p>
    <w:p w:rsidR="009E01AB" w:rsidRPr="00393475" w:rsidRDefault="00087BA2" w:rsidP="00DA1E0A">
      <w:pPr>
        <w:autoSpaceDE w:val="0"/>
        <w:autoSpaceDN w:val="0"/>
        <w:adjustRightInd w:val="0"/>
        <w:spacing w:line="480" w:lineRule="auto"/>
        <w:ind w:firstLine="709"/>
        <w:jc w:val="both"/>
        <w:rPr>
          <w:lang w:val="en-US"/>
        </w:rPr>
      </w:pPr>
      <w:r w:rsidRPr="00393475">
        <w:rPr>
          <w:lang w:val="en-US"/>
        </w:rPr>
        <w:t>The analysis of the characteristics of the accidents (Table 2) showed that the most frequent place of deaths was the public highway (62.77%), followed by hospitals (30.98%). With regard to information on work-related accidents, 8.96% of the individuals who died were developing work-related activities</w:t>
      </w:r>
      <w:r w:rsidR="009E01AB" w:rsidRPr="00393475">
        <w:rPr>
          <w:lang w:val="en-US"/>
        </w:rPr>
        <w:t>.</w:t>
      </w:r>
    </w:p>
    <w:p w:rsidR="009E01AB" w:rsidRPr="0056123C" w:rsidRDefault="00087BA2" w:rsidP="0056123C">
      <w:pPr>
        <w:autoSpaceDE w:val="0"/>
        <w:autoSpaceDN w:val="0"/>
        <w:adjustRightInd w:val="0"/>
        <w:jc w:val="both"/>
        <w:rPr>
          <w:bCs/>
        </w:rPr>
      </w:pPr>
      <w:r w:rsidRPr="00393475">
        <w:rPr>
          <w:bCs/>
          <w:lang w:val="en-US"/>
        </w:rPr>
        <w:t xml:space="preserve">Table </w:t>
      </w:r>
      <w:proofErr w:type="gramStart"/>
      <w:r w:rsidRPr="00393475">
        <w:rPr>
          <w:bCs/>
          <w:lang w:val="en-US"/>
        </w:rPr>
        <w:t>2</w:t>
      </w:r>
      <w:proofErr w:type="gramEnd"/>
      <w:r w:rsidRPr="00393475">
        <w:rPr>
          <w:bCs/>
          <w:lang w:val="en-US"/>
        </w:rPr>
        <w:t xml:space="preserve"> - Distribution of deaths due to car accidents according to accident characteristics. </w:t>
      </w:r>
      <w:r w:rsidRPr="00087BA2">
        <w:rPr>
          <w:bCs/>
        </w:rPr>
        <w:t xml:space="preserve">Maringá, PR, </w:t>
      </w:r>
      <w:proofErr w:type="spellStart"/>
      <w:r w:rsidRPr="00087BA2">
        <w:rPr>
          <w:bCs/>
        </w:rPr>
        <w:t>Brazil</w:t>
      </w:r>
      <w:proofErr w:type="spellEnd"/>
      <w:r w:rsidRPr="00087BA2">
        <w:rPr>
          <w:bCs/>
        </w:rPr>
        <w:t xml:space="preserve">, 1996 </w:t>
      </w:r>
      <w:proofErr w:type="spellStart"/>
      <w:r w:rsidRPr="00087BA2">
        <w:rPr>
          <w:bCs/>
        </w:rPr>
        <w:t>to</w:t>
      </w:r>
      <w:proofErr w:type="spellEnd"/>
      <w:r w:rsidRPr="00087BA2">
        <w:rPr>
          <w:bCs/>
        </w:rPr>
        <w:t xml:space="preserve"> 2012</w:t>
      </w:r>
      <w:r w:rsidR="009E01AB" w:rsidRPr="0056123C">
        <w:rPr>
          <w:bCs/>
        </w:rPr>
        <w:t xml:space="preserve">. </w:t>
      </w: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6"/>
        <w:gridCol w:w="4395"/>
        <w:gridCol w:w="775"/>
        <w:gridCol w:w="1634"/>
      </w:tblGrid>
      <w:tr w:rsidR="009E01AB" w:rsidRPr="0056123C" w:rsidTr="00452C63">
        <w:tc>
          <w:tcPr>
            <w:tcW w:w="2376" w:type="dxa"/>
            <w:tcBorders>
              <w:left w:val="nil"/>
              <w:bottom w:val="single" w:sz="4" w:space="0" w:color="auto"/>
              <w:right w:val="nil"/>
            </w:tcBorders>
            <w:shd w:val="clear" w:color="auto" w:fill="auto"/>
          </w:tcPr>
          <w:p w:rsidR="009E01AB" w:rsidRPr="0056123C" w:rsidRDefault="009E01AB" w:rsidP="0056123C">
            <w:pPr>
              <w:jc w:val="center"/>
              <w:rPr>
                <w:b/>
              </w:rPr>
            </w:pPr>
            <w:proofErr w:type="spellStart"/>
            <w:r w:rsidRPr="0056123C">
              <w:rPr>
                <w:b/>
              </w:rPr>
              <w:t>Vari</w:t>
            </w:r>
            <w:r w:rsidR="002B102F">
              <w:rPr>
                <w:b/>
              </w:rPr>
              <w:t>able</w:t>
            </w:r>
            <w:proofErr w:type="spellEnd"/>
          </w:p>
        </w:tc>
        <w:tc>
          <w:tcPr>
            <w:tcW w:w="4395" w:type="dxa"/>
            <w:tcBorders>
              <w:left w:val="nil"/>
              <w:bottom w:val="single" w:sz="4" w:space="0" w:color="auto"/>
              <w:right w:val="nil"/>
            </w:tcBorders>
            <w:shd w:val="clear" w:color="auto" w:fill="auto"/>
          </w:tcPr>
          <w:p w:rsidR="009E01AB" w:rsidRPr="0056123C" w:rsidRDefault="009E01AB" w:rsidP="0056123C">
            <w:pPr>
              <w:jc w:val="center"/>
              <w:rPr>
                <w:b/>
              </w:rPr>
            </w:pPr>
            <w:proofErr w:type="spellStart"/>
            <w:r w:rsidRPr="0056123C">
              <w:rPr>
                <w:b/>
              </w:rPr>
              <w:t>Categor</w:t>
            </w:r>
            <w:r w:rsidR="002B102F">
              <w:rPr>
                <w:b/>
              </w:rPr>
              <w:t>y</w:t>
            </w:r>
            <w:proofErr w:type="spellEnd"/>
          </w:p>
        </w:tc>
        <w:tc>
          <w:tcPr>
            <w:tcW w:w="775" w:type="dxa"/>
            <w:tcBorders>
              <w:left w:val="nil"/>
              <w:bottom w:val="single" w:sz="4" w:space="0" w:color="auto"/>
              <w:right w:val="nil"/>
            </w:tcBorders>
            <w:shd w:val="clear" w:color="auto" w:fill="auto"/>
          </w:tcPr>
          <w:p w:rsidR="009E01AB" w:rsidRPr="0056123C" w:rsidRDefault="009E01AB" w:rsidP="0056123C">
            <w:pPr>
              <w:jc w:val="right"/>
              <w:rPr>
                <w:b/>
              </w:rPr>
            </w:pPr>
            <w:proofErr w:type="gramStart"/>
            <w:r w:rsidRPr="0056123C">
              <w:rPr>
                <w:b/>
              </w:rPr>
              <w:t>n</w:t>
            </w:r>
            <w:proofErr w:type="gramEnd"/>
          </w:p>
        </w:tc>
        <w:tc>
          <w:tcPr>
            <w:tcW w:w="1634" w:type="dxa"/>
            <w:tcBorders>
              <w:left w:val="nil"/>
              <w:bottom w:val="single" w:sz="4" w:space="0" w:color="auto"/>
              <w:right w:val="nil"/>
            </w:tcBorders>
            <w:shd w:val="clear" w:color="auto" w:fill="auto"/>
          </w:tcPr>
          <w:p w:rsidR="009E01AB" w:rsidRPr="0056123C" w:rsidRDefault="009E01AB" w:rsidP="0056123C">
            <w:pPr>
              <w:jc w:val="right"/>
              <w:rPr>
                <w:b/>
              </w:rPr>
            </w:pPr>
            <w:r w:rsidRPr="0056123C">
              <w:rPr>
                <w:b/>
              </w:rPr>
              <w:t>%</w:t>
            </w:r>
          </w:p>
        </w:tc>
      </w:tr>
      <w:tr w:rsidR="009E01AB" w:rsidRPr="0056123C" w:rsidTr="00452C63">
        <w:tc>
          <w:tcPr>
            <w:tcW w:w="2376" w:type="dxa"/>
            <w:vMerge w:val="restart"/>
            <w:tcBorders>
              <w:top w:val="nil"/>
              <w:left w:val="nil"/>
              <w:bottom w:val="nil"/>
              <w:right w:val="nil"/>
            </w:tcBorders>
            <w:shd w:val="clear" w:color="auto" w:fill="auto"/>
          </w:tcPr>
          <w:p w:rsidR="009E01AB" w:rsidRPr="0056123C" w:rsidRDefault="00452C63" w:rsidP="00393475">
            <w:pPr>
              <w:spacing w:before="480"/>
              <w:jc w:val="center"/>
            </w:pPr>
            <w:proofErr w:type="spellStart"/>
            <w:r w:rsidRPr="00452C63">
              <w:rPr>
                <w:bCs/>
              </w:rPr>
              <w:t>Place</w:t>
            </w:r>
            <w:proofErr w:type="spellEnd"/>
            <w:r w:rsidRPr="00452C63">
              <w:rPr>
                <w:bCs/>
              </w:rPr>
              <w:t xml:space="preserve"> </w:t>
            </w:r>
            <w:proofErr w:type="spellStart"/>
            <w:r w:rsidRPr="00452C63">
              <w:rPr>
                <w:bCs/>
              </w:rPr>
              <w:t>of</w:t>
            </w:r>
            <w:proofErr w:type="spellEnd"/>
            <w:r w:rsidRPr="00452C63">
              <w:rPr>
                <w:bCs/>
              </w:rPr>
              <w:t xml:space="preserve"> </w:t>
            </w:r>
            <w:proofErr w:type="spellStart"/>
            <w:r w:rsidRPr="00452C63">
              <w:rPr>
                <w:bCs/>
              </w:rPr>
              <w:t>death</w:t>
            </w:r>
            <w:proofErr w:type="spellEnd"/>
          </w:p>
        </w:tc>
        <w:tc>
          <w:tcPr>
            <w:tcW w:w="4395"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Hospital</w:t>
            </w: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r w:rsidRPr="0056123C">
              <w:rPr>
                <w:bCs/>
              </w:rPr>
              <w:t>114</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30</w:t>
            </w:r>
            <w:r w:rsidR="002B102F">
              <w:t>.</w:t>
            </w:r>
            <w:r w:rsidRPr="0056123C">
              <w:t>98</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452C63" w:rsidP="0056123C">
            <w:pPr>
              <w:autoSpaceDE w:val="0"/>
              <w:autoSpaceDN w:val="0"/>
              <w:adjustRightInd w:val="0"/>
              <w:jc w:val="center"/>
              <w:rPr>
                <w:b/>
                <w:bCs/>
              </w:rPr>
            </w:pPr>
            <w:proofErr w:type="spellStart"/>
            <w:r>
              <w:t>Public</w:t>
            </w:r>
            <w:proofErr w:type="spellEnd"/>
            <w:r>
              <w:t xml:space="preserve"> </w:t>
            </w:r>
            <w:proofErr w:type="spellStart"/>
            <w:r>
              <w:t>highway</w:t>
            </w:r>
            <w:proofErr w:type="spellEnd"/>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r w:rsidRPr="0056123C">
              <w:rPr>
                <w:bCs/>
              </w:rPr>
              <w:t>231</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62</w:t>
            </w:r>
            <w:r w:rsidR="002B102F">
              <w:t>.</w:t>
            </w:r>
            <w:r w:rsidRPr="0056123C">
              <w:t>77</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452C63" w:rsidP="0056123C">
            <w:pPr>
              <w:autoSpaceDE w:val="0"/>
              <w:autoSpaceDN w:val="0"/>
              <w:adjustRightInd w:val="0"/>
              <w:jc w:val="center"/>
            </w:pPr>
            <w:r>
              <w:t>Home</w:t>
            </w:r>
          </w:p>
        </w:tc>
        <w:tc>
          <w:tcPr>
            <w:tcW w:w="775" w:type="dxa"/>
            <w:tcBorders>
              <w:top w:val="nil"/>
              <w:left w:val="nil"/>
              <w:bottom w:val="nil"/>
              <w:right w:val="nil"/>
            </w:tcBorders>
            <w:shd w:val="clear" w:color="auto" w:fill="auto"/>
          </w:tcPr>
          <w:p w:rsidR="009E01AB" w:rsidRPr="0056123C" w:rsidRDefault="009E01AB" w:rsidP="0056123C">
            <w:pPr>
              <w:jc w:val="right"/>
            </w:pPr>
            <w:r w:rsidRPr="0056123C">
              <w:t>2</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0</w:t>
            </w:r>
            <w:r w:rsidR="002B102F">
              <w:t>.</w:t>
            </w:r>
            <w:r w:rsidRPr="0056123C">
              <w:t>55</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proofErr w:type="spellStart"/>
            <w:r w:rsidRPr="0056123C">
              <w:t>O</w:t>
            </w:r>
            <w:r w:rsidR="00591D9D">
              <w:t>ther</w:t>
            </w:r>
            <w:r w:rsidRPr="0056123C">
              <w:t>s</w:t>
            </w:r>
            <w:proofErr w:type="spellEnd"/>
          </w:p>
        </w:tc>
        <w:tc>
          <w:tcPr>
            <w:tcW w:w="775" w:type="dxa"/>
            <w:tcBorders>
              <w:top w:val="nil"/>
              <w:left w:val="nil"/>
              <w:bottom w:val="nil"/>
              <w:right w:val="nil"/>
            </w:tcBorders>
            <w:shd w:val="clear" w:color="auto" w:fill="auto"/>
          </w:tcPr>
          <w:p w:rsidR="009E01AB" w:rsidRPr="0056123C" w:rsidRDefault="009E01AB" w:rsidP="0056123C">
            <w:pPr>
              <w:jc w:val="right"/>
            </w:pPr>
            <w:r w:rsidRPr="0056123C">
              <w:t>11</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2</w:t>
            </w:r>
            <w:r w:rsidR="002B102F">
              <w:t>.</w:t>
            </w:r>
            <w:r w:rsidRPr="0056123C">
              <w:t>99</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pPr>
            <w:proofErr w:type="spellStart"/>
            <w:r w:rsidRPr="0056123C">
              <w:t>Ignor</w:t>
            </w:r>
            <w:r>
              <w:t>ed</w:t>
            </w:r>
            <w:proofErr w:type="spellEnd"/>
          </w:p>
        </w:tc>
        <w:tc>
          <w:tcPr>
            <w:tcW w:w="775" w:type="dxa"/>
            <w:tcBorders>
              <w:top w:val="nil"/>
              <w:left w:val="nil"/>
              <w:bottom w:val="nil"/>
              <w:right w:val="nil"/>
            </w:tcBorders>
            <w:shd w:val="clear" w:color="auto" w:fill="auto"/>
          </w:tcPr>
          <w:p w:rsidR="009E01AB" w:rsidRPr="0056123C" w:rsidRDefault="009E01AB" w:rsidP="0056123C">
            <w:pPr>
              <w:jc w:val="right"/>
            </w:pPr>
            <w:r w:rsidRPr="0056123C">
              <w:t>10</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2</w:t>
            </w:r>
            <w:r w:rsidR="002B102F">
              <w:t>.</w:t>
            </w:r>
            <w:r w:rsidRPr="0056123C">
              <w:t>71</w:t>
            </w:r>
          </w:p>
        </w:tc>
      </w:tr>
      <w:tr w:rsidR="009E01AB" w:rsidRPr="0056123C" w:rsidTr="00452C63">
        <w:tc>
          <w:tcPr>
            <w:tcW w:w="2376" w:type="dxa"/>
            <w:vMerge w:val="restart"/>
            <w:tcBorders>
              <w:top w:val="nil"/>
              <w:left w:val="nil"/>
              <w:bottom w:val="nil"/>
              <w:right w:val="nil"/>
            </w:tcBorders>
            <w:shd w:val="clear" w:color="auto" w:fill="auto"/>
          </w:tcPr>
          <w:p w:rsidR="009E01AB" w:rsidRPr="0056123C" w:rsidRDefault="00452C63" w:rsidP="0056123C">
            <w:pPr>
              <w:spacing w:before="360"/>
              <w:jc w:val="center"/>
            </w:pPr>
            <w:proofErr w:type="spellStart"/>
            <w:r>
              <w:rPr>
                <w:bCs/>
              </w:rPr>
              <w:t>Work</w:t>
            </w:r>
            <w:proofErr w:type="spellEnd"/>
            <w:r>
              <w:rPr>
                <w:bCs/>
              </w:rPr>
              <w:t xml:space="preserve"> </w:t>
            </w:r>
            <w:proofErr w:type="spellStart"/>
            <w:r>
              <w:rPr>
                <w:bCs/>
              </w:rPr>
              <w:t>accident</w:t>
            </w:r>
            <w:proofErr w:type="spellEnd"/>
          </w:p>
        </w:tc>
        <w:tc>
          <w:tcPr>
            <w:tcW w:w="4395" w:type="dxa"/>
            <w:tcBorders>
              <w:top w:val="nil"/>
              <w:left w:val="nil"/>
              <w:bottom w:val="nil"/>
              <w:right w:val="nil"/>
            </w:tcBorders>
            <w:shd w:val="clear" w:color="auto" w:fill="auto"/>
          </w:tcPr>
          <w:p w:rsidR="009E01AB" w:rsidRPr="0056123C" w:rsidRDefault="009E01AB" w:rsidP="0056123C">
            <w:pPr>
              <w:autoSpaceDE w:val="0"/>
              <w:autoSpaceDN w:val="0"/>
              <w:adjustRightInd w:val="0"/>
            </w:pP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p>
        </w:tc>
        <w:tc>
          <w:tcPr>
            <w:tcW w:w="1634" w:type="dxa"/>
            <w:tcBorders>
              <w:top w:val="nil"/>
              <w:left w:val="nil"/>
              <w:bottom w:val="nil"/>
              <w:right w:val="nil"/>
            </w:tcBorders>
            <w:shd w:val="clear" w:color="auto" w:fill="auto"/>
          </w:tcPr>
          <w:p w:rsidR="009E01AB" w:rsidRPr="0056123C" w:rsidRDefault="009E01AB" w:rsidP="0056123C">
            <w:pPr>
              <w:jc w:val="right"/>
            </w:pP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rPr>
                <w:b/>
                <w:bCs/>
              </w:rPr>
            </w:pPr>
            <w:r>
              <w:t>Yes</w:t>
            </w: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pPr>
            <w:r w:rsidRPr="0056123C">
              <w:t>33</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8</w:t>
            </w:r>
            <w:r w:rsidR="002B102F">
              <w:t>.</w:t>
            </w:r>
            <w:r w:rsidRPr="0056123C">
              <w:t>96</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9E01AB" w:rsidP="0056123C">
            <w:pPr>
              <w:autoSpaceDE w:val="0"/>
              <w:autoSpaceDN w:val="0"/>
              <w:adjustRightInd w:val="0"/>
              <w:jc w:val="center"/>
              <w:rPr>
                <w:b/>
                <w:bCs/>
              </w:rPr>
            </w:pPr>
            <w:r w:rsidRPr="0056123C">
              <w:t>No</w:t>
            </w: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r w:rsidRPr="0056123C">
              <w:rPr>
                <w:bCs/>
              </w:rPr>
              <w:t>226</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61</w:t>
            </w:r>
            <w:r w:rsidR="002B102F">
              <w:t>.</w:t>
            </w:r>
            <w:r w:rsidRPr="0056123C">
              <w:t>42</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591D9D" w:rsidP="0056123C">
            <w:pPr>
              <w:autoSpaceDE w:val="0"/>
              <w:autoSpaceDN w:val="0"/>
              <w:adjustRightInd w:val="0"/>
              <w:jc w:val="center"/>
            </w:pPr>
            <w:proofErr w:type="spellStart"/>
            <w:r w:rsidRPr="0056123C">
              <w:t>Ignor</w:t>
            </w:r>
            <w:r>
              <w:t>ed</w:t>
            </w:r>
            <w:proofErr w:type="spellEnd"/>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r w:rsidRPr="0056123C">
              <w:rPr>
                <w:bCs/>
              </w:rPr>
              <w:t>109</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29</w:t>
            </w:r>
            <w:r w:rsidR="002B102F">
              <w:t>.</w:t>
            </w:r>
            <w:r w:rsidRPr="0056123C">
              <w:t>62</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pPr>
          </w:p>
        </w:tc>
        <w:tc>
          <w:tcPr>
            <w:tcW w:w="4395" w:type="dxa"/>
            <w:tcBorders>
              <w:top w:val="nil"/>
              <w:left w:val="nil"/>
              <w:bottom w:val="nil"/>
              <w:right w:val="nil"/>
            </w:tcBorders>
            <w:shd w:val="clear" w:color="auto" w:fill="auto"/>
          </w:tcPr>
          <w:p w:rsidR="009E01AB" w:rsidRPr="0056123C" w:rsidRDefault="009E01AB" w:rsidP="0056123C">
            <w:pPr>
              <w:autoSpaceDE w:val="0"/>
              <w:autoSpaceDN w:val="0"/>
              <w:adjustRightInd w:val="0"/>
            </w:pP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pPr>
          </w:p>
        </w:tc>
        <w:tc>
          <w:tcPr>
            <w:tcW w:w="1634" w:type="dxa"/>
            <w:tcBorders>
              <w:top w:val="nil"/>
              <w:left w:val="nil"/>
              <w:bottom w:val="nil"/>
              <w:right w:val="nil"/>
            </w:tcBorders>
            <w:shd w:val="clear" w:color="auto" w:fill="auto"/>
          </w:tcPr>
          <w:p w:rsidR="009E01AB" w:rsidRPr="0056123C" w:rsidRDefault="009E01AB" w:rsidP="0056123C">
            <w:pPr>
              <w:jc w:val="right"/>
            </w:pPr>
          </w:p>
        </w:tc>
      </w:tr>
      <w:tr w:rsidR="009E01AB" w:rsidRPr="0056123C" w:rsidTr="00452C63">
        <w:tc>
          <w:tcPr>
            <w:tcW w:w="2376" w:type="dxa"/>
            <w:vMerge w:val="restart"/>
            <w:tcBorders>
              <w:top w:val="nil"/>
              <w:left w:val="nil"/>
              <w:bottom w:val="nil"/>
              <w:right w:val="nil"/>
            </w:tcBorders>
            <w:shd w:val="clear" w:color="auto" w:fill="auto"/>
          </w:tcPr>
          <w:p w:rsidR="009E01AB" w:rsidRPr="00393475" w:rsidRDefault="009E01AB" w:rsidP="00393475">
            <w:pPr>
              <w:spacing w:before="240"/>
              <w:jc w:val="center"/>
              <w:rPr>
                <w:bCs/>
                <w:lang w:val="en-US"/>
              </w:rPr>
            </w:pPr>
            <w:r w:rsidRPr="00393475">
              <w:rPr>
                <w:bCs/>
                <w:lang w:val="en-US"/>
              </w:rPr>
              <w:t xml:space="preserve">CID – 10. V40 </w:t>
            </w:r>
            <w:r w:rsidR="00452C63" w:rsidRPr="00393475">
              <w:rPr>
                <w:bCs/>
                <w:lang w:val="en-US"/>
              </w:rPr>
              <w:t>to</w:t>
            </w:r>
            <w:r w:rsidRPr="00393475">
              <w:rPr>
                <w:bCs/>
                <w:lang w:val="en-US"/>
              </w:rPr>
              <w:t xml:space="preserve"> V49</w:t>
            </w:r>
          </w:p>
          <w:p w:rsidR="009E01AB" w:rsidRPr="00393475" w:rsidRDefault="00452C63" w:rsidP="0056123C">
            <w:pPr>
              <w:jc w:val="center"/>
              <w:rPr>
                <w:lang w:val="en-US"/>
              </w:rPr>
            </w:pPr>
            <w:r w:rsidRPr="00393475">
              <w:rPr>
                <w:shd w:val="clear" w:color="auto" w:fill="FFFFFF"/>
                <w:lang w:val="en-US"/>
              </w:rPr>
              <w:t xml:space="preserve">Car occupant injured in transport accident </w:t>
            </w:r>
            <w:r w:rsidR="0098227A" w:rsidRPr="00393475">
              <w:rPr>
                <w:bCs/>
                <w:lang w:val="en-US"/>
              </w:rPr>
              <w:t>–</w:t>
            </w:r>
            <w:r w:rsidR="009E01AB" w:rsidRPr="00393475">
              <w:rPr>
                <w:bCs/>
                <w:lang w:val="en-US"/>
              </w:rPr>
              <w:t xml:space="preserve"> </w:t>
            </w:r>
            <w:r w:rsidRPr="00393475">
              <w:rPr>
                <w:lang w:val="en-US"/>
              </w:rPr>
              <w:t>collisions</w:t>
            </w:r>
          </w:p>
        </w:tc>
        <w:tc>
          <w:tcPr>
            <w:tcW w:w="4395" w:type="dxa"/>
            <w:tcBorders>
              <w:top w:val="nil"/>
              <w:left w:val="nil"/>
              <w:bottom w:val="nil"/>
              <w:right w:val="nil"/>
            </w:tcBorders>
            <w:shd w:val="clear" w:color="auto" w:fill="auto"/>
          </w:tcPr>
          <w:p w:rsidR="009E01AB" w:rsidRPr="00393475" w:rsidRDefault="009E01AB" w:rsidP="0056123C">
            <w:pPr>
              <w:autoSpaceDE w:val="0"/>
              <w:autoSpaceDN w:val="0"/>
              <w:adjustRightInd w:val="0"/>
              <w:jc w:val="both"/>
              <w:rPr>
                <w:b/>
                <w:bCs/>
                <w:lang w:val="en-US"/>
              </w:rPr>
            </w:pPr>
            <w:r w:rsidRPr="00393475">
              <w:rPr>
                <w:lang w:val="en-US"/>
              </w:rPr>
              <w:t xml:space="preserve">- </w:t>
            </w:r>
            <w:r w:rsidR="00452C63" w:rsidRPr="00393475">
              <w:rPr>
                <w:lang w:val="en-US"/>
              </w:rPr>
              <w:t>With car or pick-up truck</w:t>
            </w: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r w:rsidRPr="0056123C">
              <w:rPr>
                <w:bCs/>
              </w:rPr>
              <w:t>100</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27</w:t>
            </w:r>
            <w:r w:rsidR="002B102F">
              <w:t>.</w:t>
            </w:r>
            <w:r w:rsidRPr="0056123C">
              <w:t>17</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rPr>
                <w:bCs/>
              </w:rPr>
            </w:pPr>
          </w:p>
        </w:tc>
        <w:tc>
          <w:tcPr>
            <w:tcW w:w="4395" w:type="dxa"/>
            <w:tcBorders>
              <w:top w:val="nil"/>
              <w:left w:val="nil"/>
              <w:bottom w:val="nil"/>
              <w:right w:val="nil"/>
            </w:tcBorders>
            <w:shd w:val="clear" w:color="auto" w:fill="auto"/>
          </w:tcPr>
          <w:p w:rsidR="009E01AB" w:rsidRPr="00393475" w:rsidRDefault="009E01AB" w:rsidP="0056123C">
            <w:pPr>
              <w:autoSpaceDE w:val="0"/>
              <w:autoSpaceDN w:val="0"/>
              <w:adjustRightInd w:val="0"/>
              <w:jc w:val="both"/>
              <w:rPr>
                <w:lang w:val="en-US"/>
              </w:rPr>
            </w:pPr>
            <w:r w:rsidRPr="00393475">
              <w:rPr>
                <w:lang w:val="en-US"/>
              </w:rPr>
              <w:t xml:space="preserve">- </w:t>
            </w:r>
            <w:proofErr w:type="spellStart"/>
            <w:r w:rsidR="00452C63" w:rsidRPr="00393475">
              <w:rPr>
                <w:lang w:val="en-US"/>
              </w:rPr>
              <w:t>Noncollision</w:t>
            </w:r>
            <w:proofErr w:type="spellEnd"/>
            <w:r w:rsidR="00452C63" w:rsidRPr="00393475">
              <w:rPr>
                <w:lang w:val="en-US"/>
              </w:rPr>
              <w:t xml:space="preserve"> transport accident</w:t>
            </w:r>
          </w:p>
          <w:p w:rsidR="009E01AB" w:rsidRPr="00393475" w:rsidRDefault="009E01AB" w:rsidP="0056123C">
            <w:pPr>
              <w:autoSpaceDE w:val="0"/>
              <w:autoSpaceDN w:val="0"/>
              <w:adjustRightInd w:val="0"/>
              <w:jc w:val="both"/>
              <w:rPr>
                <w:lang w:val="en-US"/>
              </w:rPr>
            </w:pPr>
            <w:r w:rsidRPr="00393475">
              <w:rPr>
                <w:lang w:val="en-US"/>
              </w:rPr>
              <w:t xml:space="preserve">- </w:t>
            </w:r>
            <w:r w:rsidR="00452C63" w:rsidRPr="00393475">
              <w:rPr>
                <w:lang w:val="en-US"/>
              </w:rPr>
              <w:t>With heavy transport vehicle or bus</w:t>
            </w: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r w:rsidRPr="0056123C">
              <w:t>67</w:t>
            </w:r>
          </w:p>
          <w:p w:rsidR="009E01AB" w:rsidRPr="0056123C" w:rsidRDefault="009E01AB" w:rsidP="0056123C">
            <w:pPr>
              <w:autoSpaceDE w:val="0"/>
              <w:autoSpaceDN w:val="0"/>
              <w:adjustRightInd w:val="0"/>
              <w:jc w:val="right"/>
              <w:rPr>
                <w:bCs/>
              </w:rPr>
            </w:pPr>
            <w:r w:rsidRPr="0056123C">
              <w:rPr>
                <w:bCs/>
              </w:rPr>
              <w:t>57</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18</w:t>
            </w:r>
            <w:r w:rsidR="002B102F">
              <w:t>.</w:t>
            </w:r>
            <w:r w:rsidRPr="0056123C">
              <w:t>21</w:t>
            </w:r>
          </w:p>
          <w:p w:rsidR="009E01AB" w:rsidRPr="0056123C" w:rsidRDefault="009E01AB" w:rsidP="0056123C">
            <w:pPr>
              <w:jc w:val="right"/>
            </w:pPr>
            <w:r w:rsidRPr="0056123C">
              <w:t>15</w:t>
            </w:r>
            <w:r w:rsidR="002B102F">
              <w:t>.</w:t>
            </w:r>
            <w:r w:rsidRPr="0056123C">
              <w:t>49</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pPr>
              <w:jc w:val="center"/>
              <w:rPr>
                <w:bCs/>
              </w:rPr>
            </w:pPr>
          </w:p>
        </w:tc>
        <w:tc>
          <w:tcPr>
            <w:tcW w:w="4395" w:type="dxa"/>
            <w:tcBorders>
              <w:top w:val="nil"/>
              <w:left w:val="nil"/>
              <w:bottom w:val="nil"/>
              <w:right w:val="nil"/>
            </w:tcBorders>
            <w:shd w:val="clear" w:color="auto" w:fill="auto"/>
          </w:tcPr>
          <w:p w:rsidR="009E01AB" w:rsidRPr="00393475" w:rsidRDefault="009E01AB" w:rsidP="0056123C">
            <w:pPr>
              <w:autoSpaceDE w:val="0"/>
              <w:autoSpaceDN w:val="0"/>
              <w:adjustRightInd w:val="0"/>
              <w:jc w:val="both"/>
              <w:rPr>
                <w:lang w:val="en-US"/>
              </w:rPr>
            </w:pPr>
            <w:r w:rsidRPr="00393475">
              <w:rPr>
                <w:lang w:val="en-US"/>
              </w:rPr>
              <w:t>-</w:t>
            </w:r>
            <w:r w:rsidR="00452C63" w:rsidRPr="00393475">
              <w:rPr>
                <w:lang w:val="en-US"/>
              </w:rPr>
              <w:t xml:space="preserve"> With fixed or stationary object</w:t>
            </w:r>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pPr>
            <w:r w:rsidRPr="0056123C">
              <w:t>47</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12</w:t>
            </w:r>
            <w:r w:rsidR="002B102F">
              <w:t>.</w:t>
            </w:r>
            <w:r w:rsidRPr="0056123C">
              <w:t>77</w:t>
            </w:r>
          </w:p>
        </w:tc>
      </w:tr>
      <w:tr w:rsidR="009E01AB" w:rsidRPr="0056123C" w:rsidTr="00452C63">
        <w:tc>
          <w:tcPr>
            <w:tcW w:w="2376" w:type="dxa"/>
            <w:vMerge/>
            <w:tcBorders>
              <w:top w:val="nil"/>
              <w:left w:val="nil"/>
              <w:bottom w:val="nil"/>
              <w:right w:val="nil"/>
            </w:tcBorders>
            <w:shd w:val="clear" w:color="auto" w:fill="auto"/>
          </w:tcPr>
          <w:p w:rsidR="009E01AB" w:rsidRPr="0056123C" w:rsidRDefault="009E01AB" w:rsidP="0056123C"/>
        </w:tc>
        <w:tc>
          <w:tcPr>
            <w:tcW w:w="4395" w:type="dxa"/>
            <w:tcBorders>
              <w:top w:val="nil"/>
              <w:left w:val="nil"/>
              <w:bottom w:val="nil"/>
              <w:right w:val="nil"/>
            </w:tcBorders>
            <w:shd w:val="clear" w:color="auto" w:fill="auto"/>
          </w:tcPr>
          <w:p w:rsidR="009E01AB" w:rsidRPr="0056123C" w:rsidRDefault="009E01AB" w:rsidP="0056123C">
            <w:pPr>
              <w:autoSpaceDE w:val="0"/>
              <w:autoSpaceDN w:val="0"/>
              <w:adjustRightInd w:val="0"/>
              <w:jc w:val="both"/>
            </w:pPr>
            <w:r w:rsidRPr="0056123C">
              <w:t xml:space="preserve">- </w:t>
            </w:r>
            <w:proofErr w:type="spellStart"/>
            <w:r w:rsidR="00452C63">
              <w:t>W</w:t>
            </w:r>
            <w:r w:rsidR="00452C63" w:rsidRPr="00591D9D">
              <w:t>ith</w:t>
            </w:r>
            <w:proofErr w:type="spellEnd"/>
            <w:r w:rsidR="00452C63" w:rsidRPr="00591D9D">
              <w:t xml:space="preserve"> </w:t>
            </w:r>
            <w:proofErr w:type="spellStart"/>
            <w:r w:rsidR="00452C63" w:rsidRPr="00591D9D">
              <w:t>nonmotor</w:t>
            </w:r>
            <w:proofErr w:type="spellEnd"/>
            <w:r w:rsidR="00452C63" w:rsidRPr="00591D9D">
              <w:t xml:space="preserve"> </w:t>
            </w:r>
            <w:proofErr w:type="spellStart"/>
            <w:r w:rsidR="00452C63" w:rsidRPr="00591D9D">
              <w:t>vehicle</w:t>
            </w:r>
            <w:proofErr w:type="spellEnd"/>
          </w:p>
        </w:tc>
        <w:tc>
          <w:tcPr>
            <w:tcW w:w="775" w:type="dxa"/>
            <w:tcBorders>
              <w:top w:val="nil"/>
              <w:left w:val="nil"/>
              <w:bottom w:val="nil"/>
              <w:right w:val="nil"/>
            </w:tcBorders>
            <w:shd w:val="clear" w:color="auto" w:fill="auto"/>
          </w:tcPr>
          <w:p w:rsidR="009E01AB" w:rsidRPr="0056123C" w:rsidRDefault="009E01AB" w:rsidP="0056123C">
            <w:pPr>
              <w:autoSpaceDE w:val="0"/>
              <w:autoSpaceDN w:val="0"/>
              <w:adjustRightInd w:val="0"/>
              <w:jc w:val="right"/>
              <w:rPr>
                <w:bCs/>
              </w:rPr>
            </w:pPr>
            <w:r w:rsidRPr="0056123C">
              <w:rPr>
                <w:bCs/>
              </w:rPr>
              <w:t>1</w:t>
            </w:r>
          </w:p>
        </w:tc>
        <w:tc>
          <w:tcPr>
            <w:tcW w:w="1634" w:type="dxa"/>
            <w:tcBorders>
              <w:top w:val="nil"/>
              <w:left w:val="nil"/>
              <w:bottom w:val="nil"/>
              <w:right w:val="nil"/>
            </w:tcBorders>
            <w:shd w:val="clear" w:color="auto" w:fill="auto"/>
          </w:tcPr>
          <w:p w:rsidR="009E01AB" w:rsidRPr="0056123C" w:rsidRDefault="009E01AB" w:rsidP="0056123C">
            <w:pPr>
              <w:jc w:val="right"/>
            </w:pPr>
            <w:r w:rsidRPr="0056123C">
              <w:t>0</w:t>
            </w:r>
            <w:r w:rsidR="002B102F">
              <w:t>.</w:t>
            </w:r>
            <w:r w:rsidRPr="0056123C">
              <w:t>27</w:t>
            </w:r>
          </w:p>
        </w:tc>
      </w:tr>
      <w:tr w:rsidR="009E01AB" w:rsidRPr="0056123C" w:rsidTr="00452C63">
        <w:tc>
          <w:tcPr>
            <w:tcW w:w="2376" w:type="dxa"/>
            <w:vMerge/>
            <w:tcBorders>
              <w:top w:val="nil"/>
              <w:left w:val="nil"/>
              <w:bottom w:val="single" w:sz="4" w:space="0" w:color="auto"/>
              <w:right w:val="nil"/>
            </w:tcBorders>
            <w:shd w:val="clear" w:color="auto" w:fill="auto"/>
          </w:tcPr>
          <w:p w:rsidR="009E01AB" w:rsidRPr="0056123C" w:rsidRDefault="009E01AB" w:rsidP="0056123C"/>
        </w:tc>
        <w:tc>
          <w:tcPr>
            <w:tcW w:w="4395" w:type="dxa"/>
            <w:tcBorders>
              <w:top w:val="nil"/>
              <w:left w:val="nil"/>
              <w:bottom w:val="single" w:sz="4" w:space="0" w:color="auto"/>
              <w:right w:val="nil"/>
            </w:tcBorders>
            <w:shd w:val="clear" w:color="auto" w:fill="auto"/>
          </w:tcPr>
          <w:p w:rsidR="009E01AB" w:rsidRPr="0056123C" w:rsidRDefault="009E01AB" w:rsidP="0056123C">
            <w:pPr>
              <w:autoSpaceDE w:val="0"/>
              <w:autoSpaceDN w:val="0"/>
              <w:adjustRightInd w:val="0"/>
              <w:jc w:val="both"/>
              <w:rPr>
                <w:b/>
                <w:bCs/>
              </w:rPr>
            </w:pPr>
            <w:r w:rsidRPr="0056123C">
              <w:t xml:space="preserve">- </w:t>
            </w:r>
            <w:proofErr w:type="spellStart"/>
            <w:r w:rsidR="00452C63">
              <w:t>O</w:t>
            </w:r>
            <w:r w:rsidR="00452C63" w:rsidRPr="00591D9D">
              <w:t>ther</w:t>
            </w:r>
            <w:proofErr w:type="spellEnd"/>
            <w:r w:rsidR="00452C63" w:rsidRPr="00591D9D">
              <w:t xml:space="preserve"> </w:t>
            </w:r>
            <w:proofErr w:type="spellStart"/>
            <w:r w:rsidR="00452C63" w:rsidRPr="00591D9D">
              <w:t>and</w:t>
            </w:r>
            <w:proofErr w:type="spellEnd"/>
            <w:r w:rsidR="00452C63" w:rsidRPr="00591D9D">
              <w:t xml:space="preserve"> </w:t>
            </w:r>
            <w:proofErr w:type="spellStart"/>
            <w:r w:rsidR="00452C63" w:rsidRPr="00591D9D">
              <w:t>unspecified</w:t>
            </w:r>
            <w:proofErr w:type="spellEnd"/>
            <w:r w:rsidR="00452C63" w:rsidRPr="00452C63">
              <w:t xml:space="preserve"> </w:t>
            </w:r>
            <w:proofErr w:type="spellStart"/>
            <w:r w:rsidR="00452C63" w:rsidRPr="00591D9D">
              <w:t>accidents</w:t>
            </w:r>
            <w:proofErr w:type="spellEnd"/>
          </w:p>
        </w:tc>
        <w:tc>
          <w:tcPr>
            <w:tcW w:w="775" w:type="dxa"/>
            <w:tcBorders>
              <w:top w:val="nil"/>
              <w:left w:val="nil"/>
              <w:bottom w:val="single" w:sz="4" w:space="0" w:color="auto"/>
              <w:right w:val="nil"/>
            </w:tcBorders>
            <w:shd w:val="clear" w:color="auto" w:fill="auto"/>
          </w:tcPr>
          <w:p w:rsidR="009E01AB" w:rsidRPr="0056123C" w:rsidRDefault="009E01AB" w:rsidP="0056123C">
            <w:pPr>
              <w:autoSpaceDE w:val="0"/>
              <w:autoSpaceDN w:val="0"/>
              <w:adjustRightInd w:val="0"/>
              <w:jc w:val="right"/>
              <w:rPr>
                <w:bCs/>
              </w:rPr>
            </w:pPr>
            <w:r w:rsidRPr="0056123C">
              <w:rPr>
                <w:bCs/>
              </w:rPr>
              <w:t>96</w:t>
            </w:r>
          </w:p>
        </w:tc>
        <w:tc>
          <w:tcPr>
            <w:tcW w:w="1634" w:type="dxa"/>
            <w:tcBorders>
              <w:top w:val="nil"/>
              <w:left w:val="nil"/>
              <w:bottom w:val="single" w:sz="4" w:space="0" w:color="auto"/>
              <w:right w:val="nil"/>
            </w:tcBorders>
            <w:shd w:val="clear" w:color="auto" w:fill="auto"/>
          </w:tcPr>
          <w:p w:rsidR="009E01AB" w:rsidRPr="0056123C" w:rsidRDefault="009E01AB" w:rsidP="0056123C">
            <w:pPr>
              <w:jc w:val="right"/>
            </w:pPr>
            <w:r w:rsidRPr="0056123C">
              <w:t>26</w:t>
            </w:r>
            <w:r w:rsidR="002B102F">
              <w:t>.</w:t>
            </w:r>
            <w:r w:rsidRPr="0056123C">
              <w:t>09</w:t>
            </w:r>
          </w:p>
        </w:tc>
      </w:tr>
    </w:tbl>
    <w:p w:rsidR="009E01AB" w:rsidRPr="00393475" w:rsidRDefault="00452C63" w:rsidP="0056123C">
      <w:pPr>
        <w:autoSpaceDE w:val="0"/>
        <w:autoSpaceDN w:val="0"/>
        <w:adjustRightInd w:val="0"/>
        <w:jc w:val="both"/>
        <w:rPr>
          <w:lang w:val="en-US"/>
        </w:rPr>
      </w:pPr>
      <w:r w:rsidRPr="00393475">
        <w:rPr>
          <w:lang w:val="en-US"/>
        </w:rPr>
        <w:lastRenderedPageBreak/>
        <w:t>Source: Ministry of Health/Secretariat of Health Surveillance/General Information Coordination and Epidemiological Analysis/Mortality Information System</w:t>
      </w:r>
      <w:r w:rsidR="009E01AB" w:rsidRPr="00393475">
        <w:rPr>
          <w:lang w:val="en-US"/>
        </w:rPr>
        <w:t>.</w:t>
      </w:r>
    </w:p>
    <w:p w:rsidR="009E01AB" w:rsidRPr="00393475" w:rsidRDefault="009E01AB" w:rsidP="0056123C">
      <w:pPr>
        <w:autoSpaceDE w:val="0"/>
        <w:autoSpaceDN w:val="0"/>
        <w:adjustRightInd w:val="0"/>
        <w:jc w:val="both"/>
        <w:rPr>
          <w:lang w:val="en-US"/>
        </w:rPr>
      </w:pPr>
    </w:p>
    <w:p w:rsidR="009E01AB" w:rsidRPr="00393475" w:rsidRDefault="00087BA2" w:rsidP="00DA1E0A">
      <w:pPr>
        <w:autoSpaceDE w:val="0"/>
        <w:autoSpaceDN w:val="0"/>
        <w:adjustRightInd w:val="0"/>
        <w:spacing w:line="480" w:lineRule="auto"/>
        <w:ind w:firstLine="709"/>
        <w:jc w:val="center"/>
        <w:rPr>
          <w:lang w:val="en-US"/>
        </w:rPr>
      </w:pPr>
      <w:r w:rsidRPr="00393475">
        <w:rPr>
          <w:lang w:val="en-US"/>
        </w:rPr>
        <w:t>Regarding the types of accidents, the most frequent were the collisions with car/pick-up truck</w:t>
      </w:r>
      <w:r w:rsidR="00E7400A" w:rsidRPr="00393475">
        <w:rPr>
          <w:lang w:val="en-US"/>
        </w:rPr>
        <w:t>/truck</w:t>
      </w:r>
      <w:r w:rsidRPr="00393475">
        <w:rPr>
          <w:lang w:val="en-US"/>
        </w:rPr>
        <w:t xml:space="preserve"> (27.17%), </w:t>
      </w:r>
      <w:r w:rsidR="00E7400A" w:rsidRPr="00393475">
        <w:rPr>
          <w:lang w:val="en-US"/>
        </w:rPr>
        <w:t xml:space="preserve">as well as </w:t>
      </w:r>
      <w:r w:rsidRPr="00393475">
        <w:rPr>
          <w:lang w:val="en-US"/>
        </w:rPr>
        <w:t>other and unspecified accidents, which include occupants of</w:t>
      </w:r>
      <w:r w:rsidR="00E7400A" w:rsidRPr="00393475">
        <w:rPr>
          <w:lang w:val="en-US"/>
        </w:rPr>
        <w:t xml:space="preserve"> railway</w:t>
      </w:r>
      <w:r w:rsidRPr="00393475">
        <w:rPr>
          <w:lang w:val="en-US"/>
        </w:rPr>
        <w:t xml:space="preserve"> trains</w:t>
      </w:r>
      <w:r w:rsidR="00E7400A" w:rsidRPr="00393475">
        <w:rPr>
          <w:lang w:val="en-US"/>
        </w:rPr>
        <w:t xml:space="preserve"> </w:t>
      </w:r>
      <w:proofErr w:type="spellStart"/>
      <w:r w:rsidR="00E7400A" w:rsidRPr="00393475">
        <w:rPr>
          <w:lang w:val="en-US"/>
        </w:rPr>
        <w:t>ans</w:t>
      </w:r>
      <w:proofErr w:type="spellEnd"/>
      <w:r w:rsidR="00E7400A" w:rsidRPr="00393475">
        <w:rPr>
          <w:lang w:val="en-US"/>
        </w:rPr>
        <w:t xml:space="preserve"> railway vehicles</w:t>
      </w:r>
      <w:r w:rsidRPr="00393475">
        <w:rPr>
          <w:lang w:val="en-US"/>
        </w:rPr>
        <w:t xml:space="preserve">, special transport vehicles, vehicles used in industrial and agricultural </w:t>
      </w:r>
      <w:proofErr w:type="spellStart"/>
      <w:r w:rsidR="00E7400A" w:rsidRPr="00393475">
        <w:rPr>
          <w:lang w:val="en-US"/>
        </w:rPr>
        <w:t>áreas</w:t>
      </w:r>
      <w:proofErr w:type="spellEnd"/>
      <w:r w:rsidR="00E7400A" w:rsidRPr="00393475">
        <w:rPr>
          <w:lang w:val="en-US"/>
        </w:rPr>
        <w:t>, etc.</w:t>
      </w:r>
      <w:r w:rsidRPr="00393475">
        <w:rPr>
          <w:lang w:val="en-US"/>
        </w:rPr>
        <w:t xml:space="preserve"> </w:t>
      </w:r>
      <w:r w:rsidRPr="00087BA2">
        <w:t xml:space="preserve">(26.09%) </w:t>
      </w:r>
      <w:proofErr w:type="spellStart"/>
      <w:r w:rsidRPr="00087BA2">
        <w:t>and</w:t>
      </w:r>
      <w:proofErr w:type="spellEnd"/>
      <w:r w:rsidRPr="00087BA2">
        <w:t xml:space="preserve"> </w:t>
      </w:r>
      <w:proofErr w:type="spellStart"/>
      <w:r w:rsidRPr="00087BA2">
        <w:t>accidents</w:t>
      </w:r>
      <w:proofErr w:type="spellEnd"/>
      <w:r w:rsidRPr="00087BA2">
        <w:t xml:space="preserve"> </w:t>
      </w:r>
      <w:proofErr w:type="spellStart"/>
      <w:r w:rsidRPr="00087BA2">
        <w:t>without</w:t>
      </w:r>
      <w:proofErr w:type="spellEnd"/>
      <w:r w:rsidRPr="00087BA2">
        <w:t xml:space="preserve"> </w:t>
      </w:r>
      <w:proofErr w:type="spellStart"/>
      <w:r w:rsidRPr="00087BA2">
        <w:t>collision</w:t>
      </w:r>
      <w:proofErr w:type="spellEnd"/>
      <w:r w:rsidRPr="00087BA2">
        <w:t xml:space="preserve"> (18.21%). </w:t>
      </w:r>
      <w:proofErr w:type="gramStart"/>
      <w:r w:rsidRPr="00393475">
        <w:rPr>
          <w:lang w:val="en-US"/>
        </w:rPr>
        <w:t>Also</w:t>
      </w:r>
      <w:proofErr w:type="gramEnd"/>
      <w:r w:rsidRPr="00393475">
        <w:rPr>
          <w:lang w:val="en-US"/>
        </w:rPr>
        <w:t xml:space="preserve"> worthy of mention are the collisions with heavy transport vehicles</w:t>
      </w:r>
      <w:r w:rsidR="00E7400A" w:rsidRPr="00393475">
        <w:rPr>
          <w:lang w:val="en-US"/>
        </w:rPr>
        <w:t xml:space="preserve"> or </w:t>
      </w:r>
      <w:r w:rsidRPr="00393475">
        <w:rPr>
          <w:lang w:val="en-US"/>
        </w:rPr>
        <w:t xml:space="preserve">buses (15.49%) and collisions with fixed </w:t>
      </w:r>
      <w:r w:rsidR="00E7400A" w:rsidRPr="00393475">
        <w:rPr>
          <w:lang w:val="en-US"/>
        </w:rPr>
        <w:t xml:space="preserve">and stationary </w:t>
      </w:r>
      <w:r w:rsidRPr="00393475">
        <w:rPr>
          <w:lang w:val="en-US"/>
        </w:rPr>
        <w:t>objects (12.77%)</w:t>
      </w:r>
      <w:r w:rsidR="009E01AB" w:rsidRPr="00393475">
        <w:rPr>
          <w:lang w:val="en-US"/>
        </w:rPr>
        <w:t>.</w:t>
      </w:r>
      <w:r w:rsidR="002E6082">
        <w:rPr>
          <w:noProof/>
        </w:rPr>
        <w:drawing>
          <wp:inline distT="0" distB="0" distL="0" distR="0">
            <wp:extent cx="5391150" cy="315277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91150" cy="3152775"/>
                    </a:xfrm>
                    <a:prstGeom prst="rect">
                      <a:avLst/>
                    </a:prstGeom>
                    <a:noFill/>
                    <a:ln>
                      <a:noFill/>
                    </a:ln>
                  </pic:spPr>
                </pic:pic>
              </a:graphicData>
            </a:graphic>
          </wp:inline>
        </w:drawing>
      </w:r>
    </w:p>
    <w:p w:rsidR="00161855" w:rsidRPr="00393475" w:rsidRDefault="00161855" w:rsidP="00161855">
      <w:pPr>
        <w:jc w:val="both"/>
        <w:rPr>
          <w:lang w:val="en-US"/>
        </w:rPr>
      </w:pPr>
      <w:r w:rsidRPr="00393475">
        <w:rPr>
          <w:lang w:val="en-US"/>
        </w:rPr>
        <w:t xml:space="preserve">Figure 1- Box-Plot of the monthly number of fatal cases according to the year of occurrence. </w:t>
      </w:r>
      <w:proofErr w:type="spellStart"/>
      <w:r w:rsidRPr="00393475">
        <w:rPr>
          <w:lang w:val="en-US"/>
        </w:rPr>
        <w:t>Maringá</w:t>
      </w:r>
      <w:proofErr w:type="spellEnd"/>
      <w:r w:rsidRPr="00393475">
        <w:rPr>
          <w:lang w:val="en-US"/>
        </w:rPr>
        <w:t>, PR, Brazil, 1996 to 2012.</w:t>
      </w:r>
    </w:p>
    <w:p w:rsidR="00161855" w:rsidRDefault="00161855" w:rsidP="0056123C">
      <w:pPr>
        <w:autoSpaceDE w:val="0"/>
        <w:autoSpaceDN w:val="0"/>
        <w:adjustRightInd w:val="0"/>
        <w:ind w:firstLine="709"/>
        <w:jc w:val="both"/>
        <w:rPr>
          <w:noProof/>
          <w:lang w:val="en-US"/>
        </w:rPr>
      </w:pPr>
    </w:p>
    <w:p w:rsidR="009E01AB" w:rsidRPr="00393475" w:rsidRDefault="00E7400A" w:rsidP="00161855">
      <w:pPr>
        <w:autoSpaceDE w:val="0"/>
        <w:autoSpaceDN w:val="0"/>
        <w:adjustRightInd w:val="0"/>
        <w:spacing w:line="480" w:lineRule="auto"/>
        <w:ind w:firstLine="709"/>
        <w:jc w:val="both"/>
        <w:rPr>
          <w:lang w:val="en-US"/>
        </w:rPr>
      </w:pPr>
      <w:r w:rsidRPr="00393475">
        <w:rPr>
          <w:noProof/>
          <w:lang w:val="en-US"/>
        </w:rPr>
        <w:t>Figure 1 shows the Box-Plot of the monthly number of fatal cases. There is the presence of outliers, that is, months in which the number of cases was much higher. In May 2010 there was the highest number of deaths, 12 deaths, which is observed by the upper limit of the box-plot for the year. The mean monthly death rate was 1.8 cases</w:t>
      </w:r>
      <w:r w:rsidR="009E01AB" w:rsidRPr="00393475">
        <w:rPr>
          <w:noProof/>
          <w:lang w:val="en-US"/>
        </w:rPr>
        <w:t>.</w:t>
      </w:r>
    </w:p>
    <w:p w:rsidR="009E01AB" w:rsidRPr="00393475" w:rsidRDefault="00E7400A" w:rsidP="00DA1E0A">
      <w:pPr>
        <w:spacing w:line="480" w:lineRule="auto"/>
        <w:ind w:firstLine="709"/>
        <w:jc w:val="both"/>
        <w:rPr>
          <w:lang w:val="en-US"/>
        </w:rPr>
      </w:pPr>
      <w:r w:rsidRPr="00393475">
        <w:rPr>
          <w:lang w:val="en-US"/>
        </w:rPr>
        <w:t xml:space="preserve">Figure 2 shows the Poisson model for the annual series of fatal cases. We observe in gray the confidence interval for the estimated trend and the black </w:t>
      </w:r>
      <w:r w:rsidR="00FD7BE2" w:rsidRPr="00393475">
        <w:rPr>
          <w:lang w:val="en-US"/>
        </w:rPr>
        <w:t xml:space="preserve">central </w:t>
      </w:r>
      <w:r w:rsidRPr="00393475">
        <w:rPr>
          <w:lang w:val="en-US"/>
        </w:rPr>
        <w:t xml:space="preserve">line </w:t>
      </w:r>
      <w:r w:rsidR="002E6082" w:rsidRPr="00393475">
        <w:rPr>
          <w:lang w:val="en-US"/>
        </w:rPr>
        <w:t>represents</w:t>
      </w:r>
      <w:r w:rsidRPr="00393475">
        <w:rPr>
          <w:lang w:val="en-US"/>
        </w:rPr>
        <w:t xml:space="preserve"> the Poisson model adjusting the trend. Since the coefficient of the variable year is </w:t>
      </w:r>
      <w:r w:rsidRPr="00393475">
        <w:rPr>
          <w:lang w:val="en-US"/>
        </w:rPr>
        <w:lastRenderedPageBreak/>
        <w:t xml:space="preserve">positive, there is a positive trend. In some years, </w:t>
      </w:r>
      <w:r w:rsidR="002E6082" w:rsidRPr="00393475">
        <w:rPr>
          <w:lang w:val="en-US"/>
        </w:rPr>
        <w:t xml:space="preserve">there were </w:t>
      </w:r>
      <w:r w:rsidRPr="00393475">
        <w:rPr>
          <w:lang w:val="en-US"/>
        </w:rPr>
        <w:t xml:space="preserve">significant changes </w:t>
      </w:r>
      <w:r w:rsidR="002E6082" w:rsidRPr="00393475">
        <w:rPr>
          <w:lang w:val="en-US"/>
        </w:rPr>
        <w:t>above the expected</w:t>
      </w:r>
      <w:r w:rsidRPr="00393475">
        <w:rPr>
          <w:lang w:val="en-US"/>
        </w:rPr>
        <w:t>, with death peaks in 2007 (26 - 7.06%), 2009 (33 - 8.96%) and 2010 (50 - 13.58%</w:t>
      </w:r>
      <w:r w:rsidR="009E01AB" w:rsidRPr="00393475">
        <w:rPr>
          <w:lang w:val="en-US"/>
        </w:rPr>
        <w:t xml:space="preserve">). </w:t>
      </w:r>
    </w:p>
    <w:p w:rsidR="009E01AB" w:rsidRPr="0056123C" w:rsidRDefault="002E6082" w:rsidP="002E6082">
      <w:pPr>
        <w:autoSpaceDE w:val="0"/>
        <w:autoSpaceDN w:val="0"/>
        <w:adjustRightInd w:val="0"/>
        <w:ind w:firstLine="709"/>
        <w:jc w:val="center"/>
      </w:pPr>
      <w:r>
        <w:rPr>
          <w:noProof/>
        </w:rPr>
        <w:drawing>
          <wp:inline distT="0" distB="0" distL="0" distR="0">
            <wp:extent cx="5372100" cy="283845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72100" cy="2838450"/>
                    </a:xfrm>
                    <a:prstGeom prst="rect">
                      <a:avLst/>
                    </a:prstGeom>
                    <a:noFill/>
                    <a:ln>
                      <a:noFill/>
                    </a:ln>
                  </pic:spPr>
                </pic:pic>
              </a:graphicData>
            </a:graphic>
          </wp:inline>
        </w:drawing>
      </w:r>
    </w:p>
    <w:p w:rsidR="009E01AB" w:rsidRPr="00393475" w:rsidRDefault="009E01AB" w:rsidP="0056123C">
      <w:pPr>
        <w:jc w:val="both"/>
        <w:rPr>
          <w:lang w:val="en-US"/>
        </w:rPr>
      </w:pPr>
      <w:r w:rsidRPr="00393475">
        <w:rPr>
          <w:lang w:val="en-US"/>
        </w:rPr>
        <w:t xml:space="preserve"> </w:t>
      </w:r>
      <w:r w:rsidR="00E7400A" w:rsidRPr="00393475">
        <w:rPr>
          <w:lang w:val="en-US"/>
        </w:rPr>
        <w:t xml:space="preserve">Figure </w:t>
      </w:r>
      <w:proofErr w:type="gramStart"/>
      <w:r w:rsidR="00E7400A" w:rsidRPr="00393475">
        <w:rPr>
          <w:lang w:val="en-US"/>
        </w:rPr>
        <w:t>2</w:t>
      </w:r>
      <w:proofErr w:type="gramEnd"/>
      <w:r w:rsidR="00E7400A" w:rsidRPr="00393475">
        <w:rPr>
          <w:lang w:val="en-US"/>
        </w:rPr>
        <w:t xml:space="preserve"> - Model for the counting series of the Poisson series of the annual number of fatal cases due to traffic accidents according to the year of occurrence. </w:t>
      </w:r>
      <w:proofErr w:type="spellStart"/>
      <w:r w:rsidR="00E7400A" w:rsidRPr="00393475">
        <w:rPr>
          <w:lang w:val="en-US"/>
        </w:rPr>
        <w:t>Maringá</w:t>
      </w:r>
      <w:proofErr w:type="spellEnd"/>
      <w:r w:rsidR="00E7400A" w:rsidRPr="00393475">
        <w:rPr>
          <w:lang w:val="en-US"/>
        </w:rPr>
        <w:t>, PR, Brazil, 1996 to 2012</w:t>
      </w:r>
      <w:r w:rsidRPr="00393475">
        <w:rPr>
          <w:lang w:val="en-US"/>
        </w:rPr>
        <w:t>.</w:t>
      </w:r>
    </w:p>
    <w:p w:rsidR="009E01AB" w:rsidRPr="00393475" w:rsidRDefault="009E01AB" w:rsidP="0056123C">
      <w:pPr>
        <w:jc w:val="both"/>
        <w:rPr>
          <w:lang w:val="en-US"/>
        </w:rPr>
      </w:pPr>
    </w:p>
    <w:p w:rsidR="009E01AB" w:rsidRPr="00393475" w:rsidRDefault="002E6082" w:rsidP="00DA1E0A">
      <w:pPr>
        <w:spacing w:line="480" w:lineRule="auto"/>
        <w:ind w:firstLine="709"/>
        <w:jc w:val="both"/>
        <w:rPr>
          <w:lang w:val="en-US"/>
        </w:rPr>
      </w:pPr>
      <w:r w:rsidRPr="00393475">
        <w:rPr>
          <w:lang w:val="en-US"/>
        </w:rPr>
        <w:t xml:space="preserve">If we increase a unit of time, the relative variation in the expected value is given </w:t>
      </w:r>
      <w:proofErr w:type="gramStart"/>
      <w:r w:rsidRPr="00393475">
        <w:rPr>
          <w:lang w:val="en-US"/>
        </w:rPr>
        <w:t>by</w:t>
      </w:r>
      <w:r w:rsidR="009E01AB" w:rsidRPr="00393475">
        <w:rPr>
          <w:lang w:val="en-US"/>
        </w:rPr>
        <w:t xml:space="preserve"> </w:t>
      </w:r>
      <w:proofErr w:type="gramEnd"/>
      <w:r w:rsidR="009E01AB" w:rsidRPr="0056123C">
        <w:rPr>
          <w:position w:val="-28"/>
        </w:rPr>
        <w:object w:dxaOrig="3140" w:dyaOrig="660">
          <v:shape id="_x0000_i1028" type="#_x0000_t75" style="width:157.5pt;height:33pt" o:ole="">
            <v:imagedata r:id="rId15" o:title=""/>
          </v:shape>
          <o:OLEObject Type="Embed" ProgID="Equation.DSMT4" ShapeID="_x0000_i1028" DrawAspect="Content" ObjectID="_1580566893" r:id="rId16"/>
        </w:object>
      </w:r>
      <w:r w:rsidR="009E01AB" w:rsidRPr="00393475">
        <w:rPr>
          <w:lang w:val="en-US"/>
        </w:rPr>
        <w:t xml:space="preserve">, </w:t>
      </w:r>
      <w:r w:rsidRPr="00393475">
        <w:rPr>
          <w:lang w:val="en-US"/>
        </w:rPr>
        <w:t>that is, the expected number of deaths increases by approximately 5.2% per year</w:t>
      </w:r>
      <w:r w:rsidR="009E01AB" w:rsidRPr="00393475">
        <w:rPr>
          <w:lang w:val="en-US"/>
        </w:rPr>
        <w:t xml:space="preserve">. </w:t>
      </w:r>
    </w:p>
    <w:p w:rsidR="009E01AB" w:rsidRPr="00393475" w:rsidRDefault="002E6082" w:rsidP="00DA1E0A">
      <w:pPr>
        <w:spacing w:line="480" w:lineRule="auto"/>
        <w:ind w:firstLine="709"/>
        <w:jc w:val="both"/>
        <w:rPr>
          <w:lang w:val="en-US"/>
        </w:rPr>
      </w:pPr>
      <w:r w:rsidRPr="00393475">
        <w:rPr>
          <w:lang w:val="en-US"/>
        </w:rPr>
        <w:t xml:space="preserve">It is also observed, from the estimated model, that if one considers the initial moment of the analysis, the parameter </w:t>
      </w:r>
      <w:r w:rsidR="009E01AB" w:rsidRPr="0056123C">
        <w:rPr>
          <w:position w:val="-12"/>
        </w:rPr>
        <w:object w:dxaOrig="300" w:dyaOrig="360">
          <v:shape id="_x0000_i1029" type="#_x0000_t75" style="width:15pt;height:18pt" o:ole="">
            <v:imagedata r:id="rId9" o:title=""/>
          </v:shape>
          <o:OLEObject Type="Embed" ProgID="Equation.DSMT4" ShapeID="_x0000_i1029" DrawAspect="Content" ObjectID="_1580566894" r:id="rId17"/>
        </w:object>
      </w:r>
      <w:r w:rsidR="009E01AB" w:rsidRPr="00393475">
        <w:rPr>
          <w:lang w:val="en-US"/>
        </w:rPr>
        <w:t>= 2</w:t>
      </w:r>
      <w:r w:rsidRPr="00393475">
        <w:rPr>
          <w:lang w:val="en-US"/>
        </w:rPr>
        <w:t>.</w:t>
      </w:r>
      <w:r w:rsidR="009E01AB" w:rsidRPr="00393475">
        <w:rPr>
          <w:lang w:val="en-US"/>
        </w:rPr>
        <w:t xml:space="preserve">62, </w:t>
      </w:r>
      <w:r w:rsidRPr="00393475">
        <w:rPr>
          <w:lang w:val="en-US"/>
        </w:rPr>
        <w:t xml:space="preserve">that is, the intercept of the model in the y-axis, we would have an estimate of </w:t>
      </w:r>
      <w:proofErr w:type="spellStart"/>
      <w:r w:rsidRPr="00393475">
        <w:rPr>
          <w:lang w:val="en-US"/>
        </w:rPr>
        <w:t>exp</w:t>
      </w:r>
      <w:proofErr w:type="spellEnd"/>
      <w:r w:rsidRPr="00393475">
        <w:rPr>
          <w:lang w:val="en-US"/>
        </w:rPr>
        <w:t xml:space="preserve"> (2.62) = 13.73 deaths/year. </w:t>
      </w:r>
      <w:r w:rsidR="00072B6A" w:rsidRPr="00393475">
        <w:rPr>
          <w:lang w:val="en-US"/>
        </w:rPr>
        <w:t>In</w:t>
      </w:r>
      <w:r w:rsidRPr="00393475">
        <w:rPr>
          <w:lang w:val="en-US"/>
        </w:rPr>
        <w:t xml:space="preserve"> contrast, at the end of the analyzed period, the estimate for 2012, the 17th year, is given by </w:t>
      </w:r>
      <w:proofErr w:type="spellStart"/>
      <w:r w:rsidRPr="00393475">
        <w:rPr>
          <w:lang w:val="en-US"/>
        </w:rPr>
        <w:t>exp</w:t>
      </w:r>
      <w:proofErr w:type="spellEnd"/>
      <w:r w:rsidRPr="00393475">
        <w:rPr>
          <w:lang w:val="en-US"/>
        </w:rPr>
        <w:t xml:space="preserve"> (2.62 + 0.052 x 17) = 33.2 deaths/year. If the behavior of the time series remained the same for four years, the adjusted model would indicate that in 21 years the number of </w:t>
      </w:r>
      <w:r w:rsidR="00072B6A" w:rsidRPr="00393475">
        <w:rPr>
          <w:lang w:val="en-US"/>
        </w:rPr>
        <w:t>deaths</w:t>
      </w:r>
      <w:r w:rsidRPr="00393475">
        <w:rPr>
          <w:lang w:val="en-US"/>
        </w:rPr>
        <w:t xml:space="preserve"> due to </w:t>
      </w:r>
      <w:r w:rsidR="00072B6A" w:rsidRPr="00393475">
        <w:rPr>
          <w:lang w:val="en-US"/>
        </w:rPr>
        <w:t>traffic</w:t>
      </w:r>
      <w:r w:rsidRPr="00393475">
        <w:rPr>
          <w:lang w:val="en-US"/>
        </w:rPr>
        <w:t xml:space="preserve"> accidents </w:t>
      </w:r>
      <w:proofErr w:type="gramStart"/>
      <w:r w:rsidRPr="00393475">
        <w:rPr>
          <w:lang w:val="en-US"/>
        </w:rPr>
        <w:t>would be tripled</w:t>
      </w:r>
      <w:proofErr w:type="gramEnd"/>
      <w:r w:rsidR="009E01AB" w:rsidRPr="00393475">
        <w:rPr>
          <w:lang w:val="en-US"/>
        </w:rPr>
        <w:t>.</w:t>
      </w:r>
    </w:p>
    <w:p w:rsidR="009E01AB" w:rsidRPr="00393475" w:rsidRDefault="00072B6A" w:rsidP="00DA1E0A">
      <w:pPr>
        <w:spacing w:line="480" w:lineRule="auto"/>
        <w:ind w:firstLine="709"/>
        <w:jc w:val="both"/>
        <w:rPr>
          <w:lang w:val="en-US"/>
        </w:rPr>
      </w:pPr>
      <w:r w:rsidRPr="00393475">
        <w:rPr>
          <w:lang w:val="en-US"/>
        </w:rPr>
        <w:lastRenderedPageBreak/>
        <w:t xml:space="preserve">The normal confidence interval was built on the scale of the (logarithmic) binding function, </w:t>
      </w:r>
      <w:proofErr w:type="gramStart"/>
      <w:r w:rsidRPr="00393475">
        <w:rPr>
          <w:lang w:val="en-US"/>
        </w:rPr>
        <w:t>then</w:t>
      </w:r>
      <w:proofErr w:type="gramEnd"/>
      <w:r w:rsidRPr="00393475">
        <w:rPr>
          <w:lang w:val="en-US"/>
        </w:rPr>
        <w:t xml:space="preserve"> transformed to the scale of the variable number of deaths. The presence of the trend was also confirmed by the Cox-Stuart </w:t>
      </w:r>
      <w:proofErr w:type="gramStart"/>
      <w:r w:rsidRPr="00393475">
        <w:rPr>
          <w:lang w:val="en-US"/>
        </w:rPr>
        <w:t>test</w:t>
      </w:r>
      <w:r w:rsidR="009E01AB" w:rsidRPr="00393475">
        <w:rPr>
          <w:vertAlign w:val="superscript"/>
          <w:lang w:val="en-US"/>
        </w:rPr>
        <w:t>(</w:t>
      </w:r>
      <w:proofErr w:type="gramEnd"/>
      <w:r w:rsidR="009E01AB" w:rsidRPr="00393475">
        <w:rPr>
          <w:vertAlign w:val="superscript"/>
          <w:lang w:val="en-US"/>
        </w:rPr>
        <w:t>9)</w:t>
      </w:r>
      <w:r w:rsidR="009E01AB" w:rsidRPr="00393475">
        <w:rPr>
          <w:lang w:val="en-US"/>
        </w:rPr>
        <w:t xml:space="preserve"> (p-val</w:t>
      </w:r>
      <w:r w:rsidRPr="00393475">
        <w:rPr>
          <w:lang w:val="en-US"/>
        </w:rPr>
        <w:t>ue</w:t>
      </w:r>
      <w:r w:rsidR="009E01AB" w:rsidRPr="00393475">
        <w:rPr>
          <w:lang w:val="en-US"/>
        </w:rPr>
        <w:t>&lt; 0</w:t>
      </w:r>
      <w:r w:rsidRPr="00393475">
        <w:rPr>
          <w:lang w:val="en-US"/>
        </w:rPr>
        <w:t>.</w:t>
      </w:r>
      <w:r w:rsidR="009E01AB" w:rsidRPr="00393475">
        <w:rPr>
          <w:lang w:val="en-US"/>
        </w:rPr>
        <w:t>0001).</w:t>
      </w:r>
    </w:p>
    <w:p w:rsidR="009E01AB" w:rsidRPr="00393475" w:rsidRDefault="00072B6A" w:rsidP="00DA1E0A">
      <w:pPr>
        <w:spacing w:line="480" w:lineRule="auto"/>
        <w:ind w:firstLine="709"/>
        <w:jc w:val="both"/>
        <w:rPr>
          <w:position w:val="-12"/>
          <w:vertAlign w:val="superscript"/>
          <w:lang w:val="en-US"/>
        </w:rPr>
      </w:pPr>
      <w:r w:rsidRPr="00393475">
        <w:rPr>
          <w:lang w:val="en-US"/>
        </w:rPr>
        <w:t xml:space="preserve">The estimates of the parameters of the Poisson regression model showed the following measures: for the intercept </w:t>
      </w:r>
      <w:r w:rsidR="009E01AB" w:rsidRPr="00393475">
        <w:rPr>
          <w:color w:val="000000"/>
          <w:lang w:val="en-US"/>
        </w:rPr>
        <w:t>(</w:t>
      </w:r>
      <w:r w:rsidR="009E01AB" w:rsidRPr="0056123C">
        <w:rPr>
          <w:position w:val="-12"/>
        </w:rPr>
        <w:object w:dxaOrig="300" w:dyaOrig="360">
          <v:shape id="_x0000_i1030" type="#_x0000_t75" style="width:15pt;height:18pt" o:ole="">
            <v:imagedata r:id="rId9" o:title=""/>
          </v:shape>
          <o:OLEObject Type="Embed" ProgID="Equation.DSMT4" ShapeID="_x0000_i1030" DrawAspect="Content" ObjectID="_1580566895" r:id="rId18"/>
        </w:object>
      </w:r>
      <w:r w:rsidR="009E01AB" w:rsidRPr="00393475">
        <w:rPr>
          <w:color w:val="000000"/>
          <w:lang w:val="en-US"/>
        </w:rPr>
        <w:t>)</w:t>
      </w:r>
      <w:r w:rsidR="00707054" w:rsidRPr="00393475">
        <w:rPr>
          <w:color w:val="000000"/>
          <w:lang w:val="en-US"/>
        </w:rPr>
        <w:t>,</w:t>
      </w:r>
      <w:r w:rsidR="009E01AB" w:rsidRPr="00393475">
        <w:rPr>
          <w:color w:val="000000"/>
          <w:lang w:val="en-US"/>
        </w:rPr>
        <w:t xml:space="preserve"> </w:t>
      </w:r>
      <w:r w:rsidRPr="00393475">
        <w:rPr>
          <w:color w:val="000000"/>
          <w:lang w:val="en-US"/>
        </w:rPr>
        <w:t xml:space="preserve">the estimate was 2.620, standard error of 0.11 and p-value &lt;0.001. For the variable year </w:t>
      </w:r>
      <w:r w:rsidR="009E01AB" w:rsidRPr="00393475">
        <w:rPr>
          <w:color w:val="000000"/>
          <w:lang w:val="en-US"/>
        </w:rPr>
        <w:t>(</w:t>
      </w:r>
      <w:r w:rsidR="009E01AB" w:rsidRPr="0056123C">
        <w:rPr>
          <w:position w:val="-12"/>
        </w:rPr>
        <w:object w:dxaOrig="260" w:dyaOrig="360">
          <v:shape id="_x0000_i1031" type="#_x0000_t75" style="width:13.5pt;height:18pt" o:ole="">
            <v:imagedata r:id="rId11" o:title=""/>
          </v:shape>
          <o:OLEObject Type="Embed" ProgID="Equation.DSMT4" ShapeID="_x0000_i1031" DrawAspect="Content" ObjectID="_1580566896" r:id="rId19"/>
        </w:object>
      </w:r>
      <w:r w:rsidR="00707054" w:rsidRPr="00393475">
        <w:rPr>
          <w:color w:val="000000"/>
          <w:lang w:val="en-US"/>
        </w:rPr>
        <w:t xml:space="preserve">), </w:t>
      </w:r>
      <w:r w:rsidRPr="00393475">
        <w:rPr>
          <w:color w:val="000000"/>
          <w:lang w:val="en-US"/>
        </w:rPr>
        <w:t>the estimate was 0.052, standard error of 0.01 and p-value &lt;0.001. Thus, the adjusted model was given by</w:t>
      </w:r>
      <w:proofErr w:type="gramStart"/>
      <w:r w:rsidR="009E01AB" w:rsidRPr="00393475">
        <w:rPr>
          <w:lang w:val="en-US"/>
        </w:rPr>
        <w:t>:</w:t>
      </w:r>
      <w:r w:rsidR="00707054" w:rsidRPr="00393475">
        <w:rPr>
          <w:lang w:val="en-US"/>
        </w:rPr>
        <w:t xml:space="preserve"> </w:t>
      </w:r>
      <w:proofErr w:type="gramEnd"/>
      <w:r w:rsidR="009E01AB" w:rsidRPr="0056123C">
        <w:rPr>
          <w:position w:val="-12"/>
        </w:rPr>
        <w:object w:dxaOrig="2880" w:dyaOrig="360">
          <v:shape id="_x0000_i1032" type="#_x0000_t75" style="width:2in;height:18pt" o:ole="">
            <v:imagedata r:id="rId20" o:title=""/>
          </v:shape>
          <o:OLEObject Type="Embed" ProgID="Equation.DSMT4" ShapeID="_x0000_i1032" DrawAspect="Content" ObjectID="_1580566897" r:id="rId21"/>
        </w:object>
      </w:r>
      <w:r w:rsidR="00707054" w:rsidRPr="00393475">
        <w:rPr>
          <w:lang w:val="en-US"/>
        </w:rPr>
        <w:t xml:space="preserve">. </w:t>
      </w:r>
      <w:r w:rsidRPr="00393475">
        <w:rPr>
          <w:lang w:val="en-US"/>
        </w:rPr>
        <w:t xml:space="preserve">The assumptions of normality and independence of residues </w:t>
      </w:r>
      <w:proofErr w:type="gramStart"/>
      <w:r w:rsidRPr="00393475">
        <w:rPr>
          <w:lang w:val="en-US"/>
        </w:rPr>
        <w:t>were also analyzed</w:t>
      </w:r>
      <w:proofErr w:type="gramEnd"/>
      <w:r w:rsidRPr="00393475">
        <w:rPr>
          <w:lang w:val="en-US"/>
        </w:rPr>
        <w:t xml:space="preserve">. By the Shapiro-Wilk </w:t>
      </w:r>
      <w:proofErr w:type="gramStart"/>
      <w:r w:rsidRPr="00393475">
        <w:rPr>
          <w:lang w:val="en-US"/>
        </w:rPr>
        <w:t>test</w:t>
      </w:r>
      <w:r w:rsidR="009E01AB" w:rsidRPr="00393475">
        <w:rPr>
          <w:vertAlign w:val="superscript"/>
          <w:lang w:val="en-US"/>
        </w:rPr>
        <w:t>(</w:t>
      </w:r>
      <w:proofErr w:type="gramEnd"/>
      <w:r w:rsidR="009E01AB" w:rsidRPr="00393475">
        <w:rPr>
          <w:vertAlign w:val="superscript"/>
          <w:lang w:val="en-US"/>
        </w:rPr>
        <w:t>10)</w:t>
      </w:r>
      <w:r w:rsidR="009E01AB" w:rsidRPr="00393475">
        <w:rPr>
          <w:lang w:val="en-US"/>
        </w:rPr>
        <w:t xml:space="preserve"> (</w:t>
      </w:r>
      <w:r w:rsidRPr="00393475">
        <w:rPr>
          <w:lang w:val="en-US"/>
        </w:rPr>
        <w:t>p-value = 0.067), it was not rejected the hypothesis that the residuals follow normal distribution and in order to verify the absence of autocorrelation the Durbin-Watson test</w:t>
      </w:r>
      <w:r w:rsidR="009E01AB" w:rsidRPr="00393475">
        <w:rPr>
          <w:vertAlign w:val="superscript"/>
          <w:lang w:val="en-US"/>
        </w:rPr>
        <w:t xml:space="preserve">(11) </w:t>
      </w:r>
      <w:r w:rsidR="009E01AB" w:rsidRPr="00393475">
        <w:rPr>
          <w:lang w:val="en-US"/>
        </w:rPr>
        <w:t>(p-val</w:t>
      </w:r>
      <w:r w:rsidRPr="00393475">
        <w:rPr>
          <w:lang w:val="en-US"/>
        </w:rPr>
        <w:t>ue</w:t>
      </w:r>
      <w:r w:rsidR="009E01AB" w:rsidRPr="00393475">
        <w:rPr>
          <w:lang w:val="en-US"/>
        </w:rPr>
        <w:t>= 0</w:t>
      </w:r>
      <w:r w:rsidRPr="00393475">
        <w:rPr>
          <w:lang w:val="en-US"/>
        </w:rPr>
        <w:t>.</w:t>
      </w:r>
      <w:r w:rsidR="009E01AB" w:rsidRPr="00393475">
        <w:rPr>
          <w:lang w:val="en-US"/>
        </w:rPr>
        <w:t>450)</w:t>
      </w:r>
      <w:r w:rsidRPr="00393475">
        <w:rPr>
          <w:lang w:val="en-US"/>
        </w:rPr>
        <w:t xml:space="preserve"> was used</w:t>
      </w:r>
      <w:r w:rsidR="00707054" w:rsidRPr="00393475">
        <w:rPr>
          <w:lang w:val="en-US"/>
        </w:rPr>
        <w:t>,</w:t>
      </w:r>
      <w:r w:rsidR="009E01AB" w:rsidRPr="00393475">
        <w:rPr>
          <w:lang w:val="en-US"/>
        </w:rPr>
        <w:t xml:space="preserve"> </w:t>
      </w:r>
      <w:r w:rsidRPr="00393475">
        <w:rPr>
          <w:lang w:val="en-US"/>
        </w:rPr>
        <w:t>which did not reject the hypothesis of null autocorrelation</w:t>
      </w:r>
      <w:r w:rsidR="009E01AB" w:rsidRPr="00393475">
        <w:rPr>
          <w:lang w:val="en-US"/>
        </w:rPr>
        <w:t>.</w:t>
      </w:r>
    </w:p>
    <w:p w:rsidR="009E01AB" w:rsidRPr="00393475" w:rsidRDefault="009E01AB" w:rsidP="00DA1E0A">
      <w:pPr>
        <w:spacing w:line="480" w:lineRule="auto"/>
        <w:jc w:val="both"/>
        <w:rPr>
          <w:b/>
          <w:lang w:val="en-US"/>
        </w:rPr>
      </w:pPr>
      <w:r w:rsidRPr="00393475">
        <w:rPr>
          <w:b/>
          <w:lang w:val="en-US"/>
        </w:rPr>
        <w:t>DISCUSS</w:t>
      </w:r>
      <w:r w:rsidR="002B102F" w:rsidRPr="00393475">
        <w:rPr>
          <w:b/>
          <w:lang w:val="en-US"/>
        </w:rPr>
        <w:t>ION</w:t>
      </w:r>
    </w:p>
    <w:p w:rsidR="009E01AB" w:rsidRPr="00393475" w:rsidRDefault="00072B6A" w:rsidP="00DA1E0A">
      <w:pPr>
        <w:spacing w:line="480" w:lineRule="auto"/>
        <w:ind w:firstLine="709"/>
        <w:jc w:val="both"/>
        <w:rPr>
          <w:lang w:val="en-US"/>
        </w:rPr>
      </w:pPr>
      <w:r w:rsidRPr="00393475">
        <w:rPr>
          <w:lang w:val="en-US"/>
        </w:rPr>
        <w:t xml:space="preserve">Among the components of external causes, traffic accidents contribute significantly to extremely high mortality in all societies, affecting all individuals without distinction. These events constitute a </w:t>
      </w:r>
      <w:r w:rsidR="00FF4FEA" w:rsidRPr="00393475">
        <w:rPr>
          <w:lang w:val="en-US"/>
        </w:rPr>
        <w:t xml:space="preserve">great magnitude </w:t>
      </w:r>
      <w:r w:rsidRPr="00393475">
        <w:rPr>
          <w:lang w:val="en-US"/>
        </w:rPr>
        <w:t>phenomenon and involve a complex dynamics between host (man), agent (vehicle) and the environment (</w:t>
      </w:r>
      <w:r w:rsidR="00B870CE" w:rsidRPr="00393475">
        <w:rPr>
          <w:lang w:val="en-US"/>
        </w:rPr>
        <w:t>highway</w:t>
      </w:r>
      <w:proofErr w:type="gramStart"/>
      <w:r w:rsidR="009E01AB" w:rsidRPr="00393475">
        <w:rPr>
          <w:lang w:val="en-US"/>
        </w:rPr>
        <w:t>)</w:t>
      </w:r>
      <w:r w:rsidR="009E01AB" w:rsidRPr="00393475">
        <w:rPr>
          <w:vertAlign w:val="superscript"/>
          <w:lang w:val="en-US"/>
        </w:rPr>
        <w:t>(</w:t>
      </w:r>
      <w:proofErr w:type="gramEnd"/>
      <w:r w:rsidR="009E01AB" w:rsidRPr="00393475">
        <w:rPr>
          <w:vertAlign w:val="superscript"/>
          <w:lang w:val="en-US"/>
        </w:rPr>
        <w:t>1,5)</w:t>
      </w:r>
      <w:r w:rsidR="009E01AB" w:rsidRPr="00393475">
        <w:rPr>
          <w:lang w:val="en-US"/>
        </w:rPr>
        <w:t xml:space="preserve">, </w:t>
      </w:r>
      <w:r w:rsidR="00FF4FEA" w:rsidRPr="00393475">
        <w:rPr>
          <w:lang w:val="en-US"/>
        </w:rPr>
        <w:t>thus creating a worrying and critical point in world mortality statistics</w:t>
      </w:r>
      <w:r w:rsidR="009E01AB" w:rsidRPr="00393475">
        <w:rPr>
          <w:lang w:val="en-US"/>
        </w:rPr>
        <w:t>.</w:t>
      </w:r>
    </w:p>
    <w:p w:rsidR="009E01AB" w:rsidRPr="00393475" w:rsidRDefault="00FF4FEA" w:rsidP="00DA1E0A">
      <w:pPr>
        <w:spacing w:line="480" w:lineRule="auto"/>
        <w:ind w:firstLine="709"/>
        <w:jc w:val="both"/>
        <w:rPr>
          <w:lang w:val="en-US"/>
        </w:rPr>
      </w:pPr>
      <w:r w:rsidRPr="00393475">
        <w:rPr>
          <w:lang w:val="en-US"/>
        </w:rPr>
        <w:t xml:space="preserve">The data from this study confirmed once again the absolute prevalence of deaths among males, similar to other studies in which the predominance of the mortality of men in traffic accidents exceeded </w:t>
      </w:r>
      <w:proofErr w:type="gramStart"/>
      <w:r w:rsidRPr="00393475">
        <w:rPr>
          <w:lang w:val="en-US"/>
        </w:rPr>
        <w:t>70.0%</w:t>
      </w:r>
      <w:proofErr w:type="gramEnd"/>
      <w:r w:rsidR="009E01AB" w:rsidRPr="00393475">
        <w:rPr>
          <w:vertAlign w:val="superscript"/>
          <w:lang w:val="en-US"/>
        </w:rPr>
        <w:t>(1,12)</w:t>
      </w:r>
      <w:r w:rsidR="009E01AB" w:rsidRPr="00393475">
        <w:rPr>
          <w:lang w:val="en-US"/>
        </w:rPr>
        <w:t xml:space="preserve">. </w:t>
      </w:r>
      <w:r w:rsidRPr="00393475">
        <w:rPr>
          <w:rStyle w:val="apple-converted-space"/>
          <w:color w:val="000000"/>
          <w:shd w:val="clear" w:color="auto" w:fill="FFFFFF"/>
          <w:lang w:val="en-US"/>
        </w:rPr>
        <w:t>Risk behaviors such as alcohol and drug use, excessive speed and the non-use of personal protective equipment may justify the greater involvement of males in severe traffic accidents</w:t>
      </w:r>
      <w:r w:rsidR="009E01AB" w:rsidRPr="00393475">
        <w:rPr>
          <w:rStyle w:val="apple-converted-space"/>
          <w:color w:val="000000"/>
          <w:shd w:val="clear" w:color="auto" w:fill="FFFFFF"/>
          <w:lang w:val="en-US"/>
        </w:rPr>
        <w:t>.</w:t>
      </w:r>
    </w:p>
    <w:p w:rsidR="009E01AB" w:rsidRPr="00393475" w:rsidRDefault="009E01AB" w:rsidP="00DA1E0A">
      <w:pPr>
        <w:autoSpaceDE w:val="0"/>
        <w:autoSpaceDN w:val="0"/>
        <w:adjustRightInd w:val="0"/>
        <w:spacing w:line="480" w:lineRule="auto"/>
        <w:jc w:val="both"/>
        <w:rPr>
          <w:lang w:val="en-US"/>
        </w:rPr>
      </w:pPr>
      <w:r w:rsidRPr="00393475">
        <w:rPr>
          <w:lang w:val="en-US"/>
        </w:rPr>
        <w:tab/>
      </w:r>
      <w:r w:rsidR="00FF4FEA" w:rsidRPr="00393475">
        <w:rPr>
          <w:lang w:val="en-US"/>
        </w:rPr>
        <w:t xml:space="preserve">In the present study, approximately half of the victims (48.36%) were young individuals, aged between 20 and 39 years. The lowest percentage of deaths </w:t>
      </w:r>
      <w:proofErr w:type="gramStart"/>
      <w:r w:rsidR="00FF4FEA" w:rsidRPr="00393475">
        <w:rPr>
          <w:lang w:val="en-US"/>
        </w:rPr>
        <w:t xml:space="preserve">were </w:t>
      </w:r>
      <w:r w:rsidR="00FF4FEA" w:rsidRPr="00393475">
        <w:rPr>
          <w:lang w:val="en-US"/>
        </w:rPr>
        <w:lastRenderedPageBreak/>
        <w:t>observed</w:t>
      </w:r>
      <w:proofErr w:type="gramEnd"/>
      <w:r w:rsidR="00FF4FEA" w:rsidRPr="00393475">
        <w:rPr>
          <w:lang w:val="en-US"/>
        </w:rPr>
        <w:t xml:space="preserve"> in the extreme age groups between 0 and 14 years old (6.79%) and individuals aged ≥60 years (9.79%). In Spain, data from a study revealed that of the total number of men killed </w:t>
      </w:r>
      <w:r w:rsidR="00930FB2" w:rsidRPr="00393475">
        <w:rPr>
          <w:lang w:val="en-US"/>
        </w:rPr>
        <w:t>in</w:t>
      </w:r>
      <w:r w:rsidR="00FF4FEA" w:rsidRPr="00393475">
        <w:rPr>
          <w:lang w:val="en-US"/>
        </w:rPr>
        <w:t xml:space="preserve"> traffic accidents, 2.4% were aged between 0 and 14 years, 47.1% between 15 and 34 years and 32.7% between 35 and 64 years. In the group of individuals aged ≥ 65 years, they were 17.8%. Among women, 37.4% were aged between 15 and 34 years, 26.1% between 35 and 64 years and 31.0% </w:t>
      </w:r>
      <w:r w:rsidR="000728AD" w:rsidRPr="00393475">
        <w:rPr>
          <w:lang w:val="en-US"/>
        </w:rPr>
        <w:t xml:space="preserve">were </w:t>
      </w:r>
      <w:r w:rsidR="00FF4FEA" w:rsidRPr="00393475">
        <w:rPr>
          <w:lang w:val="en-US"/>
        </w:rPr>
        <w:t>65 years or more</w:t>
      </w:r>
      <w:r w:rsidRPr="00393475">
        <w:rPr>
          <w:vertAlign w:val="superscript"/>
          <w:lang w:val="en-US"/>
        </w:rPr>
        <w:t>(1)</w:t>
      </w:r>
      <w:r w:rsidRPr="00393475">
        <w:rPr>
          <w:lang w:val="en-US"/>
        </w:rPr>
        <w:t>.</w:t>
      </w:r>
    </w:p>
    <w:p w:rsidR="009E01AB" w:rsidRPr="00393475" w:rsidRDefault="000728AD" w:rsidP="00DA1E0A">
      <w:pPr>
        <w:autoSpaceDE w:val="0"/>
        <w:autoSpaceDN w:val="0"/>
        <w:adjustRightInd w:val="0"/>
        <w:spacing w:line="480" w:lineRule="auto"/>
        <w:ind w:firstLine="709"/>
        <w:jc w:val="both"/>
        <w:rPr>
          <w:lang w:val="en-US"/>
        </w:rPr>
      </w:pPr>
      <w:r w:rsidRPr="00393475">
        <w:rPr>
          <w:lang w:val="en-US"/>
        </w:rPr>
        <w:t>Results of a study</w:t>
      </w:r>
      <w:r w:rsidR="009E01AB" w:rsidRPr="00393475">
        <w:rPr>
          <w:vertAlign w:val="superscript"/>
          <w:lang w:val="en-US"/>
        </w:rPr>
        <w:t>(12)</w:t>
      </w:r>
      <w:r w:rsidR="009E01AB" w:rsidRPr="00393475">
        <w:rPr>
          <w:lang w:val="en-US"/>
        </w:rPr>
        <w:t xml:space="preserve"> </w:t>
      </w:r>
      <w:r w:rsidRPr="00393475">
        <w:rPr>
          <w:lang w:val="en-US"/>
        </w:rPr>
        <w:t xml:space="preserve">conducted in </w:t>
      </w:r>
      <w:proofErr w:type="spellStart"/>
      <w:r w:rsidRPr="00393475">
        <w:rPr>
          <w:lang w:val="en-US"/>
        </w:rPr>
        <w:t>Maringá</w:t>
      </w:r>
      <w:proofErr w:type="spellEnd"/>
      <w:r w:rsidRPr="00393475">
        <w:rPr>
          <w:lang w:val="en-US"/>
        </w:rPr>
        <w:t xml:space="preserve"> revealed that mortality was concentrated between the ages of 20 and 39 years, followed by the age group from 40 to 59 years. Men presented a 4.2 times greater chance of death due to traffic accidents when compared to women</w:t>
      </w:r>
      <w:r w:rsidR="009E01AB" w:rsidRPr="00393475">
        <w:rPr>
          <w:color w:val="000000"/>
          <w:shd w:val="clear" w:color="auto" w:fill="FFFFFF"/>
          <w:lang w:val="en-US"/>
        </w:rPr>
        <w:t>.</w:t>
      </w:r>
      <w:r w:rsidR="009E01AB" w:rsidRPr="00393475">
        <w:rPr>
          <w:lang w:val="en-US"/>
        </w:rPr>
        <w:t xml:space="preserve"> </w:t>
      </w:r>
    </w:p>
    <w:p w:rsidR="009E01AB" w:rsidRPr="00393475" w:rsidRDefault="000728AD" w:rsidP="00DA1E0A">
      <w:pPr>
        <w:autoSpaceDE w:val="0"/>
        <w:autoSpaceDN w:val="0"/>
        <w:adjustRightInd w:val="0"/>
        <w:spacing w:line="480" w:lineRule="auto"/>
        <w:ind w:firstLine="709"/>
        <w:jc w:val="both"/>
        <w:rPr>
          <w:lang w:val="en-US"/>
        </w:rPr>
      </w:pPr>
      <w:proofErr w:type="gramStart"/>
      <w:r w:rsidRPr="00393475">
        <w:rPr>
          <w:lang w:val="en-US"/>
        </w:rPr>
        <w:t>The greater mortality of young individuals due to traffic accidents can be a result of several factors: lower adherence of this group to prevention and safety measures, search for excitement at excessive speeds, impulsivity, alcohol and drug use, inexperience, adoption of behavior risk, disobedience to traffic laws, lack of ability to perceive danger and solve problems, overconfidence and the false impression that the motor vehicle is synonymous with freedom, adventure and challenges</w:t>
      </w:r>
      <w:r w:rsidR="009E01AB" w:rsidRPr="00393475">
        <w:rPr>
          <w:vertAlign w:val="superscript"/>
          <w:lang w:val="en-US"/>
        </w:rPr>
        <w:t>(13)</w:t>
      </w:r>
      <w:r w:rsidR="009E01AB" w:rsidRPr="00393475">
        <w:rPr>
          <w:lang w:val="en-US"/>
        </w:rPr>
        <w:t>.</w:t>
      </w:r>
      <w:proofErr w:type="gramEnd"/>
    </w:p>
    <w:p w:rsidR="009E01AB" w:rsidRPr="00393475" w:rsidRDefault="009E01AB" w:rsidP="00DA1E0A">
      <w:pPr>
        <w:pStyle w:val="NormalWeb"/>
        <w:spacing w:before="0" w:beforeAutospacing="0" w:after="0" w:afterAutospacing="0" w:line="480" w:lineRule="auto"/>
        <w:jc w:val="both"/>
        <w:rPr>
          <w:b/>
          <w:color w:val="FF0000"/>
          <w:lang w:val="en-US"/>
        </w:rPr>
      </w:pPr>
      <w:r w:rsidRPr="00393475">
        <w:rPr>
          <w:lang w:val="en-US"/>
        </w:rPr>
        <w:tab/>
      </w:r>
      <w:r w:rsidR="000728AD" w:rsidRPr="00393475">
        <w:rPr>
          <w:lang w:val="en-US"/>
        </w:rPr>
        <w:t xml:space="preserve">It was also observed in this study that the highest proportion of deaths were among  white individuals (81.52%), with schooling between 8 and 11 years (28.54%) and singles (44.30%). Regarding race/color, it is important to mention that this variable </w:t>
      </w:r>
      <w:proofErr w:type="gramStart"/>
      <w:r w:rsidR="000728AD" w:rsidRPr="00393475">
        <w:rPr>
          <w:lang w:val="en-US"/>
        </w:rPr>
        <w:t>is directly related</w:t>
      </w:r>
      <w:proofErr w:type="gramEnd"/>
      <w:r w:rsidR="000728AD" w:rsidRPr="00393475">
        <w:rPr>
          <w:lang w:val="en-US"/>
        </w:rPr>
        <w:t xml:space="preserve"> to the characteristics of the population, differing between the various regions of the country. In the state of Paraná, according to the demographic census of 2010, white individuals accounted for 70.05% of the </w:t>
      </w:r>
      <w:proofErr w:type="gramStart"/>
      <w:r w:rsidR="000728AD" w:rsidRPr="00393475">
        <w:rPr>
          <w:lang w:val="en-US"/>
        </w:rPr>
        <w:t>population</w:t>
      </w:r>
      <w:r w:rsidRPr="00393475">
        <w:rPr>
          <w:vertAlign w:val="superscript"/>
          <w:lang w:val="en-US"/>
        </w:rPr>
        <w:t>(</w:t>
      </w:r>
      <w:proofErr w:type="gramEnd"/>
      <w:r w:rsidRPr="00393475">
        <w:rPr>
          <w:vertAlign w:val="superscript"/>
          <w:lang w:val="en-US"/>
        </w:rPr>
        <w:t>14)</w:t>
      </w:r>
      <w:r w:rsidRPr="00393475">
        <w:rPr>
          <w:lang w:val="en-US"/>
        </w:rPr>
        <w:t xml:space="preserve">. </w:t>
      </w:r>
      <w:r w:rsidR="000728AD" w:rsidRPr="00393475">
        <w:rPr>
          <w:lang w:val="en-US"/>
        </w:rPr>
        <w:t xml:space="preserve">In the municipality of </w:t>
      </w:r>
      <w:proofErr w:type="spellStart"/>
      <w:r w:rsidR="000728AD" w:rsidRPr="00393475">
        <w:rPr>
          <w:lang w:val="en-US"/>
        </w:rPr>
        <w:t>Maringá</w:t>
      </w:r>
      <w:proofErr w:type="spellEnd"/>
      <w:r w:rsidR="000728AD" w:rsidRPr="00393475">
        <w:rPr>
          <w:lang w:val="en-US"/>
        </w:rPr>
        <w:t xml:space="preserve">, these were </w:t>
      </w:r>
      <w:proofErr w:type="gramStart"/>
      <w:r w:rsidR="000728AD" w:rsidRPr="00393475">
        <w:rPr>
          <w:lang w:val="en-US"/>
        </w:rPr>
        <w:t>64.19%</w:t>
      </w:r>
      <w:proofErr w:type="gramEnd"/>
      <w:r w:rsidRPr="00393475">
        <w:rPr>
          <w:vertAlign w:val="superscript"/>
          <w:lang w:val="en-US"/>
        </w:rPr>
        <w:t>(14)</w:t>
      </w:r>
      <w:r w:rsidRPr="00393475">
        <w:rPr>
          <w:b/>
          <w:lang w:val="en-US"/>
        </w:rPr>
        <w:t xml:space="preserve">. </w:t>
      </w:r>
    </w:p>
    <w:p w:rsidR="009E01AB" w:rsidRPr="00393475" w:rsidRDefault="000728AD" w:rsidP="00DA1E0A">
      <w:pPr>
        <w:pStyle w:val="NormalWeb"/>
        <w:spacing w:before="0" w:beforeAutospacing="0" w:after="0" w:afterAutospacing="0" w:line="480" w:lineRule="auto"/>
        <w:ind w:firstLine="709"/>
        <w:jc w:val="both"/>
        <w:rPr>
          <w:lang w:val="en-US"/>
        </w:rPr>
      </w:pPr>
      <w:r w:rsidRPr="00393475">
        <w:rPr>
          <w:lang w:val="en-US"/>
        </w:rPr>
        <w:t xml:space="preserve">The greater involvement of white individuals in traffic events was also evidenced in other </w:t>
      </w:r>
      <w:proofErr w:type="gramStart"/>
      <w:r w:rsidRPr="00393475">
        <w:rPr>
          <w:lang w:val="en-US"/>
        </w:rPr>
        <w:t>studies</w:t>
      </w:r>
      <w:r w:rsidR="009E01AB" w:rsidRPr="00393475">
        <w:rPr>
          <w:vertAlign w:val="superscript"/>
          <w:lang w:val="en-US"/>
        </w:rPr>
        <w:t>(</w:t>
      </w:r>
      <w:proofErr w:type="gramEnd"/>
      <w:r w:rsidR="009E01AB" w:rsidRPr="00393475">
        <w:rPr>
          <w:vertAlign w:val="superscript"/>
          <w:lang w:val="en-US"/>
        </w:rPr>
        <w:t>12,15)</w:t>
      </w:r>
      <w:r w:rsidR="009E01AB" w:rsidRPr="00393475">
        <w:rPr>
          <w:lang w:val="en-US"/>
        </w:rPr>
        <w:t xml:space="preserve">. </w:t>
      </w:r>
      <w:r w:rsidRPr="00393475">
        <w:rPr>
          <w:lang w:val="en-US"/>
        </w:rPr>
        <w:t xml:space="preserve">Among brown and black individuals, deaths totaled 38.0% and </w:t>
      </w:r>
      <w:r w:rsidRPr="00393475">
        <w:rPr>
          <w:lang w:val="en-US"/>
        </w:rPr>
        <w:lastRenderedPageBreak/>
        <w:t xml:space="preserve">among indigenous and yellow people, 0.5%, following the race/color distribution pattern of the </w:t>
      </w:r>
      <w:proofErr w:type="gramStart"/>
      <w:r w:rsidRPr="00393475">
        <w:rPr>
          <w:lang w:val="en-US"/>
        </w:rPr>
        <w:t>population</w:t>
      </w:r>
      <w:r w:rsidR="009E01AB" w:rsidRPr="00393475">
        <w:rPr>
          <w:vertAlign w:val="superscript"/>
          <w:lang w:val="en-US"/>
        </w:rPr>
        <w:t>(</w:t>
      </w:r>
      <w:proofErr w:type="gramEnd"/>
      <w:r w:rsidR="009E01AB" w:rsidRPr="00393475">
        <w:rPr>
          <w:vertAlign w:val="superscript"/>
          <w:lang w:val="en-US"/>
        </w:rPr>
        <w:t>12)</w:t>
      </w:r>
      <w:r w:rsidR="009E01AB" w:rsidRPr="00393475">
        <w:rPr>
          <w:lang w:val="en-US"/>
        </w:rPr>
        <w:t xml:space="preserve">. </w:t>
      </w:r>
      <w:r w:rsidRPr="00393475">
        <w:rPr>
          <w:lang w:val="en-US"/>
        </w:rPr>
        <w:t xml:space="preserve">This same </w:t>
      </w:r>
      <w:proofErr w:type="gramStart"/>
      <w:r w:rsidRPr="00393475">
        <w:rPr>
          <w:lang w:val="en-US"/>
        </w:rPr>
        <w:t>research</w:t>
      </w:r>
      <w:r w:rsidR="009E01AB" w:rsidRPr="00393475">
        <w:rPr>
          <w:vertAlign w:val="superscript"/>
          <w:lang w:val="en-US"/>
        </w:rPr>
        <w:t>(</w:t>
      </w:r>
      <w:proofErr w:type="gramEnd"/>
      <w:r w:rsidR="009E01AB" w:rsidRPr="00393475">
        <w:rPr>
          <w:vertAlign w:val="superscript"/>
          <w:lang w:val="en-US"/>
        </w:rPr>
        <w:t>12)</w:t>
      </w:r>
      <w:r w:rsidRPr="00393475">
        <w:rPr>
          <w:lang w:val="en-US"/>
        </w:rPr>
        <w:t xml:space="preserve"> identified that of the individuals with information about schooling (58.0%), 35.0% had up to four years of study. The percentage of deaths of individuals with more than four years of study was higher among whites and yellows (40.0% and 47.0%, respectively</w:t>
      </w:r>
      <w:r w:rsidR="009E01AB" w:rsidRPr="00393475">
        <w:rPr>
          <w:lang w:val="en-US"/>
        </w:rPr>
        <w:t xml:space="preserve">). </w:t>
      </w:r>
    </w:p>
    <w:p w:rsidR="009E01AB" w:rsidRPr="00393475" w:rsidRDefault="000728AD" w:rsidP="00DA1E0A">
      <w:pPr>
        <w:autoSpaceDE w:val="0"/>
        <w:autoSpaceDN w:val="0"/>
        <w:adjustRightInd w:val="0"/>
        <w:spacing w:line="480" w:lineRule="auto"/>
        <w:ind w:firstLine="709"/>
        <w:jc w:val="both"/>
        <w:rPr>
          <w:lang w:val="en-US"/>
        </w:rPr>
      </w:pPr>
      <w:r w:rsidRPr="00393475">
        <w:rPr>
          <w:lang w:val="en-US"/>
        </w:rPr>
        <w:t xml:space="preserve">As for single individuals, it is assumed that they are more likely to suffer serious or fatal accidents, probably because of the increased adoption of risk behaviors, use of alcoholic beverages and drugs and the non-use of safety </w:t>
      </w:r>
      <w:proofErr w:type="gramStart"/>
      <w:r w:rsidRPr="00393475">
        <w:rPr>
          <w:lang w:val="en-US"/>
        </w:rPr>
        <w:t>equipment</w:t>
      </w:r>
      <w:r w:rsidR="009E01AB" w:rsidRPr="00393475">
        <w:rPr>
          <w:vertAlign w:val="superscript"/>
          <w:lang w:val="en-US"/>
        </w:rPr>
        <w:t>(</w:t>
      </w:r>
      <w:proofErr w:type="gramEnd"/>
      <w:r w:rsidR="009E01AB" w:rsidRPr="00393475">
        <w:rPr>
          <w:vertAlign w:val="superscript"/>
          <w:lang w:val="en-US"/>
        </w:rPr>
        <w:t>13)</w:t>
      </w:r>
      <w:r w:rsidR="009E01AB" w:rsidRPr="00393475">
        <w:rPr>
          <w:lang w:val="en-US"/>
        </w:rPr>
        <w:t xml:space="preserve">. </w:t>
      </w:r>
      <w:r w:rsidR="005915EB" w:rsidRPr="00393475">
        <w:rPr>
          <w:lang w:val="en-US"/>
        </w:rPr>
        <w:t xml:space="preserve">Other </w:t>
      </w:r>
      <w:proofErr w:type="gramStart"/>
      <w:r w:rsidR="005915EB" w:rsidRPr="00393475">
        <w:rPr>
          <w:lang w:val="en-US"/>
        </w:rPr>
        <w:t>authors</w:t>
      </w:r>
      <w:r w:rsidR="009E01AB" w:rsidRPr="00393475">
        <w:rPr>
          <w:vertAlign w:val="superscript"/>
          <w:lang w:val="en-US"/>
        </w:rPr>
        <w:t>(</w:t>
      </w:r>
      <w:proofErr w:type="gramEnd"/>
      <w:r w:rsidR="009E01AB" w:rsidRPr="00393475">
        <w:rPr>
          <w:vertAlign w:val="superscript"/>
          <w:lang w:val="en-US"/>
        </w:rPr>
        <w:t>16)</w:t>
      </w:r>
      <w:r w:rsidR="009E01AB" w:rsidRPr="00393475">
        <w:rPr>
          <w:lang w:val="en-US"/>
        </w:rPr>
        <w:t xml:space="preserve"> </w:t>
      </w:r>
      <w:r w:rsidR="00A373AF" w:rsidRPr="00393475">
        <w:rPr>
          <w:lang w:val="en-US"/>
        </w:rPr>
        <w:t>still consider the fact that single people generally do not have established families and established life plans, thus being more likely to be involved in risk situations, in addition to the social values and beliefs of male invulnerability</w:t>
      </w:r>
      <w:r w:rsidR="009E01AB" w:rsidRPr="00393475">
        <w:rPr>
          <w:lang w:val="en-US"/>
        </w:rPr>
        <w:t>.</w:t>
      </w:r>
    </w:p>
    <w:p w:rsidR="009E01AB" w:rsidRPr="00393475" w:rsidRDefault="00A373AF" w:rsidP="00DA1E0A">
      <w:pPr>
        <w:pStyle w:val="Recuodecorpodetexto"/>
        <w:spacing w:line="480" w:lineRule="auto"/>
        <w:ind w:left="0" w:firstLine="709"/>
        <w:rPr>
          <w:szCs w:val="24"/>
          <w:lang w:val="en-US"/>
        </w:rPr>
      </w:pPr>
      <w:r w:rsidRPr="00393475">
        <w:rPr>
          <w:szCs w:val="24"/>
          <w:lang w:val="en-US"/>
        </w:rPr>
        <w:t xml:space="preserve">Among the 368 victims who had died, more than half (62.77%) had died on the public highway and 30.98% in the hospital. Other </w:t>
      </w:r>
      <w:proofErr w:type="gramStart"/>
      <w:r w:rsidRPr="00393475">
        <w:rPr>
          <w:szCs w:val="24"/>
          <w:lang w:val="en-US"/>
        </w:rPr>
        <w:t>authors</w:t>
      </w:r>
      <w:r w:rsidR="009E01AB" w:rsidRPr="00393475">
        <w:rPr>
          <w:szCs w:val="24"/>
          <w:vertAlign w:val="superscript"/>
          <w:lang w:val="en-US"/>
        </w:rPr>
        <w:t>(</w:t>
      </w:r>
      <w:proofErr w:type="gramEnd"/>
      <w:r w:rsidR="009E01AB" w:rsidRPr="00393475">
        <w:rPr>
          <w:szCs w:val="24"/>
          <w:vertAlign w:val="superscript"/>
          <w:lang w:val="en-US"/>
        </w:rPr>
        <w:t>15)</w:t>
      </w:r>
      <w:r w:rsidR="00307881" w:rsidRPr="00393475">
        <w:rPr>
          <w:szCs w:val="24"/>
          <w:lang w:val="en-US"/>
        </w:rPr>
        <w:t xml:space="preserve"> </w:t>
      </w:r>
      <w:r w:rsidRPr="00393475">
        <w:rPr>
          <w:szCs w:val="24"/>
          <w:lang w:val="en-US"/>
        </w:rPr>
        <w:t xml:space="preserve">also identified in a study carried out in </w:t>
      </w:r>
      <w:proofErr w:type="spellStart"/>
      <w:r w:rsidRPr="00393475">
        <w:rPr>
          <w:szCs w:val="24"/>
          <w:lang w:val="en-US"/>
        </w:rPr>
        <w:t>Maringá</w:t>
      </w:r>
      <w:proofErr w:type="spellEnd"/>
      <w:r w:rsidRPr="00393475">
        <w:rPr>
          <w:szCs w:val="24"/>
          <w:lang w:val="en-US"/>
        </w:rPr>
        <w:t xml:space="preserve"> that 41.56% of deaths due to traffic accidents had occurred at the scene of the accident and 53.13% during hospitalization</w:t>
      </w:r>
      <w:r w:rsidR="009E01AB" w:rsidRPr="00393475">
        <w:rPr>
          <w:szCs w:val="24"/>
          <w:lang w:val="en-US"/>
        </w:rPr>
        <w:t xml:space="preserve">. </w:t>
      </w:r>
    </w:p>
    <w:p w:rsidR="009E01AB" w:rsidRPr="00393475" w:rsidRDefault="00A373AF" w:rsidP="00DA1E0A">
      <w:pPr>
        <w:pStyle w:val="Recuodecorpodetexto"/>
        <w:spacing w:line="480" w:lineRule="auto"/>
        <w:ind w:left="0" w:firstLine="709"/>
        <w:rPr>
          <w:lang w:val="en-US"/>
        </w:rPr>
      </w:pPr>
      <w:r w:rsidRPr="00393475">
        <w:rPr>
          <w:szCs w:val="24"/>
          <w:lang w:val="en-US"/>
        </w:rPr>
        <w:t xml:space="preserve">Considering that in this study the highest occurrence of deaths took place on the public highway, there is the need of investments and improvements in infrastructure, signage, lighting and adequate supervision, as well as strategies to promote safe traffic, prevention through educational actions and </w:t>
      </w:r>
      <w:proofErr w:type="spellStart"/>
      <w:r w:rsidRPr="00393475">
        <w:rPr>
          <w:szCs w:val="24"/>
          <w:lang w:val="en-US"/>
        </w:rPr>
        <w:t>intersectoral</w:t>
      </w:r>
      <w:proofErr w:type="spellEnd"/>
      <w:r w:rsidRPr="00393475">
        <w:rPr>
          <w:szCs w:val="24"/>
          <w:lang w:val="en-US"/>
        </w:rPr>
        <w:t xml:space="preserve"> actions of all levels of government</w:t>
      </w:r>
      <w:r w:rsidR="009E01AB" w:rsidRPr="00393475">
        <w:rPr>
          <w:szCs w:val="24"/>
          <w:vertAlign w:val="superscript"/>
          <w:lang w:val="en-US"/>
        </w:rPr>
        <w:t>(5)</w:t>
      </w:r>
      <w:r w:rsidR="009E01AB" w:rsidRPr="00393475">
        <w:rPr>
          <w:szCs w:val="24"/>
          <w:lang w:val="en-US"/>
        </w:rPr>
        <w:t xml:space="preserve">. </w:t>
      </w:r>
      <w:r w:rsidRPr="00393475">
        <w:rPr>
          <w:lang w:val="en-US"/>
        </w:rPr>
        <w:t>The social losses of high mortality in traffic accidents are related to the potential years of life lost and high costs to the health systems, family and society</w:t>
      </w:r>
      <w:r w:rsidR="009E01AB" w:rsidRPr="00393475">
        <w:rPr>
          <w:vertAlign w:val="superscript"/>
          <w:lang w:val="en-US"/>
        </w:rPr>
        <w:t>(1)</w:t>
      </w:r>
      <w:r w:rsidR="009E01AB" w:rsidRPr="00393475">
        <w:rPr>
          <w:lang w:val="en-US"/>
        </w:rPr>
        <w:t>.</w:t>
      </w:r>
    </w:p>
    <w:p w:rsidR="009E01AB" w:rsidRPr="00393475" w:rsidRDefault="00A373AF" w:rsidP="00DA1E0A">
      <w:pPr>
        <w:pStyle w:val="Recuodecorpodetexto"/>
        <w:spacing w:line="480" w:lineRule="auto"/>
        <w:ind w:left="0" w:firstLine="709"/>
        <w:rPr>
          <w:lang w:val="en-US"/>
        </w:rPr>
      </w:pPr>
      <w:r w:rsidRPr="00393475">
        <w:rPr>
          <w:lang w:val="en-US"/>
        </w:rPr>
        <w:t xml:space="preserve">In the present study, there was no relation of victims with work activities. However, it should be noted that, in general, many individuals work informally, transporting goods, products and passengers. Workers without a formal employment relationship are subject to long working hours, without rest periods, low pay, excessive </w:t>
      </w:r>
      <w:r w:rsidRPr="00393475">
        <w:rPr>
          <w:lang w:val="en-US"/>
        </w:rPr>
        <w:lastRenderedPageBreak/>
        <w:t>workload, physical and emotional health impairment, and limitation and worsening of quality of life, as well as conflicting relationships between work and personal life, resulting in involvement in fatal accidents</w:t>
      </w:r>
      <w:r w:rsidR="009E01AB" w:rsidRPr="00393475">
        <w:rPr>
          <w:vertAlign w:val="superscript"/>
          <w:lang w:val="en-US"/>
        </w:rPr>
        <w:t>(17)</w:t>
      </w:r>
      <w:r w:rsidR="009E01AB" w:rsidRPr="00393475">
        <w:rPr>
          <w:lang w:val="en-US"/>
        </w:rPr>
        <w:t xml:space="preserve">. </w:t>
      </w:r>
    </w:p>
    <w:p w:rsidR="009E01AB" w:rsidRPr="00393475" w:rsidRDefault="009E01AB" w:rsidP="00DA1E0A">
      <w:pPr>
        <w:shd w:val="clear" w:color="auto" w:fill="FFFFFF"/>
        <w:spacing w:line="480" w:lineRule="auto"/>
        <w:jc w:val="both"/>
        <w:rPr>
          <w:lang w:val="en-US"/>
        </w:rPr>
      </w:pPr>
      <w:r w:rsidRPr="00393475">
        <w:rPr>
          <w:lang w:val="en-US"/>
        </w:rPr>
        <w:tab/>
      </w:r>
      <w:r w:rsidR="00A373AF" w:rsidRPr="00393475">
        <w:rPr>
          <w:lang w:val="en-US"/>
        </w:rPr>
        <w:t xml:space="preserve">Regarding the type of accident, the largest number of victims </w:t>
      </w:r>
      <w:proofErr w:type="gramStart"/>
      <w:r w:rsidR="00A373AF" w:rsidRPr="00393475">
        <w:rPr>
          <w:lang w:val="en-US"/>
        </w:rPr>
        <w:t>was observed</w:t>
      </w:r>
      <w:proofErr w:type="gramEnd"/>
      <w:r w:rsidR="00A373AF" w:rsidRPr="00393475">
        <w:rPr>
          <w:lang w:val="en-US"/>
        </w:rPr>
        <w:t xml:space="preserve"> in </w:t>
      </w:r>
      <w:r w:rsidR="00CC392F" w:rsidRPr="00393475">
        <w:rPr>
          <w:lang w:val="en-US"/>
        </w:rPr>
        <w:t>collisions with cars</w:t>
      </w:r>
      <w:r w:rsidR="00A373AF" w:rsidRPr="00393475">
        <w:rPr>
          <w:lang w:val="en-US"/>
        </w:rPr>
        <w:t>,</w:t>
      </w:r>
      <w:r w:rsidR="00CC392F" w:rsidRPr="00393475">
        <w:rPr>
          <w:lang w:val="en-US"/>
        </w:rPr>
        <w:t xml:space="preserve"> pick-up</w:t>
      </w:r>
      <w:r w:rsidR="00A373AF" w:rsidRPr="00393475">
        <w:rPr>
          <w:lang w:val="en-US"/>
        </w:rPr>
        <w:t xml:space="preserve"> truck</w:t>
      </w:r>
      <w:r w:rsidR="00CC392F" w:rsidRPr="00393475">
        <w:rPr>
          <w:lang w:val="en-US"/>
        </w:rPr>
        <w:t>s</w:t>
      </w:r>
      <w:r w:rsidR="00A373AF" w:rsidRPr="00393475">
        <w:rPr>
          <w:lang w:val="en-US"/>
        </w:rPr>
        <w:t xml:space="preserve"> or truck. </w:t>
      </w:r>
      <w:r w:rsidR="00CC392F" w:rsidRPr="00393475">
        <w:rPr>
          <w:lang w:val="en-US"/>
        </w:rPr>
        <w:t>Subsequently, o</w:t>
      </w:r>
      <w:r w:rsidR="00A373AF" w:rsidRPr="00393475">
        <w:rPr>
          <w:lang w:val="en-US"/>
        </w:rPr>
        <w:t xml:space="preserve">ther and unspecified accidents were the most frequent. </w:t>
      </w:r>
      <w:r w:rsidR="00CC392F" w:rsidRPr="00393475">
        <w:rPr>
          <w:lang w:val="en-US"/>
        </w:rPr>
        <w:t>C</w:t>
      </w:r>
      <w:r w:rsidR="00A373AF" w:rsidRPr="00393475">
        <w:rPr>
          <w:lang w:val="en-US"/>
        </w:rPr>
        <w:t>ollisions with heavy vehicles</w:t>
      </w:r>
      <w:r w:rsidR="00CC392F" w:rsidRPr="00393475">
        <w:rPr>
          <w:lang w:val="en-US"/>
        </w:rPr>
        <w:t>, often</w:t>
      </w:r>
      <w:r w:rsidR="00A373AF" w:rsidRPr="00393475">
        <w:rPr>
          <w:lang w:val="en-US"/>
        </w:rPr>
        <w:t xml:space="preserve"> considered the most se</w:t>
      </w:r>
      <w:r w:rsidR="00CC392F" w:rsidRPr="00393475">
        <w:rPr>
          <w:lang w:val="en-US"/>
        </w:rPr>
        <w:t>vere</w:t>
      </w:r>
      <w:r w:rsidR="00A373AF" w:rsidRPr="00393475">
        <w:rPr>
          <w:lang w:val="en-US"/>
        </w:rPr>
        <w:t xml:space="preserve">, were responsible for 15.49% of the victims. Collisions between moving vehicles are responsible for a high percentage of fatalities and serious injuries. Authors identified in a </w:t>
      </w:r>
      <w:proofErr w:type="gramStart"/>
      <w:r w:rsidR="00A373AF" w:rsidRPr="00393475">
        <w:rPr>
          <w:lang w:val="en-US"/>
        </w:rPr>
        <w:t>study</w:t>
      </w:r>
      <w:r w:rsidRPr="00393475">
        <w:rPr>
          <w:vertAlign w:val="superscript"/>
          <w:lang w:val="en-US"/>
        </w:rPr>
        <w:t>(</w:t>
      </w:r>
      <w:proofErr w:type="gramEnd"/>
      <w:r w:rsidRPr="00393475">
        <w:rPr>
          <w:vertAlign w:val="superscript"/>
          <w:lang w:val="en-US"/>
        </w:rPr>
        <w:t>16)</w:t>
      </w:r>
      <w:r w:rsidRPr="00393475">
        <w:rPr>
          <w:lang w:val="en-US"/>
        </w:rPr>
        <w:t xml:space="preserve"> </w:t>
      </w:r>
      <w:r w:rsidR="00CC392F" w:rsidRPr="00393475">
        <w:rPr>
          <w:lang w:val="en-US"/>
        </w:rPr>
        <w:t xml:space="preserve">conducted in </w:t>
      </w:r>
      <w:proofErr w:type="spellStart"/>
      <w:r w:rsidR="00CC392F" w:rsidRPr="00393475">
        <w:rPr>
          <w:lang w:val="en-US"/>
        </w:rPr>
        <w:t>Maringá</w:t>
      </w:r>
      <w:proofErr w:type="spellEnd"/>
      <w:r w:rsidR="00CC392F" w:rsidRPr="00393475">
        <w:rPr>
          <w:lang w:val="en-US"/>
        </w:rPr>
        <w:t xml:space="preserve"> that 38.75% of the accidents were collision with cars, pick-up trucks or trucks. In another </w:t>
      </w:r>
      <w:proofErr w:type="gramStart"/>
      <w:r w:rsidR="00CC392F" w:rsidRPr="00393475">
        <w:rPr>
          <w:lang w:val="en-US"/>
        </w:rPr>
        <w:t>study</w:t>
      </w:r>
      <w:r w:rsidRPr="00393475">
        <w:rPr>
          <w:vertAlign w:val="superscript"/>
          <w:lang w:val="en-US"/>
        </w:rPr>
        <w:t>(</w:t>
      </w:r>
      <w:proofErr w:type="gramEnd"/>
      <w:r w:rsidRPr="00393475">
        <w:rPr>
          <w:vertAlign w:val="superscript"/>
          <w:lang w:val="en-US"/>
        </w:rPr>
        <w:t>5)</w:t>
      </w:r>
      <w:r w:rsidRPr="00393475">
        <w:rPr>
          <w:lang w:val="en-US"/>
        </w:rPr>
        <w:t xml:space="preserve">, </w:t>
      </w:r>
      <w:r w:rsidR="00CC392F" w:rsidRPr="00393475">
        <w:rPr>
          <w:lang w:val="en-US"/>
        </w:rPr>
        <w:t>authors identified that approximately 43.7% of accidents occurred between these types of vehicles</w:t>
      </w:r>
      <w:r w:rsidRPr="00393475">
        <w:rPr>
          <w:lang w:val="en-US"/>
        </w:rPr>
        <w:t xml:space="preserve">. </w:t>
      </w:r>
    </w:p>
    <w:p w:rsidR="009E01AB" w:rsidRPr="00393475" w:rsidRDefault="009E01AB" w:rsidP="00DA1E0A">
      <w:pPr>
        <w:shd w:val="clear" w:color="auto" w:fill="FFFFFF"/>
        <w:spacing w:line="480" w:lineRule="auto"/>
        <w:jc w:val="both"/>
        <w:rPr>
          <w:color w:val="FF0000"/>
          <w:lang w:val="en-US"/>
        </w:rPr>
      </w:pPr>
      <w:r w:rsidRPr="00393475">
        <w:rPr>
          <w:rFonts w:ascii="Arial" w:hAnsi="Arial" w:cs="Arial"/>
          <w:sz w:val="17"/>
          <w:szCs w:val="17"/>
          <w:lang w:val="en-US"/>
        </w:rPr>
        <w:tab/>
      </w:r>
      <w:r w:rsidR="00CC392F" w:rsidRPr="00393475">
        <w:rPr>
          <w:lang w:val="en-US"/>
        </w:rPr>
        <w:t xml:space="preserve">A survey conducted in the state of Paraná showed the high number of accidents involving cars. The occurrences with participation of this type of vehicle were responsible for about 63.0% of the collisions, being the most severe those among cars and trucks </w:t>
      </w:r>
      <w:r w:rsidRPr="00393475">
        <w:rPr>
          <w:vertAlign w:val="superscript"/>
          <w:lang w:val="en-US"/>
        </w:rPr>
        <w:t>(18)</w:t>
      </w:r>
      <w:r w:rsidRPr="00393475">
        <w:rPr>
          <w:lang w:val="en-US"/>
        </w:rPr>
        <w:t xml:space="preserve">.  </w:t>
      </w:r>
    </w:p>
    <w:p w:rsidR="009E01AB" w:rsidRPr="00393475" w:rsidRDefault="00CC392F" w:rsidP="00DA1E0A">
      <w:pPr>
        <w:autoSpaceDE w:val="0"/>
        <w:autoSpaceDN w:val="0"/>
        <w:adjustRightInd w:val="0"/>
        <w:spacing w:line="480" w:lineRule="auto"/>
        <w:ind w:firstLine="709"/>
        <w:jc w:val="both"/>
        <w:rPr>
          <w:noProof/>
          <w:lang w:val="en-US"/>
        </w:rPr>
      </w:pPr>
      <w:r w:rsidRPr="00393475">
        <w:rPr>
          <w:noProof/>
          <w:lang w:val="en-US"/>
        </w:rPr>
        <w:t>In the analysis of the monthly series of mortality, it was observed in this study that the mean number of deaths was 1.8 cases per month. In May 2010, there were the highest number of deaths, 12 deaths. In the analysis of the annual series of fatal cases, there was a 5.3% increase in the number of deaths over the years</w:t>
      </w:r>
      <w:r w:rsidR="009E01AB" w:rsidRPr="00393475">
        <w:rPr>
          <w:lang w:val="en-US"/>
        </w:rPr>
        <w:t xml:space="preserve">. </w:t>
      </w:r>
    </w:p>
    <w:p w:rsidR="009E01AB" w:rsidRPr="00393475" w:rsidRDefault="00CC392F" w:rsidP="00DA1E0A">
      <w:pPr>
        <w:autoSpaceDE w:val="0"/>
        <w:autoSpaceDN w:val="0"/>
        <w:adjustRightInd w:val="0"/>
        <w:spacing w:line="480" w:lineRule="auto"/>
        <w:ind w:firstLine="709"/>
        <w:jc w:val="both"/>
        <w:rPr>
          <w:lang w:val="en-US"/>
        </w:rPr>
      </w:pPr>
      <w:r w:rsidRPr="00393475">
        <w:rPr>
          <w:lang w:val="en-US"/>
        </w:rPr>
        <w:t xml:space="preserve">The mortality from traffic accidents has shown a model of evolution. In Brazil, between 2000 and 2010, the mortality rate due to traffic accidents ranged from 18 to 22.5 deaths per 100,000 inhabitants, leading to a reduction in the risk of death for pedestrians and an increase for drivers of vehicles and </w:t>
      </w:r>
      <w:proofErr w:type="gramStart"/>
      <w:r w:rsidRPr="00393475">
        <w:rPr>
          <w:lang w:val="en-US"/>
        </w:rPr>
        <w:t>motorcyclists</w:t>
      </w:r>
      <w:r w:rsidR="009E01AB" w:rsidRPr="00393475">
        <w:rPr>
          <w:vertAlign w:val="superscript"/>
          <w:lang w:val="en-US"/>
        </w:rPr>
        <w:t>(</w:t>
      </w:r>
      <w:proofErr w:type="gramEnd"/>
      <w:r w:rsidR="009E01AB" w:rsidRPr="00393475">
        <w:rPr>
          <w:vertAlign w:val="superscript"/>
          <w:lang w:val="en-US"/>
        </w:rPr>
        <w:t>19)</w:t>
      </w:r>
      <w:r w:rsidR="009E01AB" w:rsidRPr="00393475">
        <w:rPr>
          <w:lang w:val="en-US"/>
        </w:rPr>
        <w:t xml:space="preserve">. </w:t>
      </w:r>
      <w:r w:rsidRPr="00393475">
        <w:rPr>
          <w:lang w:val="en-US"/>
        </w:rPr>
        <w:t>In 2013, there were approximately 29.0% deaths from traffic accidents, equivalent to more than 43 thousand deaths or about 120 thousand deaths per day</w:t>
      </w:r>
      <w:r w:rsidR="009E01AB" w:rsidRPr="00393475">
        <w:rPr>
          <w:vertAlign w:val="superscript"/>
          <w:lang w:val="en-US"/>
        </w:rPr>
        <w:t>(2)</w:t>
      </w:r>
      <w:r w:rsidR="009E01AB" w:rsidRPr="00393475">
        <w:rPr>
          <w:lang w:val="en-US"/>
        </w:rPr>
        <w:t xml:space="preserve">. </w:t>
      </w:r>
      <w:r w:rsidRPr="00393475">
        <w:rPr>
          <w:color w:val="000000"/>
          <w:shd w:val="clear" w:color="auto" w:fill="FFFFFF"/>
          <w:lang w:val="en-US"/>
        </w:rPr>
        <w:t xml:space="preserve">Between 1990 and 2015, the mortality of </w:t>
      </w:r>
      <w:r w:rsidRPr="00393475">
        <w:rPr>
          <w:color w:val="000000"/>
          <w:shd w:val="clear" w:color="auto" w:fill="FFFFFF"/>
          <w:lang w:val="en-US"/>
        </w:rPr>
        <w:lastRenderedPageBreak/>
        <w:t xml:space="preserve">pedestrians and occupants of motor vehicles was higher than motorcyclists and pedal cyclists. The risk of death was 3.4 times higher among occupants of motor </w:t>
      </w:r>
      <w:proofErr w:type="gramStart"/>
      <w:r w:rsidRPr="00393475">
        <w:rPr>
          <w:color w:val="000000"/>
          <w:shd w:val="clear" w:color="auto" w:fill="FFFFFF"/>
          <w:lang w:val="en-US"/>
        </w:rPr>
        <w:t>vehicles</w:t>
      </w:r>
      <w:r w:rsidR="009E01AB" w:rsidRPr="00393475">
        <w:rPr>
          <w:color w:val="000000"/>
          <w:shd w:val="clear" w:color="auto" w:fill="FFFFFF"/>
          <w:vertAlign w:val="superscript"/>
          <w:lang w:val="en-US"/>
        </w:rPr>
        <w:t>(</w:t>
      </w:r>
      <w:proofErr w:type="gramEnd"/>
      <w:r w:rsidR="009E01AB" w:rsidRPr="00393475">
        <w:rPr>
          <w:color w:val="000000"/>
          <w:shd w:val="clear" w:color="auto" w:fill="FFFFFF"/>
          <w:vertAlign w:val="superscript"/>
          <w:lang w:val="en-US"/>
        </w:rPr>
        <w:t>20)</w:t>
      </w:r>
      <w:r w:rsidR="009E01AB" w:rsidRPr="00393475">
        <w:rPr>
          <w:color w:val="000000"/>
          <w:shd w:val="clear" w:color="auto" w:fill="FFFFFF"/>
          <w:lang w:val="en-US"/>
        </w:rPr>
        <w:t xml:space="preserve">. </w:t>
      </w:r>
    </w:p>
    <w:p w:rsidR="009E01AB" w:rsidRPr="00393475" w:rsidRDefault="00CC392F" w:rsidP="00DA1E0A">
      <w:pPr>
        <w:pStyle w:val="Recuodecorpodetexto"/>
        <w:spacing w:line="480" w:lineRule="auto"/>
        <w:ind w:left="0" w:firstLine="709"/>
        <w:rPr>
          <w:lang w:val="en-US"/>
        </w:rPr>
      </w:pPr>
      <w:r w:rsidRPr="00393475">
        <w:rPr>
          <w:lang w:val="en-US"/>
        </w:rPr>
        <w:t>Death rates from traffic accidents have shown an increase in the last 25 years in Spain, similar to those in other countries such as Finland, France, Australia, Greece and Portugal</w:t>
      </w:r>
      <w:r w:rsidR="009E01AB" w:rsidRPr="00393475">
        <w:rPr>
          <w:vertAlign w:val="superscript"/>
          <w:lang w:val="en-US"/>
        </w:rPr>
        <w:t>(1)</w:t>
      </w:r>
      <w:r w:rsidR="009E01AB" w:rsidRPr="00393475">
        <w:rPr>
          <w:lang w:val="en-US"/>
        </w:rPr>
        <w:t xml:space="preserve">. </w:t>
      </w:r>
      <w:r w:rsidRPr="00393475">
        <w:rPr>
          <w:lang w:val="en-US"/>
        </w:rPr>
        <w:t xml:space="preserve">Across the world, more than 1.2 million people die </w:t>
      </w:r>
      <w:proofErr w:type="gramStart"/>
      <w:r w:rsidRPr="00393475">
        <w:rPr>
          <w:lang w:val="en-US"/>
        </w:rPr>
        <w:t>as a result</w:t>
      </w:r>
      <w:proofErr w:type="gramEnd"/>
      <w:r w:rsidRPr="00393475">
        <w:rPr>
          <w:lang w:val="en-US"/>
        </w:rPr>
        <w:t xml:space="preserve"> of traffic accidents. In 2010, these events represented the eighth leading cause of death. It is estimated that in 2030 it will be the </w:t>
      </w:r>
      <w:proofErr w:type="gramStart"/>
      <w:r w:rsidRPr="00393475">
        <w:rPr>
          <w:lang w:val="en-US"/>
        </w:rPr>
        <w:t>fifth</w:t>
      </w:r>
      <w:r w:rsidR="009E01AB" w:rsidRPr="00393475">
        <w:rPr>
          <w:vertAlign w:val="superscript"/>
          <w:lang w:val="en-US"/>
        </w:rPr>
        <w:t>(</w:t>
      </w:r>
      <w:proofErr w:type="gramEnd"/>
      <w:r w:rsidR="009E01AB" w:rsidRPr="00393475">
        <w:rPr>
          <w:vertAlign w:val="superscript"/>
          <w:lang w:val="en-US"/>
        </w:rPr>
        <w:t>2)</w:t>
      </w:r>
      <w:r w:rsidR="009E01AB" w:rsidRPr="00393475">
        <w:rPr>
          <w:lang w:val="en-US"/>
        </w:rPr>
        <w:t>.</w:t>
      </w:r>
    </w:p>
    <w:p w:rsidR="009E01AB" w:rsidRPr="00393475" w:rsidRDefault="009E01AB" w:rsidP="00DA1E0A">
      <w:pPr>
        <w:spacing w:line="480" w:lineRule="auto"/>
        <w:jc w:val="both"/>
        <w:rPr>
          <w:b/>
          <w:lang w:val="en-US"/>
        </w:rPr>
      </w:pPr>
      <w:r w:rsidRPr="00393475">
        <w:rPr>
          <w:b/>
          <w:lang w:val="en-US"/>
        </w:rPr>
        <w:t>CONCLUS</w:t>
      </w:r>
      <w:r w:rsidR="002B102F" w:rsidRPr="00393475">
        <w:rPr>
          <w:b/>
          <w:lang w:val="en-US"/>
        </w:rPr>
        <w:t>ION</w:t>
      </w:r>
    </w:p>
    <w:p w:rsidR="009E01AB" w:rsidRPr="00393475" w:rsidRDefault="009E01AB" w:rsidP="00DA1E0A">
      <w:pPr>
        <w:spacing w:line="480" w:lineRule="auto"/>
        <w:jc w:val="both"/>
        <w:rPr>
          <w:lang w:val="en-US"/>
        </w:rPr>
      </w:pPr>
      <w:r w:rsidRPr="00393475">
        <w:rPr>
          <w:b/>
          <w:lang w:val="en-US"/>
        </w:rPr>
        <w:tab/>
      </w:r>
      <w:r w:rsidR="00EA5464" w:rsidRPr="00393475">
        <w:rPr>
          <w:lang w:val="en-US"/>
        </w:rPr>
        <w:t>Traffic accidents are responsible for major economic and social consequences, and high cost to the health system and constitute a major threat to all users of public roads. These events are one of the main causes of death due to trauma, especially among the young and productive age population. It is important to consider that developed countries face the issues related to these events, proposing and implementing prevention and control measures. On the other hand, in developing countries, there are worse socioeconomic conditions that, consequently, make it difficult to implement preventive and harm reduction measures</w:t>
      </w:r>
      <w:r w:rsidRPr="00393475">
        <w:rPr>
          <w:lang w:val="en-US"/>
        </w:rPr>
        <w:t xml:space="preserve">.  </w:t>
      </w:r>
    </w:p>
    <w:p w:rsidR="009E01AB" w:rsidRPr="00393475" w:rsidRDefault="009E01AB" w:rsidP="00DA1E0A">
      <w:pPr>
        <w:spacing w:line="480" w:lineRule="auto"/>
        <w:jc w:val="both"/>
        <w:rPr>
          <w:lang w:val="en-US"/>
        </w:rPr>
      </w:pPr>
      <w:r w:rsidRPr="00393475">
        <w:rPr>
          <w:lang w:val="en-US"/>
        </w:rPr>
        <w:tab/>
      </w:r>
      <w:r w:rsidR="00C253D9" w:rsidRPr="00393475">
        <w:rPr>
          <w:lang w:val="en-US"/>
        </w:rPr>
        <w:t xml:space="preserve">The identification of factors contributing to these occurrences and the epidemiological profile of the victims provide key indicators and information to the official bodies and to all segments of society, aiming at the constant improvement of safety measures in traffic. In this sense, it is important to develop and continue studies that may contribute to a better knowledge of the problem, </w:t>
      </w:r>
      <w:proofErr w:type="gramStart"/>
      <w:r w:rsidR="00C253D9" w:rsidRPr="00393475">
        <w:rPr>
          <w:lang w:val="en-US"/>
        </w:rPr>
        <w:t>in view of the increase in mortality due to traffic accidents around the world</w:t>
      </w:r>
      <w:proofErr w:type="gramEnd"/>
      <w:r w:rsidRPr="00393475">
        <w:rPr>
          <w:lang w:val="en-US"/>
        </w:rPr>
        <w:t xml:space="preserve">.  </w:t>
      </w:r>
    </w:p>
    <w:p w:rsidR="009E01AB" w:rsidRPr="00393475" w:rsidRDefault="009E01AB" w:rsidP="00DA1E0A">
      <w:pPr>
        <w:spacing w:line="480" w:lineRule="auto"/>
        <w:jc w:val="both"/>
        <w:rPr>
          <w:lang w:val="en-US"/>
        </w:rPr>
      </w:pPr>
      <w:r w:rsidRPr="00393475">
        <w:rPr>
          <w:lang w:val="en-US"/>
        </w:rPr>
        <w:tab/>
      </w:r>
      <w:r w:rsidR="00C253D9" w:rsidRPr="00393475">
        <w:rPr>
          <w:lang w:val="en-US"/>
        </w:rPr>
        <w:t xml:space="preserve">In general, the results found showed the predominance of mortality in males, young adults, whites and singles. More than half of the victims died on the public highway and the most frequent type of accident was the collision with a car, pick-up truck or truck. </w:t>
      </w:r>
      <w:r w:rsidR="00C253D9" w:rsidRPr="00393475">
        <w:rPr>
          <w:lang w:val="en-US"/>
        </w:rPr>
        <w:lastRenderedPageBreak/>
        <w:t xml:space="preserve">There has been a progressive increase in deaths each year. In some years, important variations </w:t>
      </w:r>
      <w:proofErr w:type="gramStart"/>
      <w:r w:rsidR="00C253D9" w:rsidRPr="00393475">
        <w:rPr>
          <w:lang w:val="en-US"/>
        </w:rPr>
        <w:t>were observed</w:t>
      </w:r>
      <w:proofErr w:type="gramEnd"/>
      <w:r w:rsidR="00C253D9" w:rsidRPr="00393475">
        <w:rPr>
          <w:lang w:val="en-US"/>
        </w:rPr>
        <w:t>, with peaks of deaths higher than predicted</w:t>
      </w:r>
      <w:r w:rsidRPr="00393475">
        <w:rPr>
          <w:lang w:val="en-US"/>
        </w:rPr>
        <w:t>.</w:t>
      </w:r>
    </w:p>
    <w:p w:rsidR="009E01AB" w:rsidRPr="00393475" w:rsidRDefault="00C253D9" w:rsidP="00DA1E0A">
      <w:pPr>
        <w:pStyle w:val="Recuodecorpodetexto32"/>
        <w:tabs>
          <w:tab w:val="clear" w:pos="1418"/>
        </w:tabs>
        <w:rPr>
          <w:lang w:val="en-US"/>
        </w:rPr>
      </w:pPr>
      <w:proofErr w:type="gramStart"/>
      <w:r w:rsidRPr="00393475">
        <w:rPr>
          <w:lang w:val="en-US"/>
        </w:rPr>
        <w:t>Some limitations of this study may be pointed out, namely the source of information used, which does not include variables important for determining mortality, such as alcohol and drug use, the nature of the injury, the time and day of the occurrence, the use of helmets and other safety equipment, condition and time of license of the victim, meteorological conditions, as well as severity indicators, such as the Glasgow Coma Scale and Revised Trauma Score in pre- and in-hospital care</w:t>
      </w:r>
      <w:r w:rsidR="009E01AB" w:rsidRPr="00393475">
        <w:rPr>
          <w:lang w:val="en-US"/>
        </w:rPr>
        <w:t>.</w:t>
      </w:r>
      <w:proofErr w:type="gramEnd"/>
    </w:p>
    <w:p w:rsidR="009E01AB" w:rsidRPr="00393475" w:rsidRDefault="00C253D9" w:rsidP="00DA1E0A">
      <w:pPr>
        <w:pStyle w:val="Recuodecorpodetexto32"/>
        <w:tabs>
          <w:tab w:val="clear" w:pos="1418"/>
        </w:tabs>
        <w:rPr>
          <w:lang w:val="en-US"/>
        </w:rPr>
      </w:pPr>
      <w:r w:rsidRPr="00393475">
        <w:rPr>
          <w:lang w:val="en-US"/>
        </w:rPr>
        <w:t>Despite the limitations found, the sources of data collection provide important contributions to determine the profile of morbidity and mortality due to traffic accidents, which are crucial for the formulation of public policies of prevention and health care, since the data set represent a fundamental tool of epidemiological information</w:t>
      </w:r>
      <w:r w:rsidR="009E01AB" w:rsidRPr="00393475">
        <w:rPr>
          <w:lang w:val="en-US"/>
        </w:rPr>
        <w:t xml:space="preserve">.  </w:t>
      </w:r>
    </w:p>
    <w:p w:rsidR="009E01AB" w:rsidRPr="00393475" w:rsidRDefault="00C253D9" w:rsidP="00DA1E0A">
      <w:pPr>
        <w:pStyle w:val="Recuodecorpodetexto32"/>
        <w:tabs>
          <w:tab w:val="clear" w:pos="1418"/>
        </w:tabs>
        <w:rPr>
          <w:lang w:val="en-US"/>
        </w:rPr>
      </w:pPr>
      <w:r w:rsidRPr="00393475">
        <w:rPr>
          <w:szCs w:val="24"/>
          <w:lang w:val="en-US"/>
        </w:rPr>
        <w:t>Therefore, the results do not exhaust the numerous possibilities of analysis of the problem in other sources of information. Knowledge of the reality of traffic incidents and consequent mortality can contribute not only to the development of measures and programs to prevent injuries and deaths but also to implement, inform and develop prevention and care programs</w:t>
      </w:r>
      <w:r w:rsidR="009E01AB" w:rsidRPr="00393475">
        <w:rPr>
          <w:lang w:val="en-US"/>
        </w:rPr>
        <w:t>.</w:t>
      </w:r>
      <w:r w:rsidR="009E01AB" w:rsidRPr="00393475">
        <w:rPr>
          <w:lang w:val="en-US"/>
        </w:rPr>
        <w:tab/>
        <w:t xml:space="preserve"> </w:t>
      </w:r>
    </w:p>
    <w:p w:rsidR="009E01AB" w:rsidRPr="0056123C" w:rsidRDefault="009E01AB" w:rsidP="00DA1E0A">
      <w:pPr>
        <w:spacing w:line="480" w:lineRule="auto"/>
        <w:jc w:val="both"/>
        <w:rPr>
          <w:b/>
        </w:rPr>
      </w:pPr>
      <w:r w:rsidRPr="0056123C">
        <w:rPr>
          <w:b/>
        </w:rPr>
        <w:t>REFER</w:t>
      </w:r>
      <w:r w:rsidR="002B102F">
        <w:rPr>
          <w:b/>
        </w:rPr>
        <w:t>E</w:t>
      </w:r>
      <w:r w:rsidRPr="0056123C">
        <w:rPr>
          <w:b/>
        </w:rPr>
        <w:t>NC</w:t>
      </w:r>
      <w:r w:rsidR="002B102F">
        <w:rPr>
          <w:b/>
        </w:rPr>
        <w:t>E</w:t>
      </w:r>
      <w:r w:rsidRPr="0056123C">
        <w:rPr>
          <w:b/>
        </w:rPr>
        <w:t xml:space="preserve">S </w:t>
      </w:r>
    </w:p>
    <w:p w:rsidR="009E01AB" w:rsidRPr="0056123C" w:rsidRDefault="009E01AB" w:rsidP="009E01AB">
      <w:pPr>
        <w:pStyle w:val="Ttulo1"/>
        <w:spacing w:before="0" w:beforeAutospacing="0" w:after="0" w:afterAutospacing="0"/>
        <w:jc w:val="both"/>
        <w:rPr>
          <w:b w:val="0"/>
          <w:sz w:val="24"/>
          <w:szCs w:val="24"/>
          <w:lang w:val="en-US"/>
        </w:rPr>
      </w:pPr>
      <w:r w:rsidRPr="0056123C">
        <w:rPr>
          <w:b w:val="0"/>
          <w:sz w:val="24"/>
          <w:szCs w:val="24"/>
        </w:rPr>
        <w:t xml:space="preserve">1. </w:t>
      </w:r>
      <w:proofErr w:type="spellStart"/>
      <w:r w:rsidRPr="0056123C">
        <w:rPr>
          <w:b w:val="0"/>
          <w:sz w:val="24"/>
          <w:szCs w:val="24"/>
        </w:rPr>
        <w:t>Melchor</w:t>
      </w:r>
      <w:proofErr w:type="spellEnd"/>
      <w:r w:rsidRPr="0056123C">
        <w:rPr>
          <w:b w:val="0"/>
          <w:sz w:val="24"/>
          <w:szCs w:val="24"/>
        </w:rPr>
        <w:t xml:space="preserve"> I, Nolasco A, </w:t>
      </w:r>
      <w:proofErr w:type="spellStart"/>
      <w:r w:rsidRPr="0056123C">
        <w:rPr>
          <w:b w:val="0"/>
          <w:sz w:val="24"/>
          <w:szCs w:val="24"/>
        </w:rPr>
        <w:t>Moncho</w:t>
      </w:r>
      <w:proofErr w:type="spellEnd"/>
      <w:r w:rsidRPr="0056123C">
        <w:rPr>
          <w:b w:val="0"/>
          <w:sz w:val="24"/>
          <w:szCs w:val="24"/>
        </w:rPr>
        <w:t xml:space="preserve"> J, </w:t>
      </w:r>
      <w:proofErr w:type="spellStart"/>
      <w:r w:rsidRPr="0056123C">
        <w:rPr>
          <w:b w:val="0"/>
          <w:sz w:val="24"/>
          <w:szCs w:val="24"/>
        </w:rPr>
        <w:t>Quesada</w:t>
      </w:r>
      <w:proofErr w:type="spellEnd"/>
      <w:r w:rsidRPr="0056123C">
        <w:rPr>
          <w:b w:val="0"/>
          <w:sz w:val="24"/>
          <w:szCs w:val="24"/>
        </w:rPr>
        <w:t xml:space="preserve"> JA, </w:t>
      </w:r>
      <w:proofErr w:type="spellStart"/>
      <w:r w:rsidRPr="0056123C">
        <w:rPr>
          <w:b w:val="0"/>
          <w:sz w:val="24"/>
          <w:szCs w:val="24"/>
        </w:rPr>
        <w:t>Pereyra-Zamora</w:t>
      </w:r>
      <w:proofErr w:type="spellEnd"/>
      <w:r w:rsidRPr="0056123C">
        <w:rPr>
          <w:b w:val="0"/>
          <w:sz w:val="24"/>
          <w:szCs w:val="24"/>
        </w:rPr>
        <w:t xml:space="preserve"> P, García-</w:t>
      </w:r>
      <w:proofErr w:type="spellStart"/>
      <w:r w:rsidRPr="0056123C">
        <w:rPr>
          <w:b w:val="0"/>
          <w:sz w:val="24"/>
          <w:szCs w:val="24"/>
        </w:rPr>
        <w:t>Senchermés</w:t>
      </w:r>
      <w:proofErr w:type="spellEnd"/>
      <w:r w:rsidRPr="0056123C">
        <w:rPr>
          <w:b w:val="0"/>
          <w:sz w:val="24"/>
          <w:szCs w:val="24"/>
        </w:rPr>
        <w:t xml:space="preserve"> C, et al. </w:t>
      </w:r>
      <w:r w:rsidRPr="0056123C">
        <w:rPr>
          <w:b w:val="0"/>
          <w:sz w:val="24"/>
          <w:szCs w:val="24"/>
          <w:lang w:val="en-US"/>
        </w:rPr>
        <w:t>Trends in mortality due to motor vehicle traffic accident injuries between 1987 and 2011 in a Spanish region (</w:t>
      </w:r>
      <w:proofErr w:type="spellStart"/>
      <w:r w:rsidRPr="0056123C">
        <w:rPr>
          <w:b w:val="0"/>
          <w:sz w:val="24"/>
          <w:szCs w:val="24"/>
          <w:lang w:val="en-US"/>
        </w:rPr>
        <w:t>ComunitatValenciana</w:t>
      </w:r>
      <w:proofErr w:type="spellEnd"/>
      <w:r w:rsidRPr="0056123C">
        <w:rPr>
          <w:b w:val="0"/>
          <w:sz w:val="24"/>
          <w:szCs w:val="24"/>
          <w:lang w:val="en-US"/>
        </w:rPr>
        <w:t xml:space="preserve">). </w:t>
      </w:r>
      <w:proofErr w:type="spellStart"/>
      <w:r w:rsidRPr="0056123C">
        <w:rPr>
          <w:b w:val="0"/>
          <w:sz w:val="24"/>
          <w:szCs w:val="24"/>
          <w:lang w:val="en-US"/>
        </w:rPr>
        <w:t>Accid</w:t>
      </w:r>
      <w:proofErr w:type="spellEnd"/>
      <w:r w:rsidRPr="0056123C">
        <w:rPr>
          <w:b w:val="0"/>
          <w:sz w:val="24"/>
          <w:szCs w:val="24"/>
          <w:lang w:val="en-US"/>
        </w:rPr>
        <w:t xml:space="preserve">. Anal. Prev. 2015 </w:t>
      </w:r>
      <w:proofErr w:type="spellStart"/>
      <w:r w:rsidRPr="0056123C">
        <w:rPr>
          <w:b w:val="0"/>
          <w:sz w:val="24"/>
          <w:szCs w:val="24"/>
          <w:lang w:val="en-US"/>
        </w:rPr>
        <w:t>apr</w:t>
      </w:r>
      <w:proofErr w:type="spellEnd"/>
      <w:r w:rsidRPr="0056123C">
        <w:rPr>
          <w:b w:val="0"/>
          <w:sz w:val="24"/>
          <w:szCs w:val="24"/>
          <w:lang w:val="en-US"/>
        </w:rPr>
        <w:t>; 77: 21-8.</w:t>
      </w:r>
    </w:p>
    <w:p w:rsidR="009E01AB" w:rsidRPr="0056123C" w:rsidRDefault="009E01AB" w:rsidP="009E01AB">
      <w:pPr>
        <w:pStyle w:val="Ttulo1"/>
        <w:spacing w:before="0" w:beforeAutospacing="0" w:after="0" w:afterAutospacing="0"/>
        <w:jc w:val="both"/>
        <w:rPr>
          <w:b w:val="0"/>
          <w:sz w:val="24"/>
          <w:szCs w:val="24"/>
          <w:lang w:val="en-US"/>
        </w:rPr>
      </w:pPr>
    </w:p>
    <w:p w:rsidR="009E01AB" w:rsidRPr="0056123C" w:rsidRDefault="009E01AB" w:rsidP="009E01AB">
      <w:pPr>
        <w:pStyle w:val="Recuodecorpodetexto"/>
        <w:spacing w:line="240" w:lineRule="auto"/>
        <w:ind w:left="0" w:firstLine="0"/>
        <w:rPr>
          <w:lang w:val="en-US"/>
        </w:rPr>
      </w:pPr>
      <w:r w:rsidRPr="0056123C">
        <w:rPr>
          <w:szCs w:val="24"/>
          <w:lang w:val="en-US"/>
        </w:rPr>
        <w:t>2.</w:t>
      </w:r>
      <w:r w:rsidRPr="0056123C">
        <w:rPr>
          <w:lang w:val="en-US"/>
        </w:rPr>
        <w:t xml:space="preserve"> World Health Organization. Global status report on road safety 2015. </w:t>
      </w:r>
      <w:proofErr w:type="spellStart"/>
      <w:r w:rsidRPr="0056123C">
        <w:rPr>
          <w:lang w:val="en-US"/>
        </w:rPr>
        <w:t>Genebra</w:t>
      </w:r>
      <w:proofErr w:type="spellEnd"/>
      <w:r w:rsidRPr="0056123C">
        <w:rPr>
          <w:lang w:val="en-US"/>
        </w:rPr>
        <w:t xml:space="preserve">: WHO; 2015. </w:t>
      </w:r>
    </w:p>
    <w:p w:rsidR="009E01AB" w:rsidRPr="0056123C" w:rsidRDefault="009E01AB" w:rsidP="009E01AB">
      <w:pPr>
        <w:pStyle w:val="Recuodecorpodetexto"/>
        <w:spacing w:line="240" w:lineRule="auto"/>
        <w:ind w:left="0" w:firstLine="0"/>
        <w:rPr>
          <w:lang w:val="en-US"/>
        </w:rPr>
      </w:pPr>
    </w:p>
    <w:p w:rsidR="009E01AB" w:rsidRPr="0056123C" w:rsidRDefault="009E01AB" w:rsidP="009E01AB">
      <w:pPr>
        <w:pStyle w:val="Recuodecorpodetexto"/>
        <w:spacing w:line="240" w:lineRule="auto"/>
        <w:ind w:left="0" w:firstLine="0"/>
        <w:rPr>
          <w:szCs w:val="24"/>
          <w:lang w:val="en-US"/>
        </w:rPr>
      </w:pPr>
      <w:r w:rsidRPr="0056123C">
        <w:rPr>
          <w:lang w:val="en-US"/>
        </w:rPr>
        <w:t xml:space="preserve">3. </w:t>
      </w:r>
      <w:r w:rsidRPr="0056123C">
        <w:rPr>
          <w:szCs w:val="24"/>
          <w:lang w:val="en-US"/>
        </w:rPr>
        <w:t xml:space="preserve">Zhang G, </w:t>
      </w:r>
      <w:proofErr w:type="spellStart"/>
      <w:r w:rsidRPr="0056123C">
        <w:rPr>
          <w:szCs w:val="24"/>
          <w:lang w:val="en-US"/>
        </w:rPr>
        <w:t>Yau</w:t>
      </w:r>
      <w:proofErr w:type="spellEnd"/>
      <w:r w:rsidRPr="0056123C">
        <w:rPr>
          <w:szCs w:val="24"/>
          <w:lang w:val="en-US"/>
        </w:rPr>
        <w:t xml:space="preserve"> KW, Chen G. Risk factors associated with traffic violations and accident severity in China. </w:t>
      </w:r>
      <w:proofErr w:type="spellStart"/>
      <w:r w:rsidRPr="0056123C">
        <w:rPr>
          <w:szCs w:val="24"/>
          <w:lang w:val="en-US"/>
        </w:rPr>
        <w:t>Accid</w:t>
      </w:r>
      <w:proofErr w:type="spellEnd"/>
      <w:r w:rsidRPr="0056123C">
        <w:rPr>
          <w:szCs w:val="24"/>
          <w:lang w:val="en-US"/>
        </w:rPr>
        <w:t xml:space="preserve">. Anal. Prev. 2013 </w:t>
      </w:r>
      <w:proofErr w:type="spellStart"/>
      <w:proofErr w:type="gramStart"/>
      <w:r w:rsidRPr="0056123C">
        <w:rPr>
          <w:szCs w:val="24"/>
          <w:lang w:val="en-US"/>
        </w:rPr>
        <w:t>oct</w:t>
      </w:r>
      <w:proofErr w:type="spellEnd"/>
      <w:proofErr w:type="gramEnd"/>
      <w:r w:rsidRPr="0056123C">
        <w:rPr>
          <w:szCs w:val="24"/>
          <w:lang w:val="en-US"/>
        </w:rPr>
        <w:t>; 59: 18-25.</w:t>
      </w:r>
    </w:p>
    <w:p w:rsidR="009E01AB" w:rsidRPr="0056123C" w:rsidRDefault="009E01AB" w:rsidP="009E01AB">
      <w:pPr>
        <w:pStyle w:val="Recuodecorpodetexto"/>
        <w:spacing w:line="240" w:lineRule="auto"/>
        <w:ind w:left="0" w:firstLine="0"/>
        <w:rPr>
          <w:lang w:val="en-US"/>
        </w:rPr>
      </w:pPr>
    </w:p>
    <w:p w:rsidR="009E01AB" w:rsidRPr="0056123C" w:rsidRDefault="009E01AB" w:rsidP="009E01AB">
      <w:pPr>
        <w:jc w:val="both"/>
      </w:pPr>
      <w:r w:rsidRPr="0056123C">
        <w:rPr>
          <w:lang w:val="en-US"/>
        </w:rPr>
        <w:t>4.</w:t>
      </w:r>
      <w:r w:rsidRPr="0056123C">
        <w:rPr>
          <w:b/>
          <w:lang w:val="en-US"/>
        </w:rPr>
        <w:t xml:space="preserve"> </w:t>
      </w:r>
      <w:r w:rsidRPr="0056123C">
        <w:rPr>
          <w:lang w:val="en-US"/>
        </w:rPr>
        <w:t xml:space="preserve">Moreno NT da S, </w:t>
      </w:r>
      <w:proofErr w:type="spellStart"/>
      <w:r w:rsidRPr="0056123C">
        <w:rPr>
          <w:lang w:val="en-US"/>
        </w:rPr>
        <w:t>Dalmas</w:t>
      </w:r>
      <w:proofErr w:type="spellEnd"/>
      <w:r w:rsidRPr="0056123C">
        <w:rPr>
          <w:lang w:val="en-US"/>
        </w:rPr>
        <w:t xml:space="preserve"> JC, Martins EAP. </w:t>
      </w:r>
      <w:r w:rsidRPr="0056123C">
        <w:rPr>
          <w:bCs/>
          <w:color w:val="111111"/>
          <w:shd w:val="clear" w:color="auto" w:fill="FBFBF3"/>
          <w:lang w:val="en-US"/>
        </w:rPr>
        <w:t>Run over: epidemiological analysis of the last four years</w:t>
      </w:r>
      <w:r w:rsidRPr="0056123C">
        <w:rPr>
          <w:lang w:val="en-US"/>
        </w:rPr>
        <w:t xml:space="preserve">. </w:t>
      </w:r>
      <w:r w:rsidRPr="0056123C">
        <w:t xml:space="preserve">Cienc. </w:t>
      </w:r>
      <w:proofErr w:type="spellStart"/>
      <w:r w:rsidRPr="0056123C">
        <w:t>Cuid</w:t>
      </w:r>
      <w:proofErr w:type="spellEnd"/>
      <w:r w:rsidRPr="0056123C">
        <w:t xml:space="preserve">. Saúde. 2016 </w:t>
      </w:r>
      <w:proofErr w:type="spellStart"/>
      <w:r w:rsidRPr="0056123C">
        <w:t>oct</w:t>
      </w:r>
      <w:proofErr w:type="spellEnd"/>
      <w:r w:rsidRPr="0056123C">
        <w:t>/</w:t>
      </w:r>
      <w:proofErr w:type="spellStart"/>
      <w:r w:rsidRPr="0056123C">
        <w:t>dec</w:t>
      </w:r>
      <w:proofErr w:type="spellEnd"/>
      <w:r w:rsidRPr="0056123C">
        <w:t>; 15(4): 693-700.</w:t>
      </w:r>
    </w:p>
    <w:p w:rsidR="009E01AB" w:rsidRPr="0056123C" w:rsidRDefault="009E01AB" w:rsidP="009E01AB">
      <w:pPr>
        <w:jc w:val="both"/>
      </w:pPr>
    </w:p>
    <w:p w:rsidR="009E01AB" w:rsidRPr="0056123C" w:rsidRDefault="009E01AB" w:rsidP="009E01AB">
      <w:pPr>
        <w:pStyle w:val="Recuodecorpodetexto"/>
        <w:spacing w:line="240" w:lineRule="auto"/>
        <w:ind w:left="0" w:firstLine="0"/>
        <w:rPr>
          <w:szCs w:val="24"/>
        </w:rPr>
      </w:pPr>
      <w:r w:rsidRPr="0056123C">
        <w:lastRenderedPageBreak/>
        <w:t xml:space="preserve">5. </w:t>
      </w:r>
      <w:r w:rsidRPr="0056123C">
        <w:rPr>
          <w:szCs w:val="24"/>
        </w:rPr>
        <w:t xml:space="preserve">Almeida RLF de, Bezerra Filho JG, Braga JU, Magalhães FB, Macedo MCM, Silva KA. </w:t>
      </w:r>
      <w:r w:rsidRPr="0056123C">
        <w:rPr>
          <w:szCs w:val="24"/>
          <w:lang w:val="en-US"/>
        </w:rPr>
        <w:t xml:space="preserve">Man, road and vehicle: risk factors associated with the severity of traffic accidents. </w:t>
      </w:r>
      <w:r w:rsidRPr="0056123C">
        <w:rPr>
          <w:szCs w:val="24"/>
        </w:rPr>
        <w:t xml:space="preserve">Rev. Saúde Pública. 2013 </w:t>
      </w:r>
      <w:proofErr w:type="spellStart"/>
      <w:r w:rsidRPr="0056123C">
        <w:rPr>
          <w:szCs w:val="24"/>
        </w:rPr>
        <w:t>aug</w:t>
      </w:r>
      <w:proofErr w:type="spellEnd"/>
      <w:r w:rsidRPr="0056123C">
        <w:rPr>
          <w:szCs w:val="24"/>
        </w:rPr>
        <w:t>; 47(4): 718-31.</w:t>
      </w:r>
    </w:p>
    <w:p w:rsidR="009E01AB" w:rsidRPr="0056123C" w:rsidRDefault="009E01AB" w:rsidP="009E01AB">
      <w:pPr>
        <w:pStyle w:val="Recuodecorpodetexto"/>
        <w:spacing w:line="240" w:lineRule="auto"/>
        <w:ind w:left="0" w:firstLine="0"/>
        <w:rPr>
          <w:szCs w:val="24"/>
        </w:rPr>
      </w:pPr>
    </w:p>
    <w:p w:rsidR="009E01AB" w:rsidRPr="0056123C" w:rsidRDefault="009E01AB" w:rsidP="009E01AB">
      <w:pPr>
        <w:pStyle w:val="Recuodecorpodetexto"/>
        <w:spacing w:line="240" w:lineRule="auto"/>
        <w:ind w:left="0" w:firstLine="0"/>
        <w:rPr>
          <w:szCs w:val="24"/>
        </w:rPr>
      </w:pPr>
      <w:r w:rsidRPr="0056123C">
        <w:rPr>
          <w:szCs w:val="24"/>
        </w:rPr>
        <w:t xml:space="preserve">6. </w:t>
      </w:r>
      <w:proofErr w:type="spellStart"/>
      <w:r w:rsidRPr="0056123C">
        <w:rPr>
          <w:szCs w:val="24"/>
        </w:rPr>
        <w:t>Rouquayrol</w:t>
      </w:r>
      <w:proofErr w:type="spellEnd"/>
      <w:r w:rsidRPr="0056123C">
        <w:rPr>
          <w:szCs w:val="24"/>
        </w:rPr>
        <w:t xml:space="preserve"> MZ, Gurgel M. Epidemiologia &amp; Saúde. 7ª ed. São Paulo: </w:t>
      </w:r>
      <w:proofErr w:type="spellStart"/>
      <w:r w:rsidRPr="0056123C">
        <w:rPr>
          <w:szCs w:val="24"/>
        </w:rPr>
        <w:t>Medbook</w:t>
      </w:r>
      <w:proofErr w:type="spellEnd"/>
      <w:r w:rsidRPr="0056123C">
        <w:rPr>
          <w:szCs w:val="24"/>
        </w:rPr>
        <w:t>; 2013.</w:t>
      </w:r>
    </w:p>
    <w:p w:rsidR="009E01AB" w:rsidRPr="0056123C" w:rsidRDefault="009E01AB" w:rsidP="009E01AB">
      <w:pPr>
        <w:pStyle w:val="Ttulo1"/>
        <w:spacing w:before="0" w:beforeAutospacing="0" w:after="0" w:afterAutospacing="0"/>
        <w:jc w:val="both"/>
        <w:rPr>
          <w:b w:val="0"/>
          <w:sz w:val="24"/>
          <w:szCs w:val="24"/>
        </w:rPr>
      </w:pPr>
    </w:p>
    <w:p w:rsidR="009E01AB" w:rsidRPr="0056123C" w:rsidRDefault="009E01AB" w:rsidP="009E01AB">
      <w:pPr>
        <w:pStyle w:val="Ttulo1"/>
        <w:spacing w:before="0" w:beforeAutospacing="0" w:after="0" w:afterAutospacing="0"/>
        <w:jc w:val="both"/>
        <w:rPr>
          <w:b w:val="0"/>
          <w:sz w:val="24"/>
          <w:szCs w:val="24"/>
          <w:lang w:val="en-US"/>
        </w:rPr>
      </w:pPr>
      <w:r w:rsidRPr="0056123C">
        <w:rPr>
          <w:b w:val="0"/>
          <w:sz w:val="24"/>
          <w:szCs w:val="24"/>
        </w:rPr>
        <w:t xml:space="preserve">7. </w:t>
      </w:r>
      <w:r w:rsidRPr="0056123C">
        <w:rPr>
          <w:b w:val="0"/>
          <w:sz w:val="24"/>
          <w:szCs w:val="24"/>
          <w:lang w:val="pt-PT"/>
        </w:rPr>
        <w:t xml:space="preserve">Organização Mundial da Saúde, Organização Panamericana da Saúde. Classificação estatística internacional de doenças e problemas relacionados à saúde. </w:t>
      </w:r>
      <w:proofErr w:type="gramStart"/>
      <w:r w:rsidRPr="0056123C">
        <w:rPr>
          <w:b w:val="0"/>
          <w:sz w:val="24"/>
          <w:szCs w:val="24"/>
          <w:lang w:val="en-US"/>
        </w:rPr>
        <w:t>10</w:t>
      </w:r>
      <w:proofErr w:type="gramEnd"/>
      <w:r w:rsidRPr="0056123C">
        <w:rPr>
          <w:b w:val="0"/>
          <w:sz w:val="24"/>
          <w:szCs w:val="24"/>
          <w:lang w:val="en-US"/>
        </w:rPr>
        <w:t xml:space="preserve"> rev. 8</w:t>
      </w:r>
      <w:r w:rsidRPr="0056123C">
        <w:rPr>
          <w:b w:val="0"/>
          <w:sz w:val="24"/>
          <w:szCs w:val="24"/>
          <w:vertAlign w:val="superscript"/>
          <w:lang w:val="en-US"/>
        </w:rPr>
        <w:t>a</w:t>
      </w:r>
      <w:r w:rsidRPr="0056123C">
        <w:rPr>
          <w:b w:val="0"/>
          <w:sz w:val="24"/>
          <w:szCs w:val="24"/>
          <w:lang w:val="en-US"/>
        </w:rPr>
        <w:t xml:space="preserve"> ed. São Paulo: EDUSP: 2000.</w:t>
      </w:r>
    </w:p>
    <w:p w:rsidR="009E01AB" w:rsidRPr="0056123C" w:rsidRDefault="009E01AB" w:rsidP="009E01AB">
      <w:pPr>
        <w:pStyle w:val="Ttulo1"/>
        <w:spacing w:before="0" w:beforeAutospacing="0" w:after="0" w:afterAutospacing="0"/>
        <w:jc w:val="both"/>
        <w:rPr>
          <w:b w:val="0"/>
          <w:sz w:val="24"/>
          <w:szCs w:val="24"/>
          <w:lang w:val="en-US"/>
        </w:rPr>
      </w:pPr>
    </w:p>
    <w:p w:rsidR="009E01AB" w:rsidRPr="0056123C" w:rsidRDefault="009E01AB" w:rsidP="009E01AB">
      <w:pPr>
        <w:jc w:val="both"/>
        <w:rPr>
          <w:noProof/>
          <w:lang w:val="en-US"/>
        </w:rPr>
      </w:pPr>
      <w:r w:rsidRPr="0056123C">
        <w:rPr>
          <w:lang w:val="en-US"/>
        </w:rPr>
        <w:t xml:space="preserve">8. </w:t>
      </w:r>
      <w:proofErr w:type="spellStart"/>
      <w:r w:rsidRPr="0056123C">
        <w:rPr>
          <w:lang w:val="en-US"/>
        </w:rPr>
        <w:t>Kedem</w:t>
      </w:r>
      <w:proofErr w:type="spellEnd"/>
      <w:r w:rsidRPr="0056123C">
        <w:rPr>
          <w:noProof/>
          <w:lang w:val="en-US"/>
        </w:rPr>
        <w:t xml:space="preserve"> B, Fokianos K. Regression models for time series analysis. New Jersey:</w:t>
      </w:r>
      <w:r w:rsidRPr="0056123C">
        <w:rPr>
          <w:lang w:val="en-US"/>
        </w:rPr>
        <w:t xml:space="preserve"> John Wiley &amp; Sons </w:t>
      </w:r>
      <w:proofErr w:type="spellStart"/>
      <w:r w:rsidRPr="0056123C">
        <w:rPr>
          <w:lang w:val="en-US"/>
        </w:rPr>
        <w:t>Inc</w:t>
      </w:r>
      <w:proofErr w:type="spellEnd"/>
      <w:r w:rsidRPr="0056123C">
        <w:rPr>
          <w:lang w:val="en-US"/>
        </w:rPr>
        <w:t xml:space="preserve">; </w:t>
      </w:r>
      <w:proofErr w:type="spellStart"/>
      <w:proofErr w:type="gramStart"/>
      <w:r w:rsidRPr="0056123C">
        <w:rPr>
          <w:lang w:val="en-US"/>
        </w:rPr>
        <w:t>aug</w:t>
      </w:r>
      <w:proofErr w:type="spellEnd"/>
      <w:proofErr w:type="gramEnd"/>
      <w:r w:rsidRPr="0056123C">
        <w:rPr>
          <w:lang w:val="en-US"/>
        </w:rPr>
        <w:t xml:space="preserve">; </w:t>
      </w:r>
      <w:r w:rsidRPr="0056123C">
        <w:rPr>
          <w:noProof/>
          <w:lang w:val="en-US"/>
        </w:rPr>
        <w:t>2002.</w:t>
      </w:r>
    </w:p>
    <w:p w:rsidR="009E01AB" w:rsidRPr="0056123C" w:rsidRDefault="009E01AB" w:rsidP="009E01AB">
      <w:pPr>
        <w:jc w:val="both"/>
        <w:rPr>
          <w:lang w:val="en-US"/>
        </w:rPr>
      </w:pPr>
    </w:p>
    <w:p w:rsidR="009E01AB" w:rsidRPr="0056123C" w:rsidRDefault="009E01AB" w:rsidP="009E01AB">
      <w:pPr>
        <w:autoSpaceDE w:val="0"/>
        <w:autoSpaceDN w:val="0"/>
        <w:adjustRightInd w:val="0"/>
        <w:jc w:val="both"/>
        <w:rPr>
          <w:lang w:val="en-US"/>
        </w:rPr>
      </w:pPr>
      <w:r w:rsidRPr="0056123C">
        <w:rPr>
          <w:lang w:val="en-US"/>
        </w:rPr>
        <w:t>9. Conover WJ. Practical nonparametric statistics, 3</w:t>
      </w:r>
      <w:r w:rsidRPr="0056123C">
        <w:rPr>
          <w:vertAlign w:val="superscript"/>
          <w:lang w:val="en-US"/>
        </w:rPr>
        <w:t xml:space="preserve">rd </w:t>
      </w:r>
      <w:proofErr w:type="gramStart"/>
      <w:r w:rsidRPr="0056123C">
        <w:rPr>
          <w:lang w:val="en-US"/>
        </w:rPr>
        <w:t>ed</w:t>
      </w:r>
      <w:proofErr w:type="gramEnd"/>
      <w:r w:rsidRPr="0056123C">
        <w:rPr>
          <w:lang w:val="en-US"/>
        </w:rPr>
        <w:t xml:space="preserve">. </w:t>
      </w:r>
      <w:r w:rsidRPr="0056123C">
        <w:rPr>
          <w:noProof/>
          <w:lang w:val="en-US"/>
        </w:rPr>
        <w:t xml:space="preserve">New Jersey: </w:t>
      </w:r>
      <w:r w:rsidRPr="0056123C">
        <w:rPr>
          <w:lang w:val="en-US"/>
        </w:rPr>
        <w:t xml:space="preserve">John Wiley &amp; Sons, </w:t>
      </w:r>
      <w:proofErr w:type="spellStart"/>
      <w:r w:rsidRPr="0056123C">
        <w:rPr>
          <w:lang w:val="en-US"/>
        </w:rPr>
        <w:t>Inc</w:t>
      </w:r>
      <w:proofErr w:type="spellEnd"/>
      <w:r w:rsidRPr="0056123C">
        <w:rPr>
          <w:lang w:val="en-US"/>
        </w:rPr>
        <w:t>; 1999.</w:t>
      </w:r>
    </w:p>
    <w:p w:rsidR="009E01AB" w:rsidRPr="0056123C" w:rsidRDefault="009E01AB" w:rsidP="009E01AB">
      <w:pPr>
        <w:pStyle w:val="Ttulo1"/>
        <w:spacing w:before="0" w:beforeAutospacing="0" w:after="0" w:afterAutospacing="0"/>
        <w:jc w:val="both"/>
        <w:rPr>
          <w:b w:val="0"/>
          <w:sz w:val="24"/>
          <w:szCs w:val="24"/>
          <w:lang w:val="en-US"/>
        </w:rPr>
      </w:pPr>
    </w:p>
    <w:p w:rsidR="009E01AB" w:rsidRPr="0056123C" w:rsidRDefault="009E01AB" w:rsidP="009E01AB">
      <w:pPr>
        <w:autoSpaceDE w:val="0"/>
        <w:autoSpaceDN w:val="0"/>
        <w:adjustRightInd w:val="0"/>
        <w:jc w:val="both"/>
        <w:rPr>
          <w:rStyle w:val="citation"/>
          <w:lang w:val="en-US"/>
        </w:rPr>
      </w:pPr>
      <w:r w:rsidRPr="0056123C">
        <w:rPr>
          <w:rStyle w:val="citation"/>
          <w:lang w:val="en-US"/>
        </w:rPr>
        <w:t xml:space="preserve">10. Shapiro SS, </w:t>
      </w:r>
      <w:hyperlink r:id="rId22" w:tooltip="Martin Wilk" w:history="1">
        <w:r w:rsidRPr="0056123C">
          <w:rPr>
            <w:rStyle w:val="Hyperlink"/>
            <w:color w:val="auto"/>
            <w:u w:val="none"/>
            <w:lang w:val="en-US"/>
          </w:rPr>
          <w:t>Wilk MB.</w:t>
        </w:r>
      </w:hyperlink>
      <w:r w:rsidRPr="0056123C">
        <w:rPr>
          <w:lang w:val="en-US"/>
        </w:rPr>
        <w:t xml:space="preserve"> </w:t>
      </w:r>
      <w:r w:rsidRPr="0056123C">
        <w:rPr>
          <w:rStyle w:val="citation"/>
          <w:lang w:val="en-US"/>
        </w:rPr>
        <w:t xml:space="preserve">An analysis of variance test for normality (complete samples). </w:t>
      </w:r>
      <w:hyperlink r:id="rId23" w:tooltip="Biometrika" w:history="1">
        <w:r w:rsidRPr="0056123C">
          <w:rPr>
            <w:rStyle w:val="Hyperlink"/>
            <w:iCs/>
            <w:color w:val="auto"/>
            <w:u w:val="none"/>
            <w:lang w:val="en-US"/>
          </w:rPr>
          <w:t>Biometrika</w:t>
        </w:r>
      </w:hyperlink>
      <w:r w:rsidRPr="0056123C">
        <w:rPr>
          <w:rStyle w:val="citation"/>
          <w:bCs/>
          <w:lang w:val="en-US"/>
        </w:rPr>
        <w:t>.</w:t>
      </w:r>
      <w:r w:rsidRPr="0056123C">
        <w:rPr>
          <w:rStyle w:val="citation"/>
          <w:lang w:val="en-US"/>
        </w:rPr>
        <w:t>1965</w:t>
      </w:r>
      <w:r w:rsidRPr="0056123C">
        <w:rPr>
          <w:rStyle w:val="Recuodecorpodetexto3Char"/>
          <w:lang w:val="en-US"/>
        </w:rPr>
        <w:t xml:space="preserve"> </w:t>
      </w:r>
      <w:proofErr w:type="spellStart"/>
      <w:r w:rsidRPr="0056123C">
        <w:rPr>
          <w:rStyle w:val="citation"/>
          <w:lang w:val="en-US"/>
        </w:rPr>
        <w:t>dec</w:t>
      </w:r>
      <w:proofErr w:type="spellEnd"/>
      <w:proofErr w:type="gramStart"/>
      <w:r w:rsidRPr="0056123C">
        <w:rPr>
          <w:rStyle w:val="citation"/>
          <w:lang w:val="en-US"/>
        </w:rPr>
        <w:t>;</w:t>
      </w:r>
      <w:proofErr w:type="gramEnd"/>
      <w:r w:rsidRPr="0056123C">
        <w:rPr>
          <w:rStyle w:val="citation"/>
          <w:lang w:val="en-US"/>
        </w:rPr>
        <w:t xml:space="preserve"> </w:t>
      </w:r>
      <w:r w:rsidRPr="0056123C">
        <w:rPr>
          <w:rStyle w:val="citation"/>
          <w:bCs/>
          <w:lang w:val="en-US"/>
        </w:rPr>
        <w:t>52</w:t>
      </w:r>
      <w:r w:rsidRPr="0056123C">
        <w:rPr>
          <w:rStyle w:val="citation"/>
          <w:lang w:val="en-US"/>
        </w:rPr>
        <w:t>(3–4): 591–611.</w:t>
      </w:r>
    </w:p>
    <w:p w:rsidR="009E01AB" w:rsidRPr="0056123C" w:rsidRDefault="009E01AB" w:rsidP="009E01AB">
      <w:pPr>
        <w:pStyle w:val="Ttulo1"/>
        <w:spacing w:before="0" w:beforeAutospacing="0" w:after="0" w:afterAutospacing="0"/>
        <w:jc w:val="both"/>
        <w:rPr>
          <w:b w:val="0"/>
          <w:sz w:val="24"/>
          <w:szCs w:val="24"/>
          <w:lang w:val="en-US"/>
        </w:rPr>
      </w:pPr>
    </w:p>
    <w:p w:rsidR="009E01AB" w:rsidRPr="0056123C" w:rsidRDefault="009E01AB" w:rsidP="009E01AB">
      <w:pPr>
        <w:autoSpaceDE w:val="0"/>
        <w:autoSpaceDN w:val="0"/>
        <w:adjustRightInd w:val="0"/>
        <w:jc w:val="both"/>
      </w:pPr>
      <w:r w:rsidRPr="0056123C">
        <w:rPr>
          <w:rStyle w:val="citation"/>
          <w:lang w:val="en-US"/>
        </w:rPr>
        <w:t xml:space="preserve">11. </w:t>
      </w:r>
      <w:r w:rsidRPr="0056123C">
        <w:rPr>
          <w:lang w:val="en-US"/>
        </w:rPr>
        <w:t xml:space="preserve">Durbin J, Watson GS. Testing for serial correlation in least squares </w:t>
      </w:r>
      <w:proofErr w:type="spellStart"/>
      <w:r w:rsidRPr="0056123C">
        <w:rPr>
          <w:lang w:val="en-US"/>
        </w:rPr>
        <w:t>regression.III</w:t>
      </w:r>
      <w:proofErr w:type="spellEnd"/>
      <w:r w:rsidRPr="0056123C">
        <w:rPr>
          <w:lang w:val="en-US"/>
        </w:rPr>
        <w:t xml:space="preserve">. </w:t>
      </w:r>
      <w:proofErr w:type="spellStart"/>
      <w:r w:rsidRPr="0056123C">
        <w:rPr>
          <w:iCs/>
          <w:lang w:val="en-US"/>
        </w:rPr>
        <w:t>Biometrika</w:t>
      </w:r>
      <w:proofErr w:type="spellEnd"/>
      <w:r w:rsidRPr="0056123C">
        <w:rPr>
          <w:iCs/>
          <w:lang w:val="en-US"/>
        </w:rPr>
        <w:t xml:space="preserve">. </w:t>
      </w:r>
      <w:r w:rsidRPr="0056123C">
        <w:t xml:space="preserve">1971 </w:t>
      </w:r>
      <w:proofErr w:type="spellStart"/>
      <w:r w:rsidRPr="0056123C">
        <w:t>apr</w:t>
      </w:r>
      <w:proofErr w:type="spellEnd"/>
      <w:r w:rsidRPr="0056123C">
        <w:t xml:space="preserve">; </w:t>
      </w:r>
      <w:r w:rsidRPr="0056123C">
        <w:rPr>
          <w:bCs/>
        </w:rPr>
        <w:t>58</w:t>
      </w:r>
      <w:r w:rsidRPr="0056123C">
        <w:t>(1): 1–19.</w:t>
      </w:r>
    </w:p>
    <w:p w:rsidR="009E01AB" w:rsidRPr="0056123C" w:rsidRDefault="009E01AB" w:rsidP="009E01AB">
      <w:pPr>
        <w:autoSpaceDE w:val="0"/>
        <w:autoSpaceDN w:val="0"/>
        <w:adjustRightInd w:val="0"/>
        <w:jc w:val="both"/>
      </w:pPr>
    </w:p>
    <w:p w:rsidR="009E01AB" w:rsidRPr="0056123C" w:rsidRDefault="009E01AB" w:rsidP="009E01AB">
      <w:pPr>
        <w:shd w:val="clear" w:color="auto" w:fill="FFFFFF"/>
        <w:jc w:val="both"/>
        <w:rPr>
          <w:lang w:val="en-US"/>
        </w:rPr>
      </w:pPr>
      <w:r w:rsidRPr="0056123C">
        <w:t xml:space="preserve">12. Papa MAF, </w:t>
      </w:r>
      <w:proofErr w:type="spellStart"/>
      <w:r w:rsidRPr="0056123C">
        <w:t>Wisnieswsk</w:t>
      </w:r>
      <w:proofErr w:type="spellEnd"/>
      <w:r w:rsidRPr="0056123C">
        <w:t xml:space="preserve"> D, </w:t>
      </w:r>
      <w:proofErr w:type="spellStart"/>
      <w:r w:rsidRPr="0056123C">
        <w:t>Inoue</w:t>
      </w:r>
      <w:proofErr w:type="spellEnd"/>
      <w:r w:rsidRPr="0056123C">
        <w:t xml:space="preserve"> KC, Fernandes CAM, Évora YD, Matsuda LM</w:t>
      </w:r>
      <w:r w:rsidRPr="0056123C">
        <w:rPr>
          <w:sz w:val="20"/>
          <w:szCs w:val="20"/>
        </w:rPr>
        <w:t xml:space="preserve">. </w:t>
      </w:r>
      <w:r w:rsidRPr="0056123C">
        <w:rPr>
          <w:sz w:val="20"/>
          <w:szCs w:val="20"/>
          <w:lang w:val="en-US"/>
        </w:rPr>
        <w:t>M</w:t>
      </w:r>
      <w:r w:rsidRPr="0056123C">
        <w:rPr>
          <w:lang w:val="en-US"/>
        </w:rPr>
        <w:t xml:space="preserve">ortality from land transport accidents: a comparative analysis. </w:t>
      </w:r>
      <w:proofErr w:type="spellStart"/>
      <w:r w:rsidRPr="0056123C">
        <w:rPr>
          <w:shd w:val="clear" w:color="auto" w:fill="FFFFFF"/>
          <w:lang w:val="en-US"/>
        </w:rPr>
        <w:t>Cogitare</w:t>
      </w:r>
      <w:proofErr w:type="spellEnd"/>
      <w:r w:rsidRPr="0056123C">
        <w:rPr>
          <w:shd w:val="clear" w:color="auto" w:fill="FFFFFF"/>
          <w:lang w:val="en-US"/>
        </w:rPr>
        <w:t xml:space="preserve"> </w:t>
      </w:r>
      <w:proofErr w:type="spellStart"/>
      <w:r w:rsidRPr="0056123C">
        <w:rPr>
          <w:shd w:val="clear" w:color="auto" w:fill="FFFFFF"/>
          <w:lang w:val="en-US"/>
        </w:rPr>
        <w:t>Enferm</w:t>
      </w:r>
      <w:proofErr w:type="spellEnd"/>
      <w:r w:rsidRPr="0056123C">
        <w:rPr>
          <w:shd w:val="clear" w:color="auto" w:fill="FFFFFF"/>
          <w:lang w:val="en-US"/>
        </w:rPr>
        <w:t xml:space="preserve">. 2014 </w:t>
      </w:r>
      <w:proofErr w:type="spellStart"/>
      <w:r w:rsidRPr="0056123C">
        <w:rPr>
          <w:shd w:val="clear" w:color="auto" w:fill="FFFFFF"/>
          <w:lang w:val="en-US"/>
        </w:rPr>
        <w:t>jan</w:t>
      </w:r>
      <w:proofErr w:type="spellEnd"/>
      <w:r w:rsidRPr="0056123C">
        <w:rPr>
          <w:shd w:val="clear" w:color="auto" w:fill="FFFFFF"/>
          <w:lang w:val="en-US"/>
        </w:rPr>
        <w:t>/mar; 19(1): 49-56.</w:t>
      </w:r>
    </w:p>
    <w:p w:rsidR="009E01AB" w:rsidRPr="0056123C" w:rsidRDefault="009E01AB" w:rsidP="009E01AB">
      <w:pPr>
        <w:shd w:val="clear" w:color="auto" w:fill="FFFFFF"/>
        <w:rPr>
          <w:sz w:val="20"/>
          <w:szCs w:val="20"/>
          <w:lang w:val="en-US"/>
        </w:rPr>
      </w:pPr>
    </w:p>
    <w:p w:rsidR="009E01AB" w:rsidRPr="0056123C" w:rsidRDefault="009E01AB" w:rsidP="009E01AB">
      <w:pPr>
        <w:autoSpaceDE w:val="0"/>
        <w:autoSpaceDN w:val="0"/>
        <w:adjustRightInd w:val="0"/>
        <w:jc w:val="both"/>
      </w:pPr>
      <w:r w:rsidRPr="0056123C">
        <w:rPr>
          <w:lang w:val="en-US"/>
        </w:rPr>
        <w:t xml:space="preserve">13. Moller M, </w:t>
      </w:r>
      <w:proofErr w:type="spellStart"/>
      <w:r w:rsidRPr="0056123C">
        <w:rPr>
          <w:lang w:val="en-US"/>
        </w:rPr>
        <w:t>Haustein</w:t>
      </w:r>
      <w:proofErr w:type="spellEnd"/>
      <w:r w:rsidRPr="0056123C">
        <w:rPr>
          <w:lang w:val="en-US"/>
        </w:rPr>
        <w:t xml:space="preserve"> S. Factors contributing to young moped rider accidents in Denmark. </w:t>
      </w:r>
      <w:proofErr w:type="spellStart"/>
      <w:r w:rsidRPr="0056123C">
        <w:t>Accid</w:t>
      </w:r>
      <w:proofErr w:type="spellEnd"/>
      <w:r w:rsidRPr="0056123C">
        <w:t xml:space="preserve">. Anal. Prev. 2016 </w:t>
      </w:r>
      <w:proofErr w:type="spellStart"/>
      <w:r w:rsidRPr="0056123C">
        <w:t>feb</w:t>
      </w:r>
      <w:proofErr w:type="spellEnd"/>
      <w:r w:rsidRPr="0056123C">
        <w:t>; 87: 1-7.</w:t>
      </w:r>
    </w:p>
    <w:p w:rsidR="009E01AB" w:rsidRPr="0056123C" w:rsidRDefault="009E01AB" w:rsidP="009E01AB">
      <w:pPr>
        <w:autoSpaceDE w:val="0"/>
        <w:autoSpaceDN w:val="0"/>
        <w:adjustRightInd w:val="0"/>
        <w:jc w:val="both"/>
      </w:pPr>
    </w:p>
    <w:p w:rsidR="009E01AB" w:rsidRPr="0056123C" w:rsidRDefault="009E01AB" w:rsidP="009E01AB">
      <w:pPr>
        <w:jc w:val="both"/>
      </w:pPr>
      <w:r w:rsidRPr="0056123C">
        <w:t xml:space="preserve">14. Paraná. Instituto Paranaense de Desenvolvimento Econômico e Social. Caderno Estatístico do Estado do Paraná. </w:t>
      </w:r>
      <w:proofErr w:type="spellStart"/>
      <w:r w:rsidRPr="0056123C">
        <w:t>Ipardes</w:t>
      </w:r>
      <w:proofErr w:type="spellEnd"/>
      <w:r w:rsidRPr="0056123C">
        <w:t>: 2017.</w:t>
      </w:r>
    </w:p>
    <w:p w:rsidR="009E01AB" w:rsidRPr="0056123C" w:rsidRDefault="009E01AB" w:rsidP="009E01AB">
      <w:pPr>
        <w:pStyle w:val="Ttulo1"/>
        <w:spacing w:before="0" w:beforeAutospacing="0" w:after="0" w:afterAutospacing="0"/>
        <w:jc w:val="both"/>
        <w:rPr>
          <w:b w:val="0"/>
          <w:sz w:val="24"/>
          <w:szCs w:val="24"/>
        </w:rPr>
      </w:pPr>
    </w:p>
    <w:p w:rsidR="009E01AB" w:rsidRPr="0056123C" w:rsidRDefault="009E01AB" w:rsidP="009E01AB">
      <w:pPr>
        <w:pStyle w:val="Ttulo3"/>
        <w:shd w:val="clear" w:color="auto" w:fill="FBFBF3"/>
        <w:spacing w:before="0" w:line="240" w:lineRule="auto"/>
        <w:ind w:right="240"/>
        <w:jc w:val="both"/>
        <w:rPr>
          <w:rFonts w:ascii="Times New Roman" w:hAnsi="Times New Roman"/>
          <w:b w:val="0"/>
          <w:color w:val="auto"/>
          <w:sz w:val="24"/>
          <w:szCs w:val="24"/>
        </w:rPr>
      </w:pPr>
      <w:r w:rsidRPr="0056123C">
        <w:rPr>
          <w:rFonts w:ascii="Times New Roman" w:hAnsi="Times New Roman"/>
          <w:b w:val="0"/>
          <w:color w:val="auto"/>
          <w:sz w:val="24"/>
          <w:szCs w:val="24"/>
        </w:rPr>
        <w:t xml:space="preserve">15. Oliveira NLB de, Souza EM de, Cunha GZ da. </w:t>
      </w:r>
      <w:r w:rsidRPr="0056123C">
        <w:rPr>
          <w:rFonts w:ascii="Times New Roman" w:hAnsi="Times New Roman"/>
          <w:b w:val="0"/>
          <w:color w:val="auto"/>
          <w:sz w:val="24"/>
          <w:szCs w:val="24"/>
          <w:lang w:val="en-US"/>
        </w:rPr>
        <w:t xml:space="preserve">Motorcyclist mortality in traffic accidents: temporal trend between 1997 and 2012. </w:t>
      </w:r>
      <w:r w:rsidRPr="0056123C">
        <w:rPr>
          <w:rFonts w:ascii="Times New Roman" w:hAnsi="Times New Roman"/>
          <w:b w:val="0"/>
          <w:color w:val="auto"/>
          <w:sz w:val="24"/>
          <w:szCs w:val="24"/>
        </w:rPr>
        <w:t xml:space="preserve">Cienc. </w:t>
      </w:r>
      <w:proofErr w:type="spellStart"/>
      <w:r w:rsidRPr="0056123C">
        <w:rPr>
          <w:rFonts w:ascii="Times New Roman" w:hAnsi="Times New Roman"/>
          <w:b w:val="0"/>
          <w:color w:val="auto"/>
          <w:sz w:val="24"/>
          <w:szCs w:val="24"/>
        </w:rPr>
        <w:t>Cuid</w:t>
      </w:r>
      <w:proofErr w:type="spellEnd"/>
      <w:r w:rsidRPr="0056123C">
        <w:rPr>
          <w:rFonts w:ascii="Times New Roman" w:hAnsi="Times New Roman"/>
          <w:b w:val="0"/>
          <w:color w:val="auto"/>
          <w:sz w:val="24"/>
          <w:szCs w:val="24"/>
        </w:rPr>
        <w:t xml:space="preserve">. Saúde. 2017 </w:t>
      </w:r>
      <w:proofErr w:type="spellStart"/>
      <w:r w:rsidRPr="0056123C">
        <w:rPr>
          <w:rFonts w:ascii="Times New Roman" w:hAnsi="Times New Roman"/>
          <w:b w:val="0"/>
          <w:color w:val="auto"/>
          <w:sz w:val="24"/>
          <w:szCs w:val="24"/>
        </w:rPr>
        <w:t>jan</w:t>
      </w:r>
      <w:proofErr w:type="spellEnd"/>
      <w:r w:rsidRPr="0056123C">
        <w:rPr>
          <w:rFonts w:ascii="Times New Roman" w:hAnsi="Times New Roman"/>
          <w:b w:val="0"/>
          <w:color w:val="auto"/>
          <w:sz w:val="24"/>
          <w:szCs w:val="24"/>
        </w:rPr>
        <w:t>/mar; 16(1): 1-7.</w:t>
      </w:r>
    </w:p>
    <w:p w:rsidR="009E01AB" w:rsidRPr="0056123C" w:rsidRDefault="009E01AB" w:rsidP="009E01AB">
      <w:pPr>
        <w:rPr>
          <w:lang w:eastAsia="en-US"/>
        </w:rPr>
      </w:pPr>
    </w:p>
    <w:p w:rsidR="009E01AB" w:rsidRPr="0056123C" w:rsidRDefault="009E01AB" w:rsidP="009E01AB">
      <w:pPr>
        <w:pStyle w:val="tituloenhome"/>
        <w:shd w:val="clear" w:color="auto" w:fill="FFFFFF"/>
        <w:spacing w:before="0" w:beforeAutospacing="0" w:after="0" w:afterAutospacing="0"/>
        <w:jc w:val="both"/>
      </w:pPr>
      <w:r w:rsidRPr="0056123C">
        <w:rPr>
          <w:lang w:eastAsia="en-US"/>
        </w:rPr>
        <w:t xml:space="preserve">16. </w:t>
      </w:r>
      <w:r w:rsidRPr="0056123C">
        <w:rPr>
          <w:iCs/>
        </w:rPr>
        <w:t xml:space="preserve">Campos MP, Ferreira AM, Bolina CC, Marques Neto C, Costa GD, Mendes RAS, et al. </w:t>
      </w:r>
      <w:r w:rsidRPr="0056123C">
        <w:rPr>
          <w:lang w:val="en-US"/>
        </w:rPr>
        <w:t xml:space="preserve">Relation between alcohol and deaths by car accident in the city of </w:t>
      </w:r>
      <w:proofErr w:type="spellStart"/>
      <w:r w:rsidRPr="0056123C">
        <w:rPr>
          <w:lang w:val="en-US"/>
        </w:rPr>
        <w:t>Barbacena</w:t>
      </w:r>
      <w:proofErr w:type="spellEnd"/>
      <w:r w:rsidRPr="0056123C">
        <w:rPr>
          <w:lang w:val="en-US"/>
        </w:rPr>
        <w:t xml:space="preserve">-MG 2004-2014. </w:t>
      </w:r>
      <w:r w:rsidRPr="00393475">
        <w:rPr>
          <w:lang w:val="en-US"/>
        </w:rPr>
        <w:t xml:space="preserve">Rev. Med. </w:t>
      </w:r>
      <w:r w:rsidRPr="0056123C">
        <w:t xml:space="preserve">Minas Gerais. 2016 </w:t>
      </w:r>
      <w:proofErr w:type="spellStart"/>
      <w:r w:rsidRPr="0056123C">
        <w:t>nov</w:t>
      </w:r>
      <w:proofErr w:type="spellEnd"/>
      <w:r w:rsidRPr="0056123C">
        <w:t>/</w:t>
      </w:r>
      <w:proofErr w:type="spellStart"/>
      <w:r w:rsidRPr="0056123C">
        <w:t>dec</w:t>
      </w:r>
      <w:proofErr w:type="spellEnd"/>
      <w:r w:rsidRPr="0056123C">
        <w:t>; 26(Suppl.5): S128-S133.</w:t>
      </w:r>
    </w:p>
    <w:p w:rsidR="009E01AB" w:rsidRPr="0056123C" w:rsidRDefault="009E01AB" w:rsidP="009E01AB">
      <w:pPr>
        <w:rPr>
          <w:lang w:eastAsia="en-US"/>
        </w:rPr>
      </w:pPr>
    </w:p>
    <w:p w:rsidR="009E01AB" w:rsidRPr="0056123C" w:rsidRDefault="009E01AB" w:rsidP="009E01AB">
      <w:pPr>
        <w:pStyle w:val="Default"/>
        <w:jc w:val="both"/>
        <w:rPr>
          <w:rStyle w:val="A7"/>
          <w:rFonts w:ascii="Times New Roman" w:hAnsi="Times New Roman" w:cs="Times New Roman"/>
          <w:sz w:val="24"/>
          <w:szCs w:val="24"/>
          <w:lang w:val="en-US"/>
        </w:rPr>
      </w:pPr>
      <w:r w:rsidRPr="0056123C">
        <w:rPr>
          <w:rFonts w:ascii="Times New Roman" w:hAnsi="Times New Roman" w:cs="Times New Roman"/>
        </w:rPr>
        <w:t xml:space="preserve">17. Silva e Dutra FCM, Costa LC, Sampaio RF. </w:t>
      </w:r>
      <w:r w:rsidRPr="0056123C">
        <w:rPr>
          <w:rFonts w:ascii="Times New Roman" w:hAnsi="Times New Roman" w:cs="Times New Roman"/>
          <w:color w:val="auto"/>
        </w:rPr>
        <w:t xml:space="preserve"> </w:t>
      </w:r>
      <w:r w:rsidRPr="0056123C">
        <w:rPr>
          <w:rFonts w:ascii="Times New Roman" w:hAnsi="Times New Roman" w:cs="Times New Roman"/>
          <w:iCs/>
          <w:lang w:val="en-US"/>
        </w:rPr>
        <w:t xml:space="preserve">The influence of medical work leaves in the perception of health and quality of life of adult individuals. </w:t>
      </w:r>
      <w:proofErr w:type="spellStart"/>
      <w:r w:rsidRPr="0056123C">
        <w:rPr>
          <w:rStyle w:val="A7"/>
          <w:rFonts w:ascii="Times New Roman" w:hAnsi="Times New Roman" w:cs="Times New Roman"/>
          <w:sz w:val="24"/>
          <w:szCs w:val="24"/>
          <w:lang w:val="en-US"/>
        </w:rPr>
        <w:t>Fisioter</w:t>
      </w:r>
      <w:proofErr w:type="spellEnd"/>
      <w:r w:rsidRPr="0056123C">
        <w:rPr>
          <w:rStyle w:val="A7"/>
          <w:rFonts w:ascii="Times New Roman" w:hAnsi="Times New Roman" w:cs="Times New Roman"/>
          <w:sz w:val="24"/>
          <w:szCs w:val="24"/>
          <w:lang w:val="en-US"/>
        </w:rPr>
        <w:t xml:space="preserve">. </w:t>
      </w:r>
      <w:proofErr w:type="spellStart"/>
      <w:r w:rsidRPr="0056123C">
        <w:rPr>
          <w:rStyle w:val="A7"/>
          <w:rFonts w:ascii="Times New Roman" w:hAnsi="Times New Roman" w:cs="Times New Roman"/>
          <w:sz w:val="24"/>
          <w:szCs w:val="24"/>
          <w:lang w:val="en-US"/>
        </w:rPr>
        <w:t>Pesq</w:t>
      </w:r>
      <w:proofErr w:type="spellEnd"/>
      <w:r w:rsidRPr="0056123C">
        <w:rPr>
          <w:rStyle w:val="A7"/>
          <w:rFonts w:ascii="Times New Roman" w:hAnsi="Times New Roman" w:cs="Times New Roman"/>
          <w:sz w:val="24"/>
          <w:szCs w:val="24"/>
          <w:lang w:val="en-US"/>
        </w:rPr>
        <w:t xml:space="preserve">. 2016 </w:t>
      </w:r>
      <w:proofErr w:type="spellStart"/>
      <w:r w:rsidRPr="0056123C">
        <w:rPr>
          <w:rStyle w:val="A7"/>
          <w:rFonts w:ascii="Times New Roman" w:hAnsi="Times New Roman" w:cs="Times New Roman"/>
          <w:sz w:val="24"/>
          <w:szCs w:val="24"/>
          <w:lang w:val="en-US"/>
        </w:rPr>
        <w:t>jan</w:t>
      </w:r>
      <w:proofErr w:type="spellEnd"/>
      <w:r w:rsidRPr="0056123C">
        <w:rPr>
          <w:rStyle w:val="A7"/>
          <w:rFonts w:ascii="Times New Roman" w:hAnsi="Times New Roman" w:cs="Times New Roman"/>
          <w:sz w:val="24"/>
          <w:szCs w:val="24"/>
          <w:lang w:val="en-US"/>
        </w:rPr>
        <w:t>/mar; 23(1): 98-104.</w:t>
      </w:r>
    </w:p>
    <w:p w:rsidR="009E01AB" w:rsidRPr="0056123C" w:rsidRDefault="009E01AB" w:rsidP="009E01AB">
      <w:pPr>
        <w:pStyle w:val="Default"/>
        <w:jc w:val="both"/>
        <w:rPr>
          <w:lang w:val="en-US"/>
        </w:rPr>
      </w:pPr>
    </w:p>
    <w:p w:rsidR="009E01AB" w:rsidRPr="0056123C" w:rsidRDefault="009E01AB" w:rsidP="009E01AB">
      <w:pPr>
        <w:pStyle w:val="Default"/>
        <w:jc w:val="both"/>
        <w:rPr>
          <w:rFonts w:ascii="Times New Roman" w:hAnsi="Times New Roman" w:cs="Times New Roman"/>
        </w:rPr>
      </w:pPr>
      <w:r w:rsidRPr="0056123C">
        <w:rPr>
          <w:rFonts w:ascii="Times New Roman" w:hAnsi="Times New Roman" w:cs="Times New Roman"/>
          <w:lang w:val="en-US"/>
        </w:rPr>
        <w:t xml:space="preserve">18. </w:t>
      </w:r>
      <w:proofErr w:type="spellStart"/>
      <w:r w:rsidRPr="0056123C">
        <w:rPr>
          <w:rFonts w:ascii="Times New Roman" w:hAnsi="Times New Roman" w:cs="Times New Roman"/>
          <w:lang w:val="en-US"/>
        </w:rPr>
        <w:t>Fernandes</w:t>
      </w:r>
      <w:proofErr w:type="spellEnd"/>
      <w:r w:rsidRPr="0056123C">
        <w:rPr>
          <w:rFonts w:ascii="Times New Roman" w:hAnsi="Times New Roman" w:cs="Times New Roman"/>
          <w:lang w:val="en-US"/>
        </w:rPr>
        <w:t xml:space="preserve"> YCF, </w:t>
      </w:r>
      <w:proofErr w:type="spellStart"/>
      <w:r w:rsidRPr="0056123C">
        <w:rPr>
          <w:rFonts w:ascii="Times New Roman" w:hAnsi="Times New Roman" w:cs="Times New Roman"/>
          <w:lang w:val="en-US"/>
        </w:rPr>
        <w:t>Favaretto</w:t>
      </w:r>
      <w:proofErr w:type="spellEnd"/>
      <w:r w:rsidRPr="0056123C">
        <w:rPr>
          <w:rFonts w:ascii="Times New Roman" w:hAnsi="Times New Roman" w:cs="Times New Roman"/>
          <w:lang w:val="en-US"/>
        </w:rPr>
        <w:t xml:space="preserve"> PE, </w:t>
      </w:r>
      <w:proofErr w:type="spellStart"/>
      <w:r w:rsidRPr="0056123C">
        <w:rPr>
          <w:rFonts w:ascii="Times New Roman" w:hAnsi="Times New Roman" w:cs="Times New Roman"/>
          <w:lang w:val="en-US"/>
        </w:rPr>
        <w:t>Slaviero</w:t>
      </w:r>
      <w:proofErr w:type="spellEnd"/>
      <w:r w:rsidRPr="0056123C">
        <w:rPr>
          <w:rFonts w:ascii="Times New Roman" w:hAnsi="Times New Roman" w:cs="Times New Roman"/>
          <w:lang w:val="en-US"/>
        </w:rPr>
        <w:t xml:space="preserve"> RS, </w:t>
      </w:r>
      <w:proofErr w:type="spellStart"/>
      <w:r w:rsidRPr="0056123C">
        <w:rPr>
          <w:rFonts w:ascii="Times New Roman" w:hAnsi="Times New Roman" w:cs="Times New Roman"/>
          <w:lang w:val="en-US"/>
        </w:rPr>
        <w:t>Griep</w:t>
      </w:r>
      <w:proofErr w:type="spellEnd"/>
      <w:r w:rsidRPr="0056123C">
        <w:rPr>
          <w:rFonts w:ascii="Times New Roman" w:hAnsi="Times New Roman" w:cs="Times New Roman"/>
          <w:lang w:val="en-US"/>
        </w:rPr>
        <w:t xml:space="preserve"> R. Traffic accidents and victims treated at a pre-hospital service in Paraná. </w:t>
      </w:r>
      <w:r w:rsidRPr="0056123C">
        <w:rPr>
          <w:rFonts w:ascii="Times New Roman" w:hAnsi="Times New Roman" w:cs="Times New Roman"/>
        </w:rPr>
        <w:t>Rev. Med. UFPR. 2016 [s/m]; 3(3): 114-21.</w:t>
      </w:r>
    </w:p>
    <w:p w:rsidR="009E01AB" w:rsidRPr="0056123C" w:rsidRDefault="009E01AB" w:rsidP="009E01AB">
      <w:pPr>
        <w:pStyle w:val="NormalWeb"/>
        <w:jc w:val="both"/>
      </w:pPr>
      <w:r w:rsidRPr="0056123C">
        <w:rPr>
          <w:shd w:val="clear" w:color="auto" w:fill="FFFFFF"/>
        </w:rPr>
        <w:t xml:space="preserve">19. </w:t>
      </w:r>
      <w:r w:rsidRPr="0056123C">
        <w:t xml:space="preserve">Morais Neto OL de, Montenegro M de MS, Monteiro RA, Siqueira Junior JB, da Silva MMA, de Lima CM, et al. </w:t>
      </w:r>
      <w:r w:rsidRPr="0056123C">
        <w:rPr>
          <w:lang w:val="en-US"/>
        </w:rPr>
        <w:t xml:space="preserve">Mortality due to Road traffic accidents in Brazil in the last decade: </w:t>
      </w:r>
      <w:proofErr w:type="spellStart"/>
      <w:r w:rsidRPr="0056123C">
        <w:rPr>
          <w:lang w:val="en-US"/>
        </w:rPr>
        <w:t>trands</w:t>
      </w:r>
      <w:proofErr w:type="spellEnd"/>
      <w:r w:rsidRPr="0056123C">
        <w:rPr>
          <w:lang w:val="en-US"/>
        </w:rPr>
        <w:t xml:space="preserve"> and risk clusters. </w:t>
      </w:r>
      <w:r w:rsidRPr="00393475">
        <w:t xml:space="preserve">Cienc. </w:t>
      </w:r>
      <w:r w:rsidRPr="0056123C">
        <w:t xml:space="preserve">&amp; Saúde Coletiva. 2012 </w:t>
      </w:r>
      <w:proofErr w:type="spellStart"/>
      <w:r w:rsidRPr="0056123C">
        <w:t>sep</w:t>
      </w:r>
      <w:proofErr w:type="spellEnd"/>
      <w:r w:rsidRPr="0056123C">
        <w:t>; 17(9): 2223-36.</w:t>
      </w:r>
    </w:p>
    <w:p w:rsidR="009E01AB" w:rsidRPr="00A20B8E" w:rsidRDefault="009E01AB" w:rsidP="009E01AB">
      <w:pPr>
        <w:pStyle w:val="Ttulo3"/>
        <w:shd w:val="clear" w:color="auto" w:fill="FFFFFF"/>
        <w:jc w:val="both"/>
        <w:rPr>
          <w:b w:val="0"/>
          <w:sz w:val="24"/>
          <w:szCs w:val="24"/>
          <w:shd w:val="clear" w:color="auto" w:fill="FFFFFF"/>
          <w:lang w:val="en-US"/>
        </w:rPr>
      </w:pPr>
      <w:r w:rsidRPr="0056123C">
        <w:rPr>
          <w:rFonts w:ascii="Times New Roman" w:hAnsi="Times New Roman"/>
          <w:b w:val="0"/>
          <w:color w:val="auto"/>
          <w:sz w:val="24"/>
          <w:szCs w:val="24"/>
        </w:rPr>
        <w:lastRenderedPageBreak/>
        <w:t xml:space="preserve">20. </w:t>
      </w:r>
      <w:r w:rsidRPr="0056123C">
        <w:rPr>
          <w:rStyle w:val="author-name"/>
          <w:rFonts w:ascii="Times New Roman" w:hAnsi="Times New Roman"/>
          <w:b w:val="0"/>
          <w:bCs w:val="0"/>
          <w:color w:val="auto"/>
          <w:sz w:val="24"/>
          <w:szCs w:val="24"/>
        </w:rPr>
        <w:t>Ladeira RM,</w:t>
      </w:r>
      <w:hyperlink r:id="rId24" w:anchor="aff1" w:history="1"/>
      <w:r w:rsidRPr="0056123C">
        <w:rPr>
          <w:rFonts w:ascii="Times New Roman" w:hAnsi="Times New Roman"/>
          <w:b w:val="0"/>
          <w:bCs w:val="0"/>
          <w:color w:val="auto"/>
          <w:sz w:val="24"/>
          <w:szCs w:val="24"/>
          <w:vertAlign w:val="superscript"/>
        </w:rPr>
        <w:t xml:space="preserve"> </w:t>
      </w:r>
      <w:r w:rsidRPr="0056123C">
        <w:rPr>
          <w:rStyle w:val="author-name"/>
          <w:rFonts w:ascii="Times New Roman" w:hAnsi="Times New Roman"/>
          <w:b w:val="0"/>
          <w:bCs w:val="0"/>
          <w:color w:val="auto"/>
          <w:sz w:val="24"/>
          <w:szCs w:val="24"/>
        </w:rPr>
        <w:t>Malta DC, Morais Neto OL de, Montenegro MMS</w:t>
      </w:r>
      <w:r w:rsidRPr="0056123C">
        <w:rPr>
          <w:rFonts w:ascii="Times New Roman" w:hAnsi="Times New Roman"/>
          <w:b w:val="0"/>
          <w:bCs w:val="0"/>
          <w:color w:val="auto"/>
          <w:sz w:val="24"/>
          <w:szCs w:val="24"/>
        </w:rPr>
        <w:t xml:space="preserve">, </w:t>
      </w:r>
      <w:r w:rsidRPr="0056123C">
        <w:rPr>
          <w:rStyle w:val="author-name"/>
          <w:rFonts w:ascii="Times New Roman" w:hAnsi="Times New Roman"/>
          <w:b w:val="0"/>
          <w:bCs w:val="0"/>
          <w:color w:val="auto"/>
          <w:sz w:val="24"/>
          <w:szCs w:val="24"/>
        </w:rPr>
        <w:t xml:space="preserve">Soares Filho AM, Vasconcelos CH, et al. </w:t>
      </w:r>
      <w:r w:rsidRPr="0056123C">
        <w:rPr>
          <w:rFonts w:ascii="Times New Roman" w:hAnsi="Times New Roman"/>
          <w:b w:val="0"/>
          <w:bCs w:val="0"/>
          <w:color w:val="auto"/>
          <w:sz w:val="24"/>
          <w:szCs w:val="24"/>
          <w:shd w:val="clear" w:color="auto" w:fill="FFFFFF"/>
          <w:lang w:val="en-US"/>
        </w:rPr>
        <w:t xml:space="preserve">Road traffic accidents: Global Burden of Disease study, Brazil and federated units, 1990 and 2015. </w:t>
      </w:r>
      <w:r w:rsidRPr="0056123C">
        <w:rPr>
          <w:rFonts w:ascii="Times New Roman" w:hAnsi="Times New Roman"/>
          <w:b w:val="0"/>
          <w:color w:val="auto"/>
          <w:sz w:val="24"/>
          <w:szCs w:val="24"/>
          <w:lang w:val="en-US"/>
        </w:rPr>
        <w:t xml:space="preserve">Rev. Bras. </w:t>
      </w:r>
      <w:proofErr w:type="spellStart"/>
      <w:r w:rsidRPr="0056123C">
        <w:rPr>
          <w:rFonts w:ascii="Times New Roman" w:hAnsi="Times New Roman"/>
          <w:b w:val="0"/>
          <w:color w:val="auto"/>
          <w:sz w:val="24"/>
          <w:szCs w:val="24"/>
          <w:lang w:val="en-US"/>
        </w:rPr>
        <w:t>Epidemiol</w:t>
      </w:r>
      <w:proofErr w:type="spellEnd"/>
      <w:r w:rsidRPr="0056123C">
        <w:rPr>
          <w:rFonts w:ascii="Times New Roman" w:hAnsi="Times New Roman"/>
          <w:b w:val="0"/>
          <w:color w:val="auto"/>
          <w:sz w:val="24"/>
          <w:szCs w:val="24"/>
          <w:lang w:val="en-US"/>
        </w:rPr>
        <w:t>. </w:t>
      </w:r>
      <w:proofErr w:type="gramStart"/>
      <w:r w:rsidRPr="0056123C">
        <w:rPr>
          <w:rFonts w:ascii="Times New Roman" w:hAnsi="Times New Roman"/>
          <w:b w:val="0"/>
          <w:color w:val="auto"/>
          <w:sz w:val="24"/>
          <w:szCs w:val="24"/>
          <w:lang w:val="en-US"/>
        </w:rPr>
        <w:t>2017</w:t>
      </w:r>
      <w:proofErr w:type="gramEnd"/>
      <w:r w:rsidRPr="0056123C">
        <w:rPr>
          <w:rFonts w:ascii="Times New Roman" w:hAnsi="Times New Roman"/>
          <w:b w:val="0"/>
          <w:color w:val="auto"/>
          <w:sz w:val="24"/>
          <w:szCs w:val="24"/>
          <w:lang w:val="en-US"/>
        </w:rPr>
        <w:t xml:space="preserve"> may; 20(suppl.1): 157-70.</w:t>
      </w:r>
    </w:p>
    <w:p w:rsidR="00C45C5F" w:rsidRPr="00F92986" w:rsidRDefault="00C45C5F">
      <w:pPr>
        <w:rPr>
          <w:lang w:val="en-US"/>
        </w:rPr>
      </w:pPr>
    </w:p>
    <w:sectPr w:rsidR="00C45C5F" w:rsidRPr="00F92986">
      <w:footerReference w:type="default" r:id="rId2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6923" w:rsidRDefault="004F6923" w:rsidP="009E01AB">
      <w:r>
        <w:separator/>
      </w:r>
    </w:p>
  </w:endnote>
  <w:endnote w:type="continuationSeparator" w:id="0">
    <w:p w:rsidR="004F6923" w:rsidRDefault="004F6923" w:rsidP="009E0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Gotham Narrow Medium">
    <w:altName w:val="Tahom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4605383"/>
      <w:docPartObj>
        <w:docPartGallery w:val="Page Numbers (Bottom of Page)"/>
        <w:docPartUnique/>
      </w:docPartObj>
    </w:sdtPr>
    <w:sdtEndPr/>
    <w:sdtContent>
      <w:p w:rsidR="00E7400A" w:rsidRDefault="00E7400A">
        <w:pPr>
          <w:pStyle w:val="Rodap"/>
          <w:jc w:val="right"/>
        </w:pPr>
        <w:r>
          <w:fldChar w:fldCharType="begin"/>
        </w:r>
        <w:r>
          <w:instrText>PAGE   \* MERGEFORMAT</w:instrText>
        </w:r>
        <w:r>
          <w:fldChar w:fldCharType="separate"/>
        </w:r>
        <w:r w:rsidR="00B419DE">
          <w:rPr>
            <w:noProof/>
          </w:rPr>
          <w:t>5</w:t>
        </w:r>
        <w:r>
          <w:fldChar w:fldCharType="end"/>
        </w:r>
      </w:p>
    </w:sdtContent>
  </w:sdt>
  <w:p w:rsidR="00E7400A" w:rsidRDefault="00E7400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6923" w:rsidRDefault="004F6923" w:rsidP="009E01AB">
      <w:r>
        <w:separator/>
      </w:r>
    </w:p>
  </w:footnote>
  <w:footnote w:type="continuationSeparator" w:id="0">
    <w:p w:rsidR="004F6923" w:rsidRDefault="004F6923" w:rsidP="009E01AB">
      <w:r>
        <w:continuationSeparator/>
      </w:r>
    </w:p>
  </w:footnote>
  <w:footnote w:id="1">
    <w:p w:rsidR="00E7400A" w:rsidRPr="00393475" w:rsidRDefault="00E7400A" w:rsidP="00F92986">
      <w:pPr>
        <w:pStyle w:val="Textodenotaderodap"/>
        <w:jc w:val="both"/>
        <w:rPr>
          <w:sz w:val="24"/>
          <w:szCs w:val="24"/>
          <w:lang w:val="en-US"/>
        </w:rPr>
      </w:pPr>
      <w:r w:rsidRPr="00B53A84">
        <w:rPr>
          <w:rStyle w:val="Refdenotaderodap"/>
          <w:sz w:val="24"/>
          <w:szCs w:val="24"/>
        </w:rPr>
        <w:footnoteRef/>
      </w:r>
      <w:r w:rsidRPr="00393475">
        <w:rPr>
          <w:sz w:val="24"/>
          <w:szCs w:val="24"/>
          <w:lang w:val="en-US"/>
        </w:rPr>
        <w:t>Nurse. PhD in Nursing in Adult Health. Associate Professor, Department of Nursing, State University of Maringá. Maringá, PR, Brazil. E-mail: nlboliveira@uem.br</w:t>
      </w:r>
    </w:p>
  </w:footnote>
  <w:footnote w:id="2">
    <w:p w:rsidR="00E7400A" w:rsidRPr="00393475" w:rsidRDefault="00E7400A" w:rsidP="00F92986">
      <w:pPr>
        <w:pStyle w:val="Textodenotaderodap"/>
        <w:jc w:val="both"/>
        <w:rPr>
          <w:sz w:val="24"/>
          <w:szCs w:val="24"/>
          <w:lang w:val="en-US"/>
        </w:rPr>
      </w:pPr>
      <w:r w:rsidRPr="00B53A84">
        <w:rPr>
          <w:rStyle w:val="Refdenotaderodap"/>
          <w:sz w:val="24"/>
          <w:szCs w:val="24"/>
        </w:rPr>
        <w:footnoteRef/>
      </w:r>
      <w:r w:rsidRPr="00393475">
        <w:rPr>
          <w:sz w:val="24"/>
          <w:szCs w:val="24"/>
          <w:lang w:val="en-US"/>
        </w:rPr>
        <w:t>Mathematician. PhD in Cartographic Sciences. Adjunct Professor, Department of Statistics, State University of Maringá. Maringá, PR, Brazil. E-mail: emsouza@uem.br</w:t>
      </w:r>
    </w:p>
  </w:footnote>
  <w:footnote w:id="3">
    <w:p w:rsidR="00E7400A" w:rsidRPr="00B53A84" w:rsidRDefault="00E7400A" w:rsidP="00F92986">
      <w:pPr>
        <w:pStyle w:val="Textodenotaderodap"/>
        <w:jc w:val="both"/>
        <w:rPr>
          <w:sz w:val="24"/>
          <w:szCs w:val="24"/>
        </w:rPr>
      </w:pPr>
      <w:r w:rsidRPr="00B53A84">
        <w:rPr>
          <w:rStyle w:val="Refdenotaderodap"/>
          <w:sz w:val="24"/>
          <w:szCs w:val="24"/>
        </w:rPr>
        <w:footnoteRef/>
      </w:r>
      <w:r w:rsidRPr="00393475">
        <w:rPr>
          <w:sz w:val="24"/>
          <w:szCs w:val="24"/>
          <w:lang w:val="en-US"/>
        </w:rPr>
        <w:t xml:space="preserve">Statistician. PhD student in the Graduate Program in Social Medicine. </w:t>
      </w:r>
      <w:proofErr w:type="spellStart"/>
      <w:r w:rsidRPr="002B102F">
        <w:rPr>
          <w:sz w:val="24"/>
          <w:szCs w:val="24"/>
        </w:rPr>
        <w:t>Faculty</w:t>
      </w:r>
      <w:proofErr w:type="spellEnd"/>
      <w:r w:rsidRPr="002B102F">
        <w:rPr>
          <w:sz w:val="24"/>
          <w:szCs w:val="24"/>
        </w:rPr>
        <w:t xml:space="preserve"> </w:t>
      </w:r>
      <w:proofErr w:type="spellStart"/>
      <w:r w:rsidRPr="002B102F">
        <w:rPr>
          <w:sz w:val="24"/>
          <w:szCs w:val="24"/>
        </w:rPr>
        <w:t>of</w:t>
      </w:r>
      <w:proofErr w:type="spellEnd"/>
      <w:r w:rsidRPr="002B102F">
        <w:rPr>
          <w:sz w:val="24"/>
          <w:szCs w:val="24"/>
        </w:rPr>
        <w:t xml:space="preserve"> Medicine </w:t>
      </w:r>
      <w:proofErr w:type="spellStart"/>
      <w:r w:rsidRPr="002B102F">
        <w:rPr>
          <w:sz w:val="24"/>
          <w:szCs w:val="24"/>
        </w:rPr>
        <w:t>of</w:t>
      </w:r>
      <w:proofErr w:type="spellEnd"/>
      <w:r w:rsidRPr="002B102F">
        <w:rPr>
          <w:sz w:val="24"/>
          <w:szCs w:val="24"/>
        </w:rPr>
        <w:t xml:space="preserve"> Ribeirão Preto. </w:t>
      </w:r>
      <w:proofErr w:type="spellStart"/>
      <w:r w:rsidRPr="002B102F">
        <w:rPr>
          <w:sz w:val="24"/>
          <w:szCs w:val="24"/>
        </w:rPr>
        <w:t>University</w:t>
      </w:r>
      <w:proofErr w:type="spellEnd"/>
      <w:r w:rsidRPr="002B102F">
        <w:rPr>
          <w:sz w:val="24"/>
          <w:szCs w:val="24"/>
        </w:rPr>
        <w:t xml:space="preserve"> </w:t>
      </w:r>
      <w:proofErr w:type="spellStart"/>
      <w:r w:rsidRPr="002B102F">
        <w:rPr>
          <w:sz w:val="24"/>
          <w:szCs w:val="24"/>
        </w:rPr>
        <w:t>of</w:t>
      </w:r>
      <w:proofErr w:type="spellEnd"/>
      <w:r w:rsidRPr="002B102F">
        <w:rPr>
          <w:sz w:val="24"/>
          <w:szCs w:val="24"/>
        </w:rPr>
        <w:t xml:space="preserve"> São Paulo, Ribeirão Preto, SP, </w:t>
      </w:r>
      <w:proofErr w:type="spellStart"/>
      <w:r w:rsidRPr="002B102F">
        <w:rPr>
          <w:sz w:val="24"/>
          <w:szCs w:val="24"/>
        </w:rPr>
        <w:t>Brazil</w:t>
      </w:r>
      <w:proofErr w:type="spellEnd"/>
      <w:r w:rsidRPr="002B102F">
        <w:rPr>
          <w:sz w:val="24"/>
          <w:szCs w:val="24"/>
        </w:rPr>
        <w:t>.</w:t>
      </w:r>
      <w:r>
        <w:rPr>
          <w:sz w:val="24"/>
          <w:szCs w:val="24"/>
        </w:rPr>
        <w:t xml:space="preserve"> </w:t>
      </w:r>
      <w:r w:rsidRPr="00B53A84">
        <w:rPr>
          <w:sz w:val="24"/>
          <w:szCs w:val="24"/>
        </w:rPr>
        <w:t>E-mail: zubatch@hotmail.com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6A15FD"/>
    <w:multiLevelType w:val="multilevel"/>
    <w:tmpl w:val="FE2A2BC6"/>
    <w:lvl w:ilvl="0">
      <w:start w:val="2"/>
      <w:numFmt w:val="decimal"/>
      <w:lvlText w:val="%1."/>
      <w:lvlJc w:val="left"/>
      <w:pPr>
        <w:ind w:left="540" w:hanging="540"/>
      </w:pPr>
      <w:rPr>
        <w:rFonts w:hint="default"/>
      </w:rPr>
    </w:lvl>
    <w:lvl w:ilvl="1">
      <w:start w:val="1"/>
      <w:numFmt w:val="decimal"/>
      <w:lvlText w:val="%1.%2."/>
      <w:lvlJc w:val="left"/>
      <w:pPr>
        <w:ind w:left="990" w:hanging="54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1AB"/>
    <w:rsid w:val="000318DD"/>
    <w:rsid w:val="00065126"/>
    <w:rsid w:val="000728AD"/>
    <w:rsid w:val="00072B6A"/>
    <w:rsid w:val="00087BA2"/>
    <w:rsid w:val="000B2C89"/>
    <w:rsid w:val="000D73F4"/>
    <w:rsid w:val="00161855"/>
    <w:rsid w:val="0018683D"/>
    <w:rsid w:val="00207847"/>
    <w:rsid w:val="002129B9"/>
    <w:rsid w:val="002432A0"/>
    <w:rsid w:val="002B102F"/>
    <w:rsid w:val="002B759C"/>
    <w:rsid w:val="002E1C00"/>
    <w:rsid w:val="002E6082"/>
    <w:rsid w:val="00307881"/>
    <w:rsid w:val="00366D3D"/>
    <w:rsid w:val="00373C42"/>
    <w:rsid w:val="00393475"/>
    <w:rsid w:val="00452C63"/>
    <w:rsid w:val="00471C49"/>
    <w:rsid w:val="004D3988"/>
    <w:rsid w:val="004E234B"/>
    <w:rsid w:val="004E4784"/>
    <w:rsid w:val="004F6923"/>
    <w:rsid w:val="0056123C"/>
    <w:rsid w:val="005915EB"/>
    <w:rsid w:val="00591D9D"/>
    <w:rsid w:val="005A1F4F"/>
    <w:rsid w:val="005E1CCA"/>
    <w:rsid w:val="006068EF"/>
    <w:rsid w:val="00623B9F"/>
    <w:rsid w:val="00643FBC"/>
    <w:rsid w:val="006C7861"/>
    <w:rsid w:val="00707054"/>
    <w:rsid w:val="007D3B93"/>
    <w:rsid w:val="008006E6"/>
    <w:rsid w:val="00832640"/>
    <w:rsid w:val="00930FB2"/>
    <w:rsid w:val="00943398"/>
    <w:rsid w:val="00964BDD"/>
    <w:rsid w:val="0098227A"/>
    <w:rsid w:val="009E01AB"/>
    <w:rsid w:val="009F04E8"/>
    <w:rsid w:val="00A373AF"/>
    <w:rsid w:val="00A447AB"/>
    <w:rsid w:val="00A61A40"/>
    <w:rsid w:val="00B416E5"/>
    <w:rsid w:val="00B419DE"/>
    <w:rsid w:val="00B439BC"/>
    <w:rsid w:val="00B870CE"/>
    <w:rsid w:val="00BD1070"/>
    <w:rsid w:val="00C253D9"/>
    <w:rsid w:val="00C45C5F"/>
    <w:rsid w:val="00C76A22"/>
    <w:rsid w:val="00CB5F02"/>
    <w:rsid w:val="00CC392F"/>
    <w:rsid w:val="00D05F44"/>
    <w:rsid w:val="00D2341E"/>
    <w:rsid w:val="00D31109"/>
    <w:rsid w:val="00D5645C"/>
    <w:rsid w:val="00D7712E"/>
    <w:rsid w:val="00DA1E0A"/>
    <w:rsid w:val="00E646A3"/>
    <w:rsid w:val="00E7098F"/>
    <w:rsid w:val="00E7400A"/>
    <w:rsid w:val="00EA4919"/>
    <w:rsid w:val="00EA5464"/>
    <w:rsid w:val="00EF51E8"/>
    <w:rsid w:val="00F2030C"/>
    <w:rsid w:val="00F92986"/>
    <w:rsid w:val="00FB756B"/>
    <w:rsid w:val="00FC4241"/>
    <w:rsid w:val="00FD7BE2"/>
    <w:rsid w:val="00FF4FE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0D0DC4-6356-40BC-8828-9B30B069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01AB"/>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9"/>
    <w:qFormat/>
    <w:rsid w:val="009E01AB"/>
    <w:pPr>
      <w:spacing w:before="100" w:beforeAutospacing="1" w:after="100" w:afterAutospacing="1"/>
      <w:outlineLvl w:val="0"/>
    </w:pPr>
    <w:rPr>
      <w:b/>
      <w:bCs/>
      <w:kern w:val="36"/>
      <w:sz w:val="48"/>
      <w:szCs w:val="48"/>
    </w:rPr>
  </w:style>
  <w:style w:type="paragraph" w:styleId="Ttulo3">
    <w:name w:val="heading 3"/>
    <w:basedOn w:val="Normal"/>
    <w:next w:val="Normal"/>
    <w:link w:val="Ttulo3Char"/>
    <w:uiPriority w:val="9"/>
    <w:unhideWhenUsed/>
    <w:qFormat/>
    <w:rsid w:val="009E01AB"/>
    <w:pPr>
      <w:keepNext/>
      <w:keepLines/>
      <w:spacing w:before="200" w:line="276" w:lineRule="auto"/>
      <w:outlineLvl w:val="2"/>
    </w:pPr>
    <w:rPr>
      <w:rFonts w:ascii="Cambria" w:hAnsi="Cambria"/>
      <w:b/>
      <w:bCs/>
      <w:color w:val="4F81BD"/>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9E01AB"/>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9E01AB"/>
    <w:rPr>
      <w:rFonts w:ascii="Cambria" w:eastAsia="Times New Roman" w:hAnsi="Cambria" w:cs="Times New Roman"/>
      <w:b/>
      <w:bCs/>
      <w:color w:val="4F81BD"/>
    </w:rPr>
  </w:style>
  <w:style w:type="paragraph" w:styleId="SemEspaamento">
    <w:name w:val="No Spacing"/>
    <w:uiPriority w:val="1"/>
    <w:qFormat/>
    <w:rsid w:val="009E01AB"/>
    <w:pPr>
      <w:spacing w:after="0" w:line="240" w:lineRule="auto"/>
    </w:pPr>
    <w:rPr>
      <w:rFonts w:ascii="Arial" w:eastAsia="Calibri" w:hAnsi="Arial" w:cs="Times New Roman"/>
      <w:sz w:val="24"/>
    </w:rPr>
  </w:style>
  <w:style w:type="paragraph" w:styleId="Textodenotaderodap">
    <w:name w:val="footnote text"/>
    <w:basedOn w:val="Normal"/>
    <w:link w:val="TextodenotaderodapChar"/>
    <w:semiHidden/>
    <w:rsid w:val="009E01AB"/>
    <w:rPr>
      <w:sz w:val="20"/>
      <w:szCs w:val="20"/>
    </w:rPr>
  </w:style>
  <w:style w:type="character" w:customStyle="1" w:styleId="TextodenotaderodapChar">
    <w:name w:val="Texto de nota de rodapé Char"/>
    <w:basedOn w:val="Fontepargpadro"/>
    <w:link w:val="Textodenotaderodap"/>
    <w:semiHidden/>
    <w:rsid w:val="009E01AB"/>
    <w:rPr>
      <w:rFonts w:ascii="Times New Roman" w:eastAsia="Times New Roman" w:hAnsi="Times New Roman" w:cs="Times New Roman"/>
      <w:sz w:val="20"/>
      <w:szCs w:val="20"/>
      <w:lang w:eastAsia="pt-BR"/>
    </w:rPr>
  </w:style>
  <w:style w:type="character" w:styleId="Refdenotaderodap">
    <w:name w:val="footnote reference"/>
    <w:semiHidden/>
    <w:rsid w:val="009E01AB"/>
    <w:rPr>
      <w:vertAlign w:val="superscript"/>
    </w:rPr>
  </w:style>
  <w:style w:type="paragraph" w:styleId="PargrafodaLista">
    <w:name w:val="List Paragraph"/>
    <w:basedOn w:val="Normal"/>
    <w:uiPriority w:val="34"/>
    <w:qFormat/>
    <w:rsid w:val="009E01AB"/>
    <w:pPr>
      <w:spacing w:after="200" w:line="276" w:lineRule="auto"/>
      <w:ind w:left="720"/>
      <w:contextualSpacing/>
    </w:pPr>
    <w:rPr>
      <w:rFonts w:ascii="Calibri" w:eastAsia="Calibri" w:hAnsi="Calibri"/>
      <w:sz w:val="22"/>
      <w:szCs w:val="22"/>
      <w:lang w:eastAsia="en-US"/>
    </w:rPr>
  </w:style>
  <w:style w:type="paragraph" w:styleId="Recuodecorpodetexto">
    <w:name w:val="Body Text Indent"/>
    <w:basedOn w:val="Normal"/>
    <w:link w:val="RecuodecorpodetextoChar"/>
    <w:semiHidden/>
    <w:rsid w:val="009E01AB"/>
    <w:pPr>
      <w:suppressAutoHyphens/>
      <w:spacing w:line="360" w:lineRule="auto"/>
      <w:ind w:left="1134" w:hanging="1134"/>
      <w:jc w:val="both"/>
    </w:pPr>
    <w:rPr>
      <w:szCs w:val="20"/>
      <w:lang w:eastAsia="ar-SA"/>
    </w:rPr>
  </w:style>
  <w:style w:type="character" w:customStyle="1" w:styleId="RecuodecorpodetextoChar">
    <w:name w:val="Recuo de corpo de texto Char"/>
    <w:basedOn w:val="Fontepargpadro"/>
    <w:link w:val="Recuodecorpodetexto"/>
    <w:semiHidden/>
    <w:rsid w:val="009E01AB"/>
    <w:rPr>
      <w:rFonts w:ascii="Times New Roman" w:eastAsia="Times New Roman" w:hAnsi="Times New Roman" w:cs="Times New Roman"/>
      <w:sz w:val="24"/>
      <w:szCs w:val="20"/>
      <w:lang w:eastAsia="ar-SA"/>
    </w:rPr>
  </w:style>
  <w:style w:type="paragraph" w:styleId="NormalWeb">
    <w:name w:val="Normal (Web)"/>
    <w:basedOn w:val="Normal"/>
    <w:uiPriority w:val="99"/>
    <w:unhideWhenUsed/>
    <w:rsid w:val="009E01AB"/>
    <w:pPr>
      <w:spacing w:before="100" w:beforeAutospacing="1" w:after="100" w:afterAutospacing="1"/>
    </w:pPr>
  </w:style>
  <w:style w:type="character" w:customStyle="1" w:styleId="article-title">
    <w:name w:val="article-title"/>
    <w:basedOn w:val="Fontepargpadro"/>
    <w:rsid w:val="009E01AB"/>
  </w:style>
  <w:style w:type="paragraph" w:styleId="Cabealho">
    <w:name w:val="header"/>
    <w:basedOn w:val="Normal"/>
    <w:link w:val="CabealhoChar"/>
    <w:uiPriority w:val="99"/>
    <w:unhideWhenUsed/>
    <w:rsid w:val="009E01AB"/>
    <w:pPr>
      <w:tabs>
        <w:tab w:val="center" w:pos="4252"/>
        <w:tab w:val="right" w:pos="8504"/>
      </w:tabs>
    </w:pPr>
  </w:style>
  <w:style w:type="character" w:customStyle="1" w:styleId="CabealhoChar">
    <w:name w:val="Cabeçalho Char"/>
    <w:basedOn w:val="Fontepargpadro"/>
    <w:link w:val="Cabealho"/>
    <w:uiPriority w:val="99"/>
    <w:rsid w:val="009E01AB"/>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E01AB"/>
    <w:pPr>
      <w:tabs>
        <w:tab w:val="center" w:pos="4252"/>
        <w:tab w:val="right" w:pos="8504"/>
      </w:tabs>
    </w:pPr>
  </w:style>
  <w:style w:type="character" w:customStyle="1" w:styleId="RodapChar">
    <w:name w:val="Rodapé Char"/>
    <w:basedOn w:val="Fontepargpadro"/>
    <w:link w:val="Rodap"/>
    <w:uiPriority w:val="99"/>
    <w:rsid w:val="009E01AB"/>
    <w:rPr>
      <w:rFonts w:ascii="Times New Roman" w:eastAsia="Times New Roman" w:hAnsi="Times New Roman" w:cs="Times New Roman"/>
      <w:sz w:val="24"/>
      <w:szCs w:val="24"/>
      <w:lang w:eastAsia="pt-BR"/>
    </w:rPr>
  </w:style>
  <w:style w:type="character" w:customStyle="1" w:styleId="notranslate">
    <w:name w:val="notranslate"/>
    <w:rsid w:val="009E01AB"/>
  </w:style>
  <w:style w:type="paragraph" w:styleId="Textodebalo">
    <w:name w:val="Balloon Text"/>
    <w:basedOn w:val="Normal"/>
    <w:link w:val="TextodebaloChar"/>
    <w:uiPriority w:val="99"/>
    <w:semiHidden/>
    <w:unhideWhenUsed/>
    <w:rsid w:val="009E01AB"/>
    <w:rPr>
      <w:rFonts w:ascii="Tahoma" w:hAnsi="Tahoma" w:cs="Tahoma"/>
      <w:sz w:val="16"/>
      <w:szCs w:val="16"/>
    </w:rPr>
  </w:style>
  <w:style w:type="character" w:customStyle="1" w:styleId="TextodebaloChar">
    <w:name w:val="Texto de balão Char"/>
    <w:basedOn w:val="Fontepargpadro"/>
    <w:link w:val="Textodebalo"/>
    <w:uiPriority w:val="99"/>
    <w:semiHidden/>
    <w:rsid w:val="009E01AB"/>
    <w:rPr>
      <w:rFonts w:ascii="Tahoma" w:eastAsia="Times New Roman" w:hAnsi="Tahoma" w:cs="Tahoma"/>
      <w:sz w:val="16"/>
      <w:szCs w:val="16"/>
      <w:lang w:eastAsia="pt-BR"/>
    </w:rPr>
  </w:style>
  <w:style w:type="table" w:styleId="Tabelacomgrade">
    <w:name w:val="Table Grid"/>
    <w:basedOn w:val="Tabelanormal"/>
    <w:uiPriority w:val="59"/>
    <w:rsid w:val="009E01AB"/>
    <w:pPr>
      <w:spacing w:after="0" w:line="240" w:lineRule="auto"/>
    </w:pPr>
    <w:rPr>
      <w:rFonts w:ascii="Calibri" w:eastAsia="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fase">
    <w:name w:val="Emphasis"/>
    <w:uiPriority w:val="20"/>
    <w:qFormat/>
    <w:rsid w:val="009E01AB"/>
    <w:rPr>
      <w:i/>
      <w:iCs/>
    </w:rPr>
  </w:style>
  <w:style w:type="character" w:customStyle="1" w:styleId="st">
    <w:name w:val="st"/>
    <w:basedOn w:val="Fontepargpadro"/>
    <w:rsid w:val="009E01AB"/>
  </w:style>
  <w:style w:type="character" w:styleId="Hyperlink">
    <w:name w:val="Hyperlink"/>
    <w:uiPriority w:val="99"/>
    <w:unhideWhenUsed/>
    <w:rsid w:val="009E01AB"/>
    <w:rPr>
      <w:color w:val="0000FF"/>
      <w:u w:val="single"/>
    </w:rPr>
  </w:style>
  <w:style w:type="character" w:customStyle="1" w:styleId="citation">
    <w:name w:val="citation"/>
    <w:basedOn w:val="Fontepargpadro"/>
    <w:rsid w:val="009E01AB"/>
  </w:style>
  <w:style w:type="character" w:customStyle="1" w:styleId="apple-converted-space">
    <w:name w:val="apple-converted-space"/>
    <w:rsid w:val="009E01AB"/>
  </w:style>
  <w:style w:type="paragraph" w:customStyle="1" w:styleId="Recuodecorpodetexto32">
    <w:name w:val="Recuo de corpo de texto 32"/>
    <w:basedOn w:val="Normal"/>
    <w:rsid w:val="009E01AB"/>
    <w:pPr>
      <w:tabs>
        <w:tab w:val="left" w:pos="1418"/>
      </w:tabs>
      <w:suppressAutoHyphens/>
      <w:spacing w:line="480" w:lineRule="auto"/>
      <w:ind w:firstLine="709"/>
      <w:jc w:val="both"/>
    </w:pPr>
    <w:rPr>
      <w:szCs w:val="20"/>
      <w:lang w:eastAsia="ar-SA"/>
    </w:rPr>
  </w:style>
  <w:style w:type="paragraph" w:styleId="Recuodecorpodetexto3">
    <w:name w:val="Body Text Indent 3"/>
    <w:basedOn w:val="Normal"/>
    <w:link w:val="Recuodecorpodetexto3Char"/>
    <w:unhideWhenUsed/>
    <w:rsid w:val="009E01AB"/>
    <w:pPr>
      <w:spacing w:after="120"/>
      <w:ind w:left="283"/>
    </w:pPr>
    <w:rPr>
      <w:sz w:val="16"/>
      <w:szCs w:val="16"/>
    </w:rPr>
  </w:style>
  <w:style w:type="character" w:customStyle="1" w:styleId="Recuodecorpodetexto3Char">
    <w:name w:val="Recuo de corpo de texto 3 Char"/>
    <w:basedOn w:val="Fontepargpadro"/>
    <w:link w:val="Recuodecorpodetexto3"/>
    <w:rsid w:val="009E01AB"/>
    <w:rPr>
      <w:rFonts w:ascii="Times New Roman" w:eastAsia="Times New Roman" w:hAnsi="Times New Roman" w:cs="Times New Roman"/>
      <w:sz w:val="16"/>
      <w:szCs w:val="16"/>
      <w:lang w:eastAsia="pt-BR"/>
    </w:rPr>
  </w:style>
  <w:style w:type="character" w:customStyle="1" w:styleId="txt8">
    <w:name w:val="txt8"/>
    <w:basedOn w:val="Fontepargpadro"/>
    <w:rsid w:val="009E01AB"/>
  </w:style>
  <w:style w:type="paragraph" w:customStyle="1" w:styleId="Corpodetexto31">
    <w:name w:val="Corpo de texto 31"/>
    <w:basedOn w:val="Normal"/>
    <w:rsid w:val="009E01AB"/>
    <w:pPr>
      <w:suppressAutoHyphens/>
      <w:spacing w:line="480" w:lineRule="auto"/>
      <w:jc w:val="both"/>
    </w:pPr>
    <w:rPr>
      <w:lang w:eastAsia="ar-SA"/>
    </w:rPr>
  </w:style>
  <w:style w:type="character" w:styleId="Forte">
    <w:name w:val="Strong"/>
    <w:uiPriority w:val="22"/>
    <w:qFormat/>
    <w:rsid w:val="009E01AB"/>
    <w:rPr>
      <w:b/>
      <w:bCs/>
    </w:rPr>
  </w:style>
  <w:style w:type="paragraph" w:styleId="Pr-formataoHTML">
    <w:name w:val="HTML Preformatted"/>
    <w:basedOn w:val="Normal"/>
    <w:link w:val="Pr-formataoHTMLChar"/>
    <w:uiPriority w:val="99"/>
    <w:unhideWhenUsed/>
    <w:rsid w:val="009E0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9E01AB"/>
    <w:rPr>
      <w:rFonts w:ascii="Courier New" w:eastAsia="Times New Roman" w:hAnsi="Courier New" w:cs="Courier New"/>
      <w:sz w:val="20"/>
      <w:szCs w:val="20"/>
      <w:lang w:eastAsia="pt-BR"/>
    </w:rPr>
  </w:style>
  <w:style w:type="paragraph" w:customStyle="1" w:styleId="Default">
    <w:name w:val="Default"/>
    <w:rsid w:val="009E01AB"/>
    <w:pPr>
      <w:autoSpaceDE w:val="0"/>
      <w:autoSpaceDN w:val="0"/>
      <w:adjustRightInd w:val="0"/>
      <w:spacing w:after="0" w:line="240" w:lineRule="auto"/>
    </w:pPr>
    <w:rPr>
      <w:rFonts w:ascii="Gotham Narrow Medium" w:eastAsia="Calibri" w:hAnsi="Gotham Narrow Medium" w:cs="Gotham Narrow Medium"/>
      <w:color w:val="000000"/>
      <w:sz w:val="24"/>
      <w:szCs w:val="24"/>
    </w:rPr>
  </w:style>
  <w:style w:type="character" w:customStyle="1" w:styleId="A5">
    <w:name w:val="A5"/>
    <w:uiPriority w:val="99"/>
    <w:rsid w:val="009E01AB"/>
    <w:rPr>
      <w:rFonts w:cs="Gotham Narrow Medium"/>
      <w:color w:val="000000"/>
      <w:sz w:val="11"/>
      <w:szCs w:val="11"/>
    </w:rPr>
  </w:style>
  <w:style w:type="character" w:customStyle="1" w:styleId="A7">
    <w:name w:val="A7"/>
    <w:uiPriority w:val="99"/>
    <w:rsid w:val="009E01AB"/>
    <w:rPr>
      <w:rFonts w:cs="Gotham Narrow Medium"/>
      <w:color w:val="000000"/>
      <w:sz w:val="16"/>
      <w:szCs w:val="16"/>
    </w:rPr>
  </w:style>
  <w:style w:type="paragraph" w:customStyle="1" w:styleId="author">
    <w:name w:val="author"/>
    <w:basedOn w:val="Normal"/>
    <w:rsid w:val="009E01AB"/>
    <w:pPr>
      <w:spacing w:before="100" w:beforeAutospacing="1" w:after="100" w:afterAutospacing="1"/>
    </w:pPr>
  </w:style>
  <w:style w:type="character" w:customStyle="1" w:styleId="author-name">
    <w:name w:val="author-name"/>
    <w:basedOn w:val="Fontepargpadro"/>
    <w:rsid w:val="009E01AB"/>
  </w:style>
  <w:style w:type="paragraph" w:styleId="Corpodetexto">
    <w:name w:val="Body Text"/>
    <w:basedOn w:val="Normal"/>
    <w:link w:val="CorpodetextoChar"/>
    <w:rsid w:val="009E01AB"/>
    <w:pPr>
      <w:spacing w:after="120"/>
    </w:pPr>
    <w:rPr>
      <w:sz w:val="26"/>
      <w:szCs w:val="26"/>
    </w:rPr>
  </w:style>
  <w:style w:type="character" w:customStyle="1" w:styleId="CorpodetextoChar">
    <w:name w:val="Corpo de texto Char"/>
    <w:basedOn w:val="Fontepargpadro"/>
    <w:link w:val="Corpodetexto"/>
    <w:rsid w:val="009E01AB"/>
    <w:rPr>
      <w:rFonts w:ascii="Times New Roman" w:eastAsia="Times New Roman" w:hAnsi="Times New Roman" w:cs="Times New Roman"/>
      <w:sz w:val="26"/>
      <w:szCs w:val="26"/>
      <w:lang w:eastAsia="pt-BR"/>
    </w:rPr>
  </w:style>
  <w:style w:type="character" w:styleId="Refdecomentrio">
    <w:name w:val="annotation reference"/>
    <w:uiPriority w:val="99"/>
    <w:semiHidden/>
    <w:unhideWhenUsed/>
    <w:rsid w:val="009E01AB"/>
    <w:rPr>
      <w:sz w:val="16"/>
      <w:szCs w:val="16"/>
    </w:rPr>
  </w:style>
  <w:style w:type="paragraph" w:styleId="Textodecomentrio">
    <w:name w:val="annotation text"/>
    <w:basedOn w:val="Normal"/>
    <w:link w:val="TextodecomentrioChar"/>
    <w:uiPriority w:val="99"/>
    <w:semiHidden/>
    <w:unhideWhenUsed/>
    <w:rsid w:val="009E01AB"/>
    <w:rPr>
      <w:sz w:val="20"/>
      <w:szCs w:val="20"/>
    </w:rPr>
  </w:style>
  <w:style w:type="character" w:customStyle="1" w:styleId="TextodecomentrioChar">
    <w:name w:val="Texto de comentário Char"/>
    <w:basedOn w:val="Fontepargpadro"/>
    <w:link w:val="Textodecomentrio"/>
    <w:uiPriority w:val="99"/>
    <w:semiHidden/>
    <w:rsid w:val="009E01AB"/>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9E01AB"/>
    <w:rPr>
      <w:b/>
      <w:bCs/>
    </w:rPr>
  </w:style>
  <w:style w:type="character" w:customStyle="1" w:styleId="AssuntodocomentrioChar">
    <w:name w:val="Assunto do comentário Char"/>
    <w:basedOn w:val="TextodecomentrioChar"/>
    <w:link w:val="Assuntodocomentrio"/>
    <w:uiPriority w:val="99"/>
    <w:semiHidden/>
    <w:rsid w:val="009E01AB"/>
    <w:rPr>
      <w:rFonts w:ascii="Times New Roman" w:eastAsia="Times New Roman" w:hAnsi="Times New Roman" w:cs="Times New Roman"/>
      <w:b/>
      <w:bCs/>
      <w:sz w:val="20"/>
      <w:szCs w:val="20"/>
      <w:lang w:eastAsia="pt-BR"/>
    </w:rPr>
  </w:style>
  <w:style w:type="paragraph" w:customStyle="1" w:styleId="tituloenhome">
    <w:name w:val="titulo_en_home"/>
    <w:basedOn w:val="Normal"/>
    <w:rsid w:val="009E01AB"/>
    <w:pPr>
      <w:spacing w:before="100" w:beforeAutospacing="1" w:after="100" w:afterAutospacing="1"/>
    </w:pPr>
  </w:style>
  <w:style w:type="paragraph" w:customStyle="1" w:styleId="autores">
    <w:name w:val="autores"/>
    <w:basedOn w:val="Normal"/>
    <w:rsid w:val="009E01AB"/>
    <w:pPr>
      <w:spacing w:before="100" w:beforeAutospacing="1" w:after="100" w:afterAutospacing="1"/>
    </w:pPr>
  </w:style>
  <w:style w:type="paragraph" w:customStyle="1" w:styleId="referencia">
    <w:name w:val="referencia"/>
    <w:basedOn w:val="Normal"/>
    <w:rsid w:val="009E01A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png"/><Relationship Id="rId18" Type="http://schemas.openxmlformats.org/officeDocument/2006/relationships/oleObject" Target="embeddings/oleObject6.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oleObject" Target="embeddings/oleObject8.bin"/><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image" Target="media/image7.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hyperlink" Target="http://www.scielo.br/scielo.php?script=sci_arttext&amp;pid=S1415-790X2017000500157&amp;lng=pt&amp;nrm=iso&amp;tlng=pt" TargetMode="Externa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hyperlink" Target="http://en.wikipedia.org/wiki/Biometrika" TargetMode="External"/><Relationship Id="rId10" Type="http://schemas.openxmlformats.org/officeDocument/2006/relationships/oleObject" Target="embeddings/oleObject2.bin"/><Relationship Id="rId19" Type="http://schemas.openxmlformats.org/officeDocument/2006/relationships/oleObject" Target="embeddings/oleObject7.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5.png"/><Relationship Id="rId22" Type="http://schemas.openxmlformats.org/officeDocument/2006/relationships/hyperlink" Target="http://en.wikipedia.org/wiki/Martin_Wilk" TargetMode="External"/><Relationship Id="rId27"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4370</Words>
  <Characters>23601</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Nelson</dc:creator>
  <cp:keywords/>
  <dc:description/>
  <cp:lastModifiedBy>Nelson</cp:lastModifiedBy>
  <cp:revision>3</cp:revision>
  <dcterms:created xsi:type="dcterms:W3CDTF">2018-02-19T20:33:00Z</dcterms:created>
  <dcterms:modified xsi:type="dcterms:W3CDTF">2018-02-19T20:35:00Z</dcterms:modified>
</cp:coreProperties>
</file>