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C2" w:rsidRPr="001D4BAC" w:rsidRDefault="00D53AC2" w:rsidP="00D53AC2">
      <w:pPr>
        <w:shd w:val="clear" w:color="auto" w:fill="FFFFFF"/>
        <w:spacing w:line="240" w:lineRule="auto"/>
        <w:ind w:firstLine="0"/>
        <w:jc w:val="center"/>
        <w:rPr>
          <w:rFonts w:eastAsia="Times New Roman"/>
          <w:szCs w:val="24"/>
          <w:lang w:eastAsia="pt-BR"/>
        </w:rPr>
      </w:pPr>
      <w:bookmarkStart w:id="0" w:name="OLE_LINK15"/>
      <w:bookmarkStart w:id="1" w:name="OLE_LINK16"/>
      <w:bookmarkStart w:id="2" w:name="141bc4c1c778d60f_OLE_LINK15"/>
      <w:r w:rsidRPr="001D4BAC">
        <w:rPr>
          <w:rFonts w:eastAsia="Times New Roman"/>
          <w:b/>
          <w:bCs/>
          <w:szCs w:val="24"/>
          <w:lang w:eastAsia="pt-BR"/>
        </w:rPr>
        <w:t>A RELAÇÃO ENTRE O GRAU DE INTANGIBILIDADE E A GERAÇÃO DE VALOR ADICIONADO EM EMPRESAS BRASILEIRAS DE CAPITAL ABERTO</w:t>
      </w:r>
      <w:bookmarkEnd w:id="2"/>
    </w:p>
    <w:p w:rsidR="00D53AC2" w:rsidRPr="002E14F5" w:rsidRDefault="00D53AC2" w:rsidP="00D53AC2">
      <w:pPr>
        <w:spacing w:line="240" w:lineRule="auto"/>
        <w:ind w:firstLine="0"/>
        <w:jc w:val="center"/>
        <w:rPr>
          <w:b/>
          <w:szCs w:val="24"/>
        </w:rPr>
      </w:pPr>
    </w:p>
    <w:p w:rsidR="00D53AC2" w:rsidRPr="002E14F5" w:rsidRDefault="00D53AC2" w:rsidP="00D53AC2">
      <w:pPr>
        <w:spacing w:line="240" w:lineRule="auto"/>
        <w:ind w:firstLine="0"/>
        <w:jc w:val="center"/>
        <w:rPr>
          <w:b/>
          <w:szCs w:val="24"/>
          <w:lang w:val="en-US"/>
        </w:rPr>
      </w:pPr>
      <w:r w:rsidRPr="002E14F5">
        <w:rPr>
          <w:b/>
          <w:bCs/>
          <w:szCs w:val="24"/>
          <w:shd w:val="clear" w:color="auto" w:fill="FFFFFF"/>
          <w:lang w:val="en-US"/>
        </w:rPr>
        <w:t>THE RELATIONSHIP BETWEEN THE</w:t>
      </w:r>
      <w:r w:rsidRPr="002E14F5">
        <w:rPr>
          <w:rStyle w:val="apple-converted-space"/>
          <w:szCs w:val="24"/>
          <w:shd w:val="clear" w:color="auto" w:fill="FFFFFF"/>
          <w:lang w:val="en-US"/>
        </w:rPr>
        <w:t> </w:t>
      </w:r>
      <w:r w:rsidRPr="002E14F5">
        <w:rPr>
          <w:b/>
          <w:bCs/>
          <w:szCs w:val="24"/>
          <w:shd w:val="clear" w:color="auto" w:fill="FFFFFF"/>
          <w:lang w:val="en-US"/>
        </w:rPr>
        <w:t>DEGREE OF INTANGIBILITY AND THE VALUE ADDED GENERATION IN BRAZILIAN OPEN CAPITAL</w:t>
      </w:r>
      <w:r w:rsidRPr="002E14F5">
        <w:rPr>
          <w:rStyle w:val="apple-converted-space"/>
          <w:b/>
          <w:bCs/>
          <w:szCs w:val="24"/>
          <w:shd w:val="clear" w:color="auto" w:fill="FFFFFF"/>
          <w:lang w:val="en-US"/>
        </w:rPr>
        <w:t> </w:t>
      </w:r>
      <w:r w:rsidRPr="002E14F5">
        <w:rPr>
          <w:b/>
          <w:bCs/>
          <w:szCs w:val="24"/>
          <w:shd w:val="clear" w:color="auto" w:fill="FFFFFF"/>
          <w:lang w:val="en-US"/>
        </w:rPr>
        <w:t>COMPANIES</w:t>
      </w:r>
    </w:p>
    <w:p w:rsidR="00D53AC2" w:rsidRPr="001D4BAC" w:rsidRDefault="00D53AC2" w:rsidP="00D53AC2">
      <w:pPr>
        <w:spacing w:line="240" w:lineRule="auto"/>
        <w:ind w:firstLine="0"/>
        <w:jc w:val="center"/>
        <w:rPr>
          <w:b/>
          <w:szCs w:val="24"/>
          <w:lang w:val="en-US"/>
        </w:rPr>
      </w:pPr>
    </w:p>
    <w:p w:rsidR="00D53AC2" w:rsidRPr="004A3D73" w:rsidRDefault="00D53AC2" w:rsidP="00D53AC2">
      <w:pPr>
        <w:spacing w:line="240" w:lineRule="auto"/>
        <w:jc w:val="center"/>
        <w:rPr>
          <w:b/>
          <w:szCs w:val="24"/>
        </w:rPr>
      </w:pPr>
      <w:proofErr w:type="spellStart"/>
      <w:r w:rsidRPr="004A3D73">
        <w:rPr>
          <w:b/>
          <w:szCs w:val="24"/>
        </w:rPr>
        <w:t>Sady</w:t>
      </w:r>
      <w:proofErr w:type="spellEnd"/>
      <w:r w:rsidRPr="004A3D73">
        <w:rPr>
          <w:b/>
          <w:szCs w:val="24"/>
        </w:rPr>
        <w:t xml:space="preserve"> </w:t>
      </w:r>
      <w:proofErr w:type="spellStart"/>
      <w:r w:rsidRPr="004A3D73">
        <w:rPr>
          <w:b/>
          <w:szCs w:val="24"/>
        </w:rPr>
        <w:t>Mazzioni</w:t>
      </w:r>
      <w:proofErr w:type="spellEnd"/>
    </w:p>
    <w:p w:rsidR="00D53AC2" w:rsidRPr="00AE6BD5" w:rsidRDefault="00D53AC2" w:rsidP="00D53AC2">
      <w:pPr>
        <w:spacing w:line="240" w:lineRule="auto"/>
        <w:jc w:val="center"/>
        <w:rPr>
          <w:szCs w:val="24"/>
        </w:rPr>
      </w:pPr>
      <w:r w:rsidRPr="00AE6BD5">
        <w:rPr>
          <w:szCs w:val="24"/>
        </w:rPr>
        <w:t>Doutorando em Ciências Contábeis e Administração</w:t>
      </w:r>
      <w:r>
        <w:rPr>
          <w:szCs w:val="24"/>
        </w:rPr>
        <w:t xml:space="preserve"> </w:t>
      </w:r>
    </w:p>
    <w:p w:rsidR="00D53AC2" w:rsidRPr="00AE6BD5" w:rsidRDefault="00D53AC2" w:rsidP="00D53AC2">
      <w:pPr>
        <w:spacing w:line="240" w:lineRule="auto"/>
        <w:jc w:val="center"/>
        <w:rPr>
          <w:szCs w:val="24"/>
        </w:rPr>
      </w:pPr>
      <w:r w:rsidRPr="00AE6BD5">
        <w:rPr>
          <w:szCs w:val="24"/>
        </w:rPr>
        <w:t>PPGCC da Universidade Regional de Blumenau (FURB)</w:t>
      </w:r>
    </w:p>
    <w:p w:rsidR="00D53AC2" w:rsidRPr="00AE6BD5" w:rsidRDefault="00D53AC2" w:rsidP="00D53AC2">
      <w:pPr>
        <w:shd w:val="clear" w:color="auto" w:fill="FFFFFF"/>
        <w:spacing w:line="240" w:lineRule="auto"/>
        <w:ind w:firstLine="0"/>
        <w:jc w:val="center"/>
        <w:rPr>
          <w:color w:val="000000" w:themeColor="text1"/>
          <w:szCs w:val="24"/>
        </w:rPr>
      </w:pPr>
      <w:r w:rsidRPr="00AE6BD5">
        <w:rPr>
          <w:bCs/>
          <w:color w:val="000000" w:themeColor="text1"/>
          <w:szCs w:val="24"/>
        </w:rPr>
        <w:t>Bolsista do Programa do Fundo de Apoio à Manutenção e ao Desenvolvimento da Educação Superior - FUMDES</w:t>
      </w:r>
    </w:p>
    <w:p w:rsidR="00D53AC2" w:rsidRPr="00AE6BD5" w:rsidRDefault="00D53AC2" w:rsidP="00D53AC2">
      <w:pPr>
        <w:spacing w:line="240" w:lineRule="auto"/>
        <w:jc w:val="center"/>
        <w:rPr>
          <w:szCs w:val="24"/>
        </w:rPr>
      </w:pPr>
      <w:r w:rsidRPr="00AE6BD5">
        <w:rPr>
          <w:szCs w:val="24"/>
        </w:rPr>
        <w:t xml:space="preserve">Endereço: Francisco Norberto </w:t>
      </w:r>
      <w:proofErr w:type="spellStart"/>
      <w:r w:rsidRPr="00AE6BD5">
        <w:rPr>
          <w:szCs w:val="24"/>
        </w:rPr>
        <w:t>Bohner</w:t>
      </w:r>
      <w:proofErr w:type="spellEnd"/>
      <w:r w:rsidRPr="00AE6BD5">
        <w:rPr>
          <w:szCs w:val="24"/>
        </w:rPr>
        <w:t xml:space="preserve">, 55 </w:t>
      </w:r>
      <w:proofErr w:type="gramStart"/>
      <w:r w:rsidRPr="00AE6BD5">
        <w:rPr>
          <w:szCs w:val="24"/>
        </w:rPr>
        <w:t>E</w:t>
      </w:r>
      <w:proofErr w:type="gramEnd"/>
    </w:p>
    <w:p w:rsidR="00D53AC2" w:rsidRDefault="00D53AC2" w:rsidP="00D53AC2">
      <w:pPr>
        <w:spacing w:line="240" w:lineRule="auto"/>
        <w:jc w:val="center"/>
      </w:pPr>
      <w:r>
        <w:t>Bairro Jardim Itália - CEP: 89.802-530 – Chapecó – SC - Brasil</w:t>
      </w:r>
    </w:p>
    <w:p w:rsidR="00D53AC2" w:rsidRPr="00506301" w:rsidRDefault="00D53AC2" w:rsidP="00D53AC2">
      <w:pPr>
        <w:spacing w:line="240" w:lineRule="auto"/>
        <w:jc w:val="center"/>
      </w:pPr>
      <w:proofErr w:type="gramStart"/>
      <w:r>
        <w:t>e-mail</w:t>
      </w:r>
      <w:proofErr w:type="gramEnd"/>
      <w:r>
        <w:t>: s</w:t>
      </w:r>
      <w:r w:rsidRPr="00506301">
        <w:t>ady@unochapeco.edu.br</w:t>
      </w:r>
    </w:p>
    <w:p w:rsidR="00D53AC2" w:rsidRDefault="00D53AC2" w:rsidP="00D53AC2">
      <w:pPr>
        <w:spacing w:line="240" w:lineRule="auto"/>
        <w:jc w:val="center"/>
        <w:rPr>
          <w:szCs w:val="24"/>
        </w:rPr>
      </w:pPr>
    </w:p>
    <w:p w:rsidR="00D53AC2" w:rsidRPr="004A3D73" w:rsidRDefault="00D53AC2" w:rsidP="00D53AC2">
      <w:pPr>
        <w:spacing w:line="240" w:lineRule="auto"/>
        <w:jc w:val="center"/>
        <w:rPr>
          <w:b/>
          <w:szCs w:val="24"/>
        </w:rPr>
      </w:pPr>
      <w:proofErr w:type="spellStart"/>
      <w:r w:rsidRPr="004A3D73">
        <w:rPr>
          <w:b/>
          <w:szCs w:val="24"/>
        </w:rPr>
        <w:t>Antonio</w:t>
      </w:r>
      <w:proofErr w:type="spellEnd"/>
      <w:r w:rsidRPr="004A3D73">
        <w:rPr>
          <w:b/>
          <w:szCs w:val="24"/>
        </w:rPr>
        <w:t xml:space="preserve"> Maria da Silva Carpes</w:t>
      </w:r>
    </w:p>
    <w:p w:rsidR="00D53AC2" w:rsidRDefault="00D53AC2" w:rsidP="00D53AC2">
      <w:pPr>
        <w:spacing w:line="240" w:lineRule="auto"/>
        <w:jc w:val="center"/>
      </w:pPr>
      <w:r>
        <w:t>Doutorando em Ciências Contábeis e Administração</w:t>
      </w:r>
    </w:p>
    <w:p w:rsidR="00D53AC2" w:rsidRDefault="00D53AC2" w:rsidP="00D53AC2">
      <w:pPr>
        <w:spacing w:line="240" w:lineRule="auto"/>
        <w:jc w:val="center"/>
      </w:pPr>
      <w:r>
        <w:t>PPGCC da Universidade Regional de Blumenau (FURB)</w:t>
      </w:r>
    </w:p>
    <w:p w:rsidR="00D53AC2" w:rsidRDefault="00D53AC2" w:rsidP="00D53AC2">
      <w:pPr>
        <w:spacing w:line="240" w:lineRule="auto"/>
        <w:jc w:val="center"/>
      </w:pPr>
      <w:r>
        <w:t xml:space="preserve">Endereço: Rua Antônio da Veiga, 140 Sala </w:t>
      </w:r>
      <w:proofErr w:type="gramStart"/>
      <w:r>
        <w:t>D-202</w:t>
      </w:r>
      <w:proofErr w:type="gramEnd"/>
    </w:p>
    <w:p w:rsidR="00D53AC2" w:rsidRDefault="00D53AC2" w:rsidP="00D53AC2">
      <w:pPr>
        <w:spacing w:line="240" w:lineRule="auto"/>
        <w:jc w:val="center"/>
      </w:pPr>
      <w:r>
        <w:t>Bairro Victor Konder – Caixa Postal 1507</w:t>
      </w:r>
    </w:p>
    <w:p w:rsidR="00D53AC2" w:rsidRDefault="00D53AC2" w:rsidP="00D53AC2">
      <w:pPr>
        <w:spacing w:line="240" w:lineRule="auto"/>
        <w:jc w:val="center"/>
      </w:pPr>
      <w:r>
        <w:t>CEP: 89012-900 – Blumenau – SC - Brasil</w:t>
      </w:r>
    </w:p>
    <w:p w:rsidR="00D53AC2" w:rsidRPr="00506301" w:rsidRDefault="00D53AC2" w:rsidP="00D53AC2">
      <w:pPr>
        <w:spacing w:line="240" w:lineRule="auto"/>
        <w:jc w:val="center"/>
      </w:pPr>
      <w:proofErr w:type="gramStart"/>
      <w:r>
        <w:t>e-mail</w:t>
      </w:r>
      <w:proofErr w:type="gramEnd"/>
      <w:r>
        <w:t xml:space="preserve">: </w:t>
      </w:r>
      <w:r w:rsidRPr="002735D4">
        <w:t>carpes.antonio@gmail.com</w:t>
      </w:r>
    </w:p>
    <w:p w:rsidR="00D53AC2" w:rsidRPr="00D36AF6" w:rsidRDefault="00D53AC2" w:rsidP="00D53AC2">
      <w:pPr>
        <w:spacing w:line="240" w:lineRule="auto"/>
        <w:jc w:val="center"/>
        <w:rPr>
          <w:szCs w:val="24"/>
        </w:rPr>
      </w:pPr>
    </w:p>
    <w:p w:rsidR="00D53AC2" w:rsidRPr="004A3D73" w:rsidRDefault="00D53AC2" w:rsidP="00D53AC2">
      <w:pPr>
        <w:spacing w:line="240" w:lineRule="auto"/>
        <w:jc w:val="center"/>
        <w:rPr>
          <w:b/>
          <w:szCs w:val="24"/>
        </w:rPr>
      </w:pPr>
      <w:r w:rsidRPr="004A3D73">
        <w:rPr>
          <w:b/>
          <w:szCs w:val="24"/>
        </w:rPr>
        <w:t xml:space="preserve">Carlos Eduardo </w:t>
      </w:r>
      <w:proofErr w:type="spellStart"/>
      <w:r w:rsidRPr="004A3D73">
        <w:rPr>
          <w:b/>
          <w:szCs w:val="24"/>
        </w:rPr>
        <w:t>Facin</w:t>
      </w:r>
      <w:proofErr w:type="spellEnd"/>
      <w:r w:rsidRPr="004A3D73">
        <w:rPr>
          <w:b/>
          <w:szCs w:val="24"/>
        </w:rPr>
        <w:t xml:space="preserve"> </w:t>
      </w:r>
      <w:proofErr w:type="spellStart"/>
      <w:r w:rsidRPr="004A3D73">
        <w:rPr>
          <w:b/>
          <w:szCs w:val="24"/>
        </w:rPr>
        <w:t>Lavarda</w:t>
      </w:r>
      <w:proofErr w:type="spellEnd"/>
    </w:p>
    <w:p w:rsidR="00D53AC2" w:rsidRPr="00790B6D" w:rsidRDefault="00D53AC2" w:rsidP="00D53AC2">
      <w:pPr>
        <w:spacing w:line="240" w:lineRule="auto"/>
        <w:jc w:val="center"/>
        <w:rPr>
          <w:szCs w:val="24"/>
        </w:rPr>
      </w:pPr>
      <w:r>
        <w:rPr>
          <w:szCs w:val="24"/>
        </w:rPr>
        <w:t>Doutor em Contabilidade pela Universidade de Valência</w:t>
      </w:r>
    </w:p>
    <w:p w:rsidR="00D53AC2" w:rsidRDefault="00D53AC2" w:rsidP="00D53AC2">
      <w:pPr>
        <w:spacing w:line="240" w:lineRule="auto"/>
        <w:ind w:firstLine="0"/>
        <w:jc w:val="center"/>
      </w:pPr>
      <w:r>
        <w:t>Professor do PPGCC da Universidade Regional de Blumenau (FURB)</w:t>
      </w:r>
    </w:p>
    <w:p w:rsidR="00D53AC2" w:rsidRDefault="00D53AC2" w:rsidP="00D53AC2">
      <w:pPr>
        <w:spacing w:line="240" w:lineRule="auto"/>
        <w:jc w:val="center"/>
      </w:pPr>
      <w:r>
        <w:t xml:space="preserve">Endereço: Rua Antônio da Veiga, 140 Sala </w:t>
      </w:r>
      <w:proofErr w:type="gramStart"/>
      <w:r>
        <w:t>D-202</w:t>
      </w:r>
      <w:proofErr w:type="gramEnd"/>
    </w:p>
    <w:p w:rsidR="00D53AC2" w:rsidRDefault="00D53AC2" w:rsidP="00D53AC2">
      <w:pPr>
        <w:spacing w:line="240" w:lineRule="auto"/>
        <w:jc w:val="center"/>
      </w:pPr>
      <w:r>
        <w:t>Bairro Victor Konder – Caixa Postal 1507</w:t>
      </w:r>
    </w:p>
    <w:p w:rsidR="00D53AC2" w:rsidRDefault="00D53AC2" w:rsidP="00D53AC2">
      <w:pPr>
        <w:spacing w:line="240" w:lineRule="auto"/>
        <w:jc w:val="center"/>
      </w:pPr>
      <w:r>
        <w:t>CEP: 89012-900 – Blumenau – SC - Brasil</w:t>
      </w:r>
    </w:p>
    <w:p w:rsidR="00D53AC2" w:rsidRDefault="00D53AC2" w:rsidP="00D53AC2">
      <w:pPr>
        <w:spacing w:line="240" w:lineRule="auto"/>
        <w:jc w:val="center"/>
      </w:pPr>
      <w:proofErr w:type="gramStart"/>
      <w:r>
        <w:t>e-mail</w:t>
      </w:r>
      <w:proofErr w:type="gramEnd"/>
      <w:r>
        <w:t xml:space="preserve">: </w:t>
      </w:r>
      <w:r w:rsidRPr="002735D4">
        <w:t>clavarda@furb.br</w:t>
      </w:r>
    </w:p>
    <w:p w:rsidR="00D53AC2" w:rsidRDefault="00D53AC2" w:rsidP="00D53AC2">
      <w:pPr>
        <w:spacing w:line="240" w:lineRule="auto"/>
        <w:rPr>
          <w:szCs w:val="24"/>
        </w:rPr>
      </w:pPr>
    </w:p>
    <w:p w:rsidR="00D53AC2" w:rsidRDefault="00D53AC2" w:rsidP="00D53AC2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szCs w:val="24"/>
          <w:lang w:eastAsia="pt-BR"/>
        </w:rPr>
      </w:pPr>
    </w:p>
    <w:p w:rsidR="00D53AC2" w:rsidRPr="001D4BAC" w:rsidRDefault="00D53AC2" w:rsidP="00D53AC2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szCs w:val="24"/>
          <w:lang w:eastAsia="pt-BR"/>
        </w:rPr>
      </w:pPr>
      <w:r w:rsidRPr="001D4BAC">
        <w:rPr>
          <w:rFonts w:eastAsia="Times New Roman"/>
          <w:b/>
          <w:bCs/>
          <w:szCs w:val="24"/>
          <w:lang w:eastAsia="pt-BR"/>
        </w:rPr>
        <w:t>RESUMO</w:t>
      </w:r>
    </w:p>
    <w:p w:rsidR="00D53AC2" w:rsidRPr="001D4BAC" w:rsidRDefault="00D53AC2" w:rsidP="00D53AC2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szCs w:val="24"/>
          <w:lang w:eastAsia="pt-BR"/>
        </w:rPr>
      </w:pPr>
      <w:r w:rsidRPr="001D4BAC">
        <w:rPr>
          <w:rFonts w:eastAsia="Times New Roman"/>
          <w:szCs w:val="24"/>
          <w:lang w:eastAsia="pt-BR"/>
        </w:rPr>
        <w:t xml:space="preserve">O objetivo deste estudo é analisar a relação entre o grau de intangibilidade e a geração de valor adicionado em empresas brasileiras listadas na </w:t>
      </w:r>
      <w:proofErr w:type="spellStart"/>
      <w:proofErr w:type="gramStart"/>
      <w:r w:rsidRPr="001D4BAC">
        <w:rPr>
          <w:rFonts w:eastAsia="Times New Roman"/>
          <w:szCs w:val="24"/>
          <w:lang w:eastAsia="pt-BR"/>
        </w:rPr>
        <w:t>BM&amp;FBovespa</w:t>
      </w:r>
      <w:proofErr w:type="spellEnd"/>
      <w:proofErr w:type="gramEnd"/>
      <w:r w:rsidRPr="001D4BAC">
        <w:rPr>
          <w:rFonts w:eastAsia="Times New Roman"/>
          <w:szCs w:val="24"/>
          <w:lang w:eastAsia="pt-BR"/>
        </w:rPr>
        <w:t xml:space="preserve">, no período de 2009-2011. Para tanto, realizou-se pesquisa descritiva, documental e de caráter quantitativo. A amostra investigada é composta pelas 100 maiores empresas em patrimônio líquido que publicaram a demonstração do valor adicionado no período analisado e que comercializaram ações no mês de dezembro de cada ano, permitindo efetuar o cálculo do valor de mercado. O teste </w:t>
      </w:r>
      <w:proofErr w:type="spellStart"/>
      <w:r w:rsidRPr="001D4BAC">
        <w:rPr>
          <w:rFonts w:eastAsia="Times New Roman"/>
          <w:szCs w:val="24"/>
          <w:lang w:eastAsia="pt-BR"/>
        </w:rPr>
        <w:t>Kruskal</w:t>
      </w:r>
      <w:proofErr w:type="spellEnd"/>
      <w:r w:rsidRPr="001D4BAC">
        <w:rPr>
          <w:rFonts w:eastAsia="Times New Roman"/>
          <w:szCs w:val="24"/>
          <w:lang w:eastAsia="pt-BR"/>
        </w:rPr>
        <w:t xml:space="preserve">-Wallis foi utilizado para verificar se existem diferenças estatisticamente significativas entre as médias do valor adicionado e do grau de intangibilidade, considerando o nível de governança corporativa e o setor econômico. A análise dos dados incluiu a regressão linear multivariada, pelo método dos mínimos quadrados em painel, com uso do pacote estatístico </w:t>
      </w:r>
      <w:proofErr w:type="spellStart"/>
      <w:proofErr w:type="gramStart"/>
      <w:r w:rsidRPr="001D4BAC">
        <w:rPr>
          <w:rFonts w:eastAsia="Times New Roman"/>
          <w:szCs w:val="24"/>
          <w:lang w:eastAsia="pt-BR"/>
        </w:rPr>
        <w:t>EViwes</w:t>
      </w:r>
      <w:proofErr w:type="spellEnd"/>
      <w:proofErr w:type="gramEnd"/>
      <w:r w:rsidRPr="001D4BAC">
        <w:rPr>
          <w:rFonts w:eastAsia="Times New Roman"/>
          <w:szCs w:val="24"/>
          <w:lang w:eastAsia="pt-BR"/>
        </w:rPr>
        <w:t xml:space="preserve">®. Os resultados indicam que o nível de governança corporativa serve como um fator discriminante na geração do valor adicionado, mas o grau de intangibilidade não. O grau de intangibilidade apresentou relação positiva e estatisticamente significativa ao nível de 1% com o valor adicionado, indicando que, no </w:t>
      </w:r>
      <w:r w:rsidRPr="001D4BAC">
        <w:rPr>
          <w:rFonts w:eastAsia="Times New Roman"/>
          <w:szCs w:val="24"/>
          <w:lang w:eastAsia="pt-BR"/>
        </w:rPr>
        <w:lastRenderedPageBreak/>
        <w:t>conjunto total das empresas, aquelas com maior intangibilidade geram quantias maiores de valor adicionado.</w:t>
      </w:r>
    </w:p>
    <w:bookmarkEnd w:id="0"/>
    <w:bookmarkEnd w:id="1"/>
    <w:p w:rsidR="00D53AC2" w:rsidRDefault="00D53AC2" w:rsidP="00D53AC2">
      <w:pPr>
        <w:spacing w:line="240" w:lineRule="auto"/>
        <w:ind w:firstLine="0"/>
        <w:rPr>
          <w:b/>
          <w:szCs w:val="24"/>
        </w:rPr>
      </w:pPr>
    </w:p>
    <w:p w:rsidR="00D53AC2" w:rsidRDefault="00D53AC2" w:rsidP="00D53AC2">
      <w:pPr>
        <w:spacing w:line="240" w:lineRule="auto"/>
        <w:ind w:firstLine="0"/>
        <w:rPr>
          <w:szCs w:val="24"/>
        </w:rPr>
      </w:pPr>
      <w:r w:rsidRPr="00E2240A">
        <w:rPr>
          <w:b/>
          <w:szCs w:val="24"/>
        </w:rPr>
        <w:t>Palavras-chave:</w:t>
      </w:r>
      <w:r w:rsidRPr="001562D3">
        <w:rPr>
          <w:szCs w:val="24"/>
        </w:rPr>
        <w:t xml:space="preserve"> </w:t>
      </w:r>
      <w:r>
        <w:rPr>
          <w:szCs w:val="24"/>
        </w:rPr>
        <w:t xml:space="preserve">Intangibilidade. Competitividade. Valor adicionado. </w:t>
      </w:r>
    </w:p>
    <w:p w:rsidR="00D53AC2" w:rsidRDefault="00D53AC2" w:rsidP="00D53AC2">
      <w:pPr>
        <w:pStyle w:val="Textodeartigo"/>
        <w:ind w:firstLine="0"/>
        <w:rPr>
          <w:b/>
          <w:bCs/>
          <w:color w:val="auto"/>
          <w:shd w:val="clear" w:color="auto" w:fill="FFFFFF"/>
          <w:lang w:val="en-US"/>
        </w:rPr>
      </w:pPr>
    </w:p>
    <w:p w:rsidR="00D53AC2" w:rsidRPr="001A1864" w:rsidRDefault="00D53AC2" w:rsidP="00D53AC2">
      <w:pPr>
        <w:pStyle w:val="Textodeartigo"/>
        <w:ind w:firstLine="0"/>
        <w:rPr>
          <w:b/>
          <w:color w:val="auto"/>
          <w:lang w:val="en-US"/>
        </w:rPr>
      </w:pPr>
      <w:bookmarkStart w:id="3" w:name="_GoBack"/>
      <w:bookmarkEnd w:id="3"/>
      <w:r w:rsidRPr="001A1864">
        <w:rPr>
          <w:b/>
          <w:bCs/>
          <w:color w:val="auto"/>
          <w:shd w:val="clear" w:color="auto" w:fill="FFFFFF"/>
          <w:lang w:val="en-US"/>
        </w:rPr>
        <w:t>ABSTRACT</w:t>
      </w:r>
    </w:p>
    <w:p w:rsidR="00D53AC2" w:rsidRPr="002E14F5" w:rsidRDefault="00D53AC2" w:rsidP="00D53AC2">
      <w:pPr>
        <w:spacing w:line="240" w:lineRule="auto"/>
        <w:ind w:firstLine="0"/>
        <w:rPr>
          <w:rFonts w:ascii="Arial" w:eastAsia="Times New Roman" w:hAnsi="Arial" w:cs="Arial"/>
          <w:szCs w:val="24"/>
          <w:lang w:val="en-US" w:eastAsia="pt-BR"/>
        </w:rPr>
      </w:pPr>
      <w:r w:rsidRPr="002E14F5">
        <w:rPr>
          <w:rFonts w:eastAsia="Times New Roman"/>
          <w:szCs w:val="24"/>
          <w:lang w:val="en" w:eastAsia="pt-BR"/>
        </w:rPr>
        <w:t>The aim of this paper is to analyze the relationship between the degree of intangibility and value-added generation in Brazi</w:t>
      </w:r>
      <w:r w:rsidRPr="001A1864">
        <w:rPr>
          <w:rFonts w:eastAsia="Times New Roman"/>
          <w:szCs w:val="24"/>
          <w:lang w:val="en" w:eastAsia="pt-BR"/>
        </w:rPr>
        <w:t xml:space="preserve">lian companies listed on the </w:t>
      </w:r>
      <w:proofErr w:type="spellStart"/>
      <w:r w:rsidRPr="001A1864">
        <w:rPr>
          <w:rFonts w:eastAsia="Times New Roman"/>
          <w:szCs w:val="24"/>
          <w:lang w:val="en" w:eastAsia="pt-BR"/>
        </w:rPr>
        <w:t>BM</w:t>
      </w:r>
      <w:r w:rsidRPr="002E14F5">
        <w:rPr>
          <w:rFonts w:eastAsia="Times New Roman"/>
          <w:szCs w:val="24"/>
          <w:lang w:val="en" w:eastAsia="pt-BR"/>
        </w:rPr>
        <w:t>&amp;FBovespa</w:t>
      </w:r>
      <w:proofErr w:type="spellEnd"/>
      <w:r w:rsidRPr="002E14F5">
        <w:rPr>
          <w:rFonts w:eastAsia="Times New Roman"/>
          <w:szCs w:val="24"/>
          <w:lang w:val="en" w:eastAsia="pt-BR"/>
        </w:rPr>
        <w:t xml:space="preserve"> in the period of 2009-2011. A descriptive, documentary and quantitative research was carried out, based on a sample composed of the top 100 companies ranked by equity which published the statement of value-added in the referred period and that sold shares in December of each year, allowing to calculate the market value. The </w:t>
      </w:r>
      <w:proofErr w:type="spellStart"/>
      <w:r w:rsidRPr="002E14F5">
        <w:rPr>
          <w:rFonts w:eastAsia="Times New Roman"/>
          <w:szCs w:val="24"/>
          <w:lang w:val="en" w:eastAsia="pt-BR"/>
        </w:rPr>
        <w:t>Kruskal</w:t>
      </w:r>
      <w:proofErr w:type="spellEnd"/>
      <w:r w:rsidRPr="002E14F5">
        <w:rPr>
          <w:rFonts w:eastAsia="Times New Roman"/>
          <w:szCs w:val="24"/>
          <w:lang w:val="en" w:eastAsia="pt-BR"/>
        </w:rPr>
        <w:t>-Wallis test was used to determine if there are statistically meaningful differences between the means of value-added and degree of intangibility, considering the level of corporate governance and the economic sector. Data were analyzed by multivariate linear regression, through panel least squares method, using</w:t>
      </w:r>
      <w:r w:rsidRPr="001A1864">
        <w:rPr>
          <w:rFonts w:eastAsia="Times New Roman"/>
          <w:szCs w:val="24"/>
          <w:lang w:val="en" w:eastAsia="pt-BR"/>
        </w:rPr>
        <w:t xml:space="preserve"> the statistical package </w:t>
      </w:r>
      <w:proofErr w:type="spellStart"/>
      <w:r w:rsidRPr="001A1864">
        <w:rPr>
          <w:rFonts w:eastAsia="Times New Roman"/>
          <w:szCs w:val="24"/>
          <w:lang w:val="en" w:eastAsia="pt-BR"/>
        </w:rPr>
        <w:t>EViwes</w:t>
      </w:r>
      <w:proofErr w:type="spellEnd"/>
      <w:r w:rsidRPr="002E14F5">
        <w:rPr>
          <w:rFonts w:eastAsia="Times New Roman"/>
          <w:szCs w:val="24"/>
          <w:vertAlign w:val="superscript"/>
          <w:lang w:val="en" w:eastAsia="pt-BR"/>
        </w:rPr>
        <w:t>®</w:t>
      </w:r>
      <w:r w:rsidRPr="002E14F5">
        <w:rPr>
          <w:rFonts w:eastAsia="Times New Roman"/>
          <w:szCs w:val="24"/>
          <w:lang w:val="en" w:eastAsia="pt-BR"/>
        </w:rPr>
        <w:t>. The results indicate that the level of corporate governance works as a discriminating factor for the value-added generation, but not for the degree of intangibility. The degree of intangibility showed positive and statistically meaningful relationship at the level of</w:t>
      </w:r>
      <w:r w:rsidRPr="001A1864">
        <w:rPr>
          <w:rFonts w:eastAsia="Times New Roman"/>
          <w:szCs w:val="24"/>
          <w:lang w:val="en" w:eastAsia="pt-BR"/>
        </w:rPr>
        <w:t> </w:t>
      </w:r>
      <w:r w:rsidRPr="002E14F5">
        <w:rPr>
          <w:rFonts w:eastAsia="Times New Roman"/>
          <w:spacing w:val="20"/>
          <w:szCs w:val="24"/>
          <w:lang w:val="en" w:eastAsia="pt-BR"/>
        </w:rPr>
        <w:t>1%</w:t>
      </w:r>
      <w:r w:rsidRPr="001A1864">
        <w:rPr>
          <w:rFonts w:eastAsia="Times New Roman"/>
          <w:szCs w:val="24"/>
          <w:lang w:val="en" w:eastAsia="pt-BR"/>
        </w:rPr>
        <w:t> </w:t>
      </w:r>
      <w:r w:rsidRPr="002E14F5">
        <w:rPr>
          <w:rFonts w:eastAsia="Times New Roman"/>
          <w:szCs w:val="24"/>
          <w:lang w:val="en" w:eastAsia="pt-BR"/>
        </w:rPr>
        <w:t xml:space="preserve">with the value-added, indicating that, in whole set of studied </w:t>
      </w:r>
      <w:proofErr w:type="gramStart"/>
      <w:r w:rsidRPr="002E14F5">
        <w:rPr>
          <w:rFonts w:eastAsia="Times New Roman"/>
          <w:szCs w:val="24"/>
          <w:lang w:val="en" w:eastAsia="pt-BR"/>
        </w:rPr>
        <w:t>companies,</w:t>
      </w:r>
      <w:proofErr w:type="gramEnd"/>
      <w:r w:rsidRPr="002E14F5">
        <w:rPr>
          <w:rFonts w:eastAsia="Times New Roman"/>
          <w:szCs w:val="24"/>
          <w:lang w:val="en" w:eastAsia="pt-BR"/>
        </w:rPr>
        <w:t xml:space="preserve"> those with higher intangibility generate large amounts of value-added.</w:t>
      </w:r>
    </w:p>
    <w:p w:rsidR="00D53AC2" w:rsidRPr="001A1864" w:rsidRDefault="00D53AC2" w:rsidP="00D53AC2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sz w:val="20"/>
          <w:szCs w:val="20"/>
          <w:lang w:val="en-US" w:eastAsia="pt-BR"/>
        </w:rPr>
      </w:pPr>
    </w:p>
    <w:p w:rsidR="00D53AC2" w:rsidRPr="002E14F5" w:rsidRDefault="00D53AC2" w:rsidP="00D53AC2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szCs w:val="24"/>
          <w:lang w:val="en-US" w:eastAsia="pt-BR"/>
        </w:rPr>
      </w:pPr>
      <w:r w:rsidRPr="002E14F5">
        <w:rPr>
          <w:rFonts w:eastAsia="Times New Roman"/>
          <w:b/>
          <w:bCs/>
          <w:szCs w:val="24"/>
          <w:lang w:val="en-US" w:eastAsia="pt-BR"/>
        </w:rPr>
        <w:t>Keywords:</w:t>
      </w:r>
      <w:r w:rsidRPr="001A1864">
        <w:rPr>
          <w:rFonts w:eastAsia="Times New Roman"/>
          <w:b/>
          <w:bCs/>
          <w:szCs w:val="24"/>
          <w:lang w:val="en-US" w:eastAsia="pt-BR"/>
        </w:rPr>
        <w:t> </w:t>
      </w:r>
      <w:r w:rsidRPr="002E14F5">
        <w:rPr>
          <w:rFonts w:eastAsia="Times New Roman"/>
          <w:szCs w:val="24"/>
          <w:lang w:val="en-US" w:eastAsia="pt-BR"/>
        </w:rPr>
        <w:t xml:space="preserve">Intangibility. </w:t>
      </w:r>
      <w:proofErr w:type="gramStart"/>
      <w:r w:rsidRPr="002E14F5">
        <w:rPr>
          <w:rFonts w:eastAsia="Times New Roman"/>
          <w:szCs w:val="24"/>
          <w:lang w:val="en-US" w:eastAsia="pt-BR"/>
        </w:rPr>
        <w:t>Competitiveness.</w:t>
      </w:r>
      <w:proofErr w:type="gramEnd"/>
      <w:r w:rsidRPr="002E14F5">
        <w:rPr>
          <w:rFonts w:eastAsia="Times New Roman"/>
          <w:szCs w:val="24"/>
          <w:lang w:val="en-US" w:eastAsia="pt-BR"/>
        </w:rPr>
        <w:t xml:space="preserve"> Value</w:t>
      </w:r>
      <w:r>
        <w:rPr>
          <w:rFonts w:eastAsia="Times New Roman"/>
          <w:szCs w:val="24"/>
          <w:lang w:val="en-US" w:eastAsia="pt-BR"/>
        </w:rPr>
        <w:t xml:space="preserve"> </w:t>
      </w:r>
      <w:r w:rsidRPr="002E14F5">
        <w:rPr>
          <w:rFonts w:eastAsia="Times New Roman"/>
          <w:szCs w:val="24"/>
          <w:lang w:val="en-US" w:eastAsia="pt-BR"/>
        </w:rPr>
        <w:t>Added.</w:t>
      </w:r>
    </w:p>
    <w:p w:rsidR="00D53AC2" w:rsidRPr="002E14F5" w:rsidRDefault="00D53AC2" w:rsidP="00D53AC2">
      <w:pPr>
        <w:pStyle w:val="Textoartigo"/>
        <w:ind w:firstLine="0"/>
        <w:rPr>
          <w:rStyle w:val="Textodocorpo12Semitlico"/>
          <w:highlight w:val="yellow"/>
          <w:lang w:val="en-US"/>
        </w:rPr>
      </w:pPr>
    </w:p>
    <w:p w:rsidR="008408AE" w:rsidRPr="00D53AC2" w:rsidRDefault="008408AE">
      <w:pPr>
        <w:rPr>
          <w:lang w:val="en-US"/>
        </w:rPr>
      </w:pPr>
    </w:p>
    <w:sectPr w:rsidR="008408AE" w:rsidRPr="00D53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C2"/>
    <w:rsid w:val="008408AE"/>
    <w:rsid w:val="00D5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C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artigo">
    <w:name w:val="Texto de artigo"/>
    <w:basedOn w:val="Normal"/>
    <w:qFormat/>
    <w:rsid w:val="00D53AC2"/>
    <w:pPr>
      <w:widowControl w:val="0"/>
      <w:spacing w:line="240" w:lineRule="auto"/>
    </w:pPr>
    <w:rPr>
      <w:rFonts w:eastAsia="Times New Roman" w:cs="Courier New"/>
      <w:color w:val="000000"/>
      <w:szCs w:val="24"/>
      <w:lang w:eastAsia="pt-PT"/>
    </w:rPr>
  </w:style>
  <w:style w:type="paragraph" w:customStyle="1" w:styleId="Textoartigo">
    <w:name w:val="Texto artigo"/>
    <w:basedOn w:val="Normal"/>
    <w:qFormat/>
    <w:rsid w:val="00D53AC2"/>
    <w:pPr>
      <w:spacing w:line="240" w:lineRule="auto"/>
    </w:pPr>
    <w:rPr>
      <w:rFonts w:eastAsia="Times New Roman"/>
      <w:bCs/>
      <w:szCs w:val="24"/>
      <w:lang w:eastAsia="pt-BR"/>
    </w:rPr>
  </w:style>
  <w:style w:type="character" w:customStyle="1" w:styleId="Textodocorpo12Semitlico">
    <w:name w:val="Texto do corpo (12) + Sem itálico"/>
    <w:uiPriority w:val="99"/>
    <w:rsid w:val="00D53AC2"/>
    <w:rPr>
      <w:rFonts w:ascii="Times New Roman" w:hAnsi="Times New Roman"/>
      <w:sz w:val="21"/>
      <w:shd w:val="clear" w:color="auto" w:fill="FFFFFF"/>
    </w:rPr>
  </w:style>
  <w:style w:type="character" w:customStyle="1" w:styleId="apple-converted-space">
    <w:name w:val="apple-converted-space"/>
    <w:basedOn w:val="Fontepargpadro"/>
    <w:rsid w:val="00D53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C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artigo">
    <w:name w:val="Texto de artigo"/>
    <w:basedOn w:val="Normal"/>
    <w:qFormat/>
    <w:rsid w:val="00D53AC2"/>
    <w:pPr>
      <w:widowControl w:val="0"/>
      <w:spacing w:line="240" w:lineRule="auto"/>
    </w:pPr>
    <w:rPr>
      <w:rFonts w:eastAsia="Times New Roman" w:cs="Courier New"/>
      <w:color w:val="000000"/>
      <w:szCs w:val="24"/>
      <w:lang w:eastAsia="pt-PT"/>
    </w:rPr>
  </w:style>
  <w:style w:type="paragraph" w:customStyle="1" w:styleId="Textoartigo">
    <w:name w:val="Texto artigo"/>
    <w:basedOn w:val="Normal"/>
    <w:qFormat/>
    <w:rsid w:val="00D53AC2"/>
    <w:pPr>
      <w:spacing w:line="240" w:lineRule="auto"/>
    </w:pPr>
    <w:rPr>
      <w:rFonts w:eastAsia="Times New Roman"/>
      <w:bCs/>
      <w:szCs w:val="24"/>
      <w:lang w:eastAsia="pt-BR"/>
    </w:rPr>
  </w:style>
  <w:style w:type="character" w:customStyle="1" w:styleId="Textodocorpo12Semitlico">
    <w:name w:val="Texto do corpo (12) + Sem itálico"/>
    <w:uiPriority w:val="99"/>
    <w:rsid w:val="00D53AC2"/>
    <w:rPr>
      <w:rFonts w:ascii="Times New Roman" w:hAnsi="Times New Roman"/>
      <w:sz w:val="21"/>
      <w:shd w:val="clear" w:color="auto" w:fill="FFFFFF"/>
    </w:rPr>
  </w:style>
  <w:style w:type="character" w:customStyle="1" w:styleId="apple-converted-space">
    <w:name w:val="apple-converted-space"/>
    <w:basedOn w:val="Fontepargpadro"/>
    <w:rsid w:val="00D5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sady@unochapeco.edu.br</dc:creator>
  <cp:lastModifiedBy>sady@unochapeco.edu.br</cp:lastModifiedBy>
  <cp:revision>1</cp:revision>
  <dcterms:created xsi:type="dcterms:W3CDTF">2013-10-15T19:45:00Z</dcterms:created>
  <dcterms:modified xsi:type="dcterms:W3CDTF">2013-10-15T19:46:00Z</dcterms:modified>
</cp:coreProperties>
</file>