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8288FD" w14:textId="77777777" w:rsidR="0063719B" w:rsidRDefault="00A7685F" w:rsidP="00E240B6">
      <w:pPr>
        <w:pStyle w:val="SemEspaamento"/>
        <w:spacing w:line="360" w:lineRule="auto"/>
        <w:rPr>
          <w:rFonts w:ascii="Times New Roman" w:hAnsi="Times New Roman"/>
          <w:b/>
          <w:sz w:val="24"/>
          <w:szCs w:val="24"/>
          <w:lang w:val="pt-BR"/>
        </w:rPr>
      </w:pPr>
      <w:r w:rsidRPr="00E656E3">
        <w:rPr>
          <w:rFonts w:ascii="Times New Roman" w:hAnsi="Times New Roman"/>
          <w:b/>
          <w:sz w:val="24"/>
          <w:szCs w:val="24"/>
          <w:lang w:val="pt-BR"/>
        </w:rPr>
        <w:t xml:space="preserve">Divulgação compulsória e sua relação com suavização de resultados: evidências em empresas paranaenses de economia mista </w:t>
      </w:r>
    </w:p>
    <w:p w14:paraId="66CE3351" w14:textId="77777777" w:rsidR="00E30071" w:rsidRPr="00E656E3" w:rsidRDefault="00E30071" w:rsidP="00E240B6">
      <w:pPr>
        <w:ind w:firstLine="0"/>
        <w:rPr>
          <w:b/>
          <w:szCs w:val="24"/>
          <w:lang w:val="en-US"/>
        </w:rPr>
      </w:pPr>
      <w:r w:rsidRPr="00E656E3">
        <w:rPr>
          <w:b/>
          <w:szCs w:val="24"/>
          <w:lang w:val="en-US"/>
        </w:rPr>
        <w:t>Compulsory disclosure and its relationship to income smoothing: Evidences in State-Owned of Paraná</w:t>
      </w:r>
    </w:p>
    <w:p w14:paraId="0F93895D" w14:textId="77777777" w:rsidR="00FE0DF9" w:rsidRPr="00C54A26" w:rsidRDefault="00FE0DF9" w:rsidP="00E240B6">
      <w:pPr>
        <w:pStyle w:val="SemEspaamento"/>
        <w:spacing w:line="360" w:lineRule="auto"/>
        <w:rPr>
          <w:rFonts w:ascii="Times New Roman" w:hAnsi="Times New Roman"/>
          <w:sz w:val="24"/>
          <w:szCs w:val="24"/>
        </w:rPr>
      </w:pPr>
    </w:p>
    <w:p w14:paraId="2A096D95" w14:textId="64DB5A16" w:rsidR="0063719B" w:rsidRPr="00E656E3" w:rsidRDefault="0063719B" w:rsidP="00E240B6">
      <w:pPr>
        <w:spacing w:after="0"/>
        <w:ind w:firstLine="0"/>
        <w:rPr>
          <w:szCs w:val="24"/>
        </w:rPr>
      </w:pPr>
      <w:r w:rsidRPr="00E656E3">
        <w:rPr>
          <w:szCs w:val="24"/>
        </w:rPr>
        <w:t>Este estudo analisa a relação entre a divulgação compulsória de informações financeiras e a suavização de resultados contábeis em empresas paranaenses de economia mista</w:t>
      </w:r>
      <w:r w:rsidR="00F115D2" w:rsidRPr="00E656E3">
        <w:rPr>
          <w:szCs w:val="24"/>
        </w:rPr>
        <w:t xml:space="preserve"> no período de 2010 a 2013</w:t>
      </w:r>
      <w:r w:rsidRPr="00E656E3">
        <w:rPr>
          <w:szCs w:val="24"/>
        </w:rPr>
        <w:t>. A argumentação teórica parte dos pressupostos da Hipótese dos Custos Políticos de Watts e Zimmerman (1978) e</w:t>
      </w:r>
      <w:r w:rsidR="00E561E7" w:rsidRPr="00E656E3">
        <w:rPr>
          <w:szCs w:val="24"/>
        </w:rPr>
        <w:t xml:space="preserve"> a</w:t>
      </w:r>
      <w:r w:rsidRPr="00E656E3">
        <w:rPr>
          <w:szCs w:val="24"/>
        </w:rPr>
        <w:t xml:space="preserve"> Teoria da Agência. </w:t>
      </w:r>
      <w:r w:rsidR="00772354" w:rsidRPr="00E656E3">
        <w:rPr>
          <w:szCs w:val="24"/>
        </w:rPr>
        <w:t xml:space="preserve">O estudo utiliza </w:t>
      </w:r>
      <w:r w:rsidRPr="00E656E3">
        <w:rPr>
          <w:szCs w:val="24"/>
        </w:rPr>
        <w:t xml:space="preserve">34 empresas não financeiras de </w:t>
      </w:r>
      <w:r w:rsidR="00772354" w:rsidRPr="00E656E3">
        <w:rPr>
          <w:szCs w:val="24"/>
        </w:rPr>
        <w:t>E</w:t>
      </w:r>
      <w:r w:rsidRPr="00E656E3">
        <w:rPr>
          <w:szCs w:val="24"/>
        </w:rPr>
        <w:t xml:space="preserve">conomia </w:t>
      </w:r>
      <w:r w:rsidR="00772354" w:rsidRPr="00E656E3">
        <w:rPr>
          <w:szCs w:val="24"/>
        </w:rPr>
        <w:t>M</w:t>
      </w:r>
      <w:r w:rsidRPr="00E656E3">
        <w:rPr>
          <w:szCs w:val="24"/>
        </w:rPr>
        <w:t xml:space="preserve">ista do Estado do </w:t>
      </w:r>
      <w:r w:rsidR="00F115D2" w:rsidRPr="00E656E3">
        <w:rPr>
          <w:szCs w:val="24"/>
        </w:rPr>
        <w:t>Paraná.</w:t>
      </w:r>
      <w:r w:rsidRPr="00E656E3">
        <w:rPr>
          <w:szCs w:val="24"/>
        </w:rPr>
        <w:t xml:space="preserve"> </w:t>
      </w:r>
      <w:r w:rsidR="00F115D2" w:rsidRPr="00E656E3">
        <w:rPr>
          <w:szCs w:val="24"/>
        </w:rPr>
        <w:t>P</w:t>
      </w:r>
      <w:r w:rsidRPr="00E656E3">
        <w:rPr>
          <w:szCs w:val="24"/>
        </w:rPr>
        <w:t>ara</w:t>
      </w:r>
      <w:r w:rsidR="00F115D2" w:rsidRPr="00E656E3">
        <w:rPr>
          <w:szCs w:val="24"/>
        </w:rPr>
        <w:t xml:space="preserve"> medir a</w:t>
      </w:r>
      <w:r w:rsidRPr="00E656E3">
        <w:rPr>
          <w:szCs w:val="24"/>
        </w:rPr>
        <w:t xml:space="preserve"> suavização de resultados utilizou-se a métrica de Eckel (1981) e duas métricas de Leuz, Nanda e Wysocki (2003). Para mensurar a divulgação compulsória, foi elaborada uma métrica composta por 54 itens de nature</w:t>
      </w:r>
      <w:r w:rsidR="005F607B" w:rsidRPr="00E656E3">
        <w:rPr>
          <w:szCs w:val="24"/>
        </w:rPr>
        <w:t>za obrigatória pela Lei 6404/76</w:t>
      </w:r>
      <w:r w:rsidRPr="00E656E3">
        <w:rPr>
          <w:szCs w:val="24"/>
        </w:rPr>
        <w:t>.</w:t>
      </w:r>
      <w:r w:rsidR="00F115D2" w:rsidRPr="00E656E3">
        <w:rPr>
          <w:szCs w:val="24"/>
        </w:rPr>
        <w:t xml:space="preserve"> </w:t>
      </w:r>
      <w:r w:rsidRPr="00E656E3">
        <w:rPr>
          <w:szCs w:val="24"/>
        </w:rPr>
        <w:t xml:space="preserve">Os principais </w:t>
      </w:r>
      <w:r w:rsidR="00F115D2" w:rsidRPr="00E656E3">
        <w:rPr>
          <w:szCs w:val="24"/>
        </w:rPr>
        <w:t>resultados</w:t>
      </w:r>
      <w:r w:rsidRPr="00E656E3">
        <w:rPr>
          <w:szCs w:val="24"/>
        </w:rPr>
        <w:t xml:space="preserve"> indicam que a suavização de resultados e a divulgação compulsória não estão associados.</w:t>
      </w:r>
      <w:r w:rsidR="00036146">
        <w:rPr>
          <w:szCs w:val="24"/>
        </w:rPr>
        <w:t xml:space="preserve"> Esperava-se que a suavização de resultados pudesse influenciar positivamente e significativamente os níveis de divulgação obrigatória das empresas de economia mista. Os resultados devem ser interpretados com precaução tendo em vista quatro razões.  Primeiro, que as métricas para suavização de resultados baseiam-se em premissas subjacentes e que não estão isentas de erros de especificação ou mesmo de medida. Segundo, que a presença de suavização de resultados não significa necessariamente que é realizada de forma intencional, ou seja, pode simplesmente resultar das modificações das operaçõe</w:t>
      </w:r>
      <w:r w:rsidR="00132D26">
        <w:rPr>
          <w:szCs w:val="24"/>
        </w:rPr>
        <w:t>s das empresas. Terceiro, pela</w:t>
      </w:r>
      <w:r w:rsidR="00036146">
        <w:rPr>
          <w:szCs w:val="24"/>
        </w:rPr>
        <w:t xml:space="preserve"> natureza das informações ser obrigatória, os índices de divulgação deveriam ser elevados. Por último, que poucas são as pesquisas envolvendo Sociedade de Economia Mista e suas práticas contábeis, existindo muitas oportunidades de pesquisa em empresas de economia mista. </w:t>
      </w:r>
      <w:r w:rsidRPr="00E656E3">
        <w:rPr>
          <w:szCs w:val="24"/>
        </w:rPr>
        <w:t xml:space="preserve"> </w:t>
      </w:r>
    </w:p>
    <w:p w14:paraId="46BDBAD4" w14:textId="77777777" w:rsidR="001533AB" w:rsidRDefault="0063719B" w:rsidP="00E240B6">
      <w:pPr>
        <w:spacing w:after="0"/>
        <w:ind w:firstLine="0"/>
        <w:rPr>
          <w:szCs w:val="24"/>
        </w:rPr>
      </w:pPr>
      <w:r w:rsidRPr="00E656E3">
        <w:rPr>
          <w:b/>
          <w:szCs w:val="24"/>
        </w:rPr>
        <w:t xml:space="preserve">Palavras-chave: </w:t>
      </w:r>
      <w:r w:rsidRPr="00E656E3">
        <w:rPr>
          <w:szCs w:val="24"/>
        </w:rPr>
        <w:t>Suavização de Resultados. Divulgação de Informações Contábeis. Empresas Estatais.</w:t>
      </w:r>
      <w:bookmarkStart w:id="0" w:name="_Toc411452219"/>
      <w:bookmarkStart w:id="1" w:name="_Toc411461667"/>
    </w:p>
    <w:p w14:paraId="77B53EB7" w14:textId="77777777" w:rsidR="00F05010" w:rsidRPr="002C5E86" w:rsidRDefault="00F05010" w:rsidP="00E240B6">
      <w:pPr>
        <w:spacing w:after="0"/>
        <w:ind w:firstLine="0"/>
        <w:rPr>
          <w:b/>
          <w:szCs w:val="24"/>
          <w:lang w:val="en-US"/>
        </w:rPr>
      </w:pPr>
      <w:r w:rsidRPr="002C5E86">
        <w:rPr>
          <w:b/>
          <w:szCs w:val="24"/>
          <w:lang w:val="en-US"/>
        </w:rPr>
        <w:t>Abstract</w:t>
      </w:r>
    </w:p>
    <w:p w14:paraId="7F33DB4D" w14:textId="77777777" w:rsidR="00EE5F4A" w:rsidRPr="00E656E3" w:rsidRDefault="00EE5F4A" w:rsidP="00E240B6">
      <w:pPr>
        <w:ind w:firstLine="0"/>
        <w:rPr>
          <w:szCs w:val="24"/>
          <w:lang w:val="en-US"/>
        </w:rPr>
      </w:pPr>
      <w:r w:rsidRPr="00E656E3">
        <w:rPr>
          <w:szCs w:val="24"/>
          <w:lang w:val="en-US"/>
        </w:rPr>
        <w:t xml:space="preserve">This study examines the relationship between the compulsory disclosure of financial information and the income smoothing in State-Owned companies of Paraná in the period 2010 to 2013. The theoretical research background is based on the underlying assumptions that sustain the Hypothesis of Political Costs of Watts and Zimmerman (1978) and the Agency Theory To conduct the research is used a sample of 34 non-financial companies of mixed capital of Parana State. As a proxy for income smoothing is used the metric of Eckel </w:t>
      </w:r>
      <w:r w:rsidRPr="00E656E3">
        <w:rPr>
          <w:szCs w:val="24"/>
          <w:lang w:val="en-US"/>
        </w:rPr>
        <w:lastRenderedPageBreak/>
        <w:t>(1981) and two metrics of Leuz, Nanda and Wysocki (2003). To measure the compulsory disclosure, the research used a metric composed of 54 items as indicated in Law 6404/76. The main findings indicate that income smoothing and mandatory disclosure are not associated.</w:t>
      </w:r>
      <w:r w:rsidR="00036146">
        <w:rPr>
          <w:szCs w:val="24"/>
          <w:lang w:val="en-US"/>
        </w:rPr>
        <w:t xml:space="preserve"> </w:t>
      </w:r>
      <w:r w:rsidR="00036146" w:rsidRPr="00AB02D3">
        <w:rPr>
          <w:lang w:val="en-US"/>
        </w:rPr>
        <w:t xml:space="preserve">It was expected that the results of </w:t>
      </w:r>
      <w:r w:rsidR="00036146">
        <w:rPr>
          <w:lang w:val="en-US"/>
        </w:rPr>
        <w:t xml:space="preserve">income </w:t>
      </w:r>
      <w:r w:rsidR="00036146" w:rsidRPr="00AB02D3">
        <w:rPr>
          <w:lang w:val="en-US"/>
        </w:rPr>
        <w:t xml:space="preserve">smoothing could influence positively and significantly </w:t>
      </w:r>
      <w:r w:rsidR="00036146">
        <w:rPr>
          <w:lang w:val="en-US"/>
        </w:rPr>
        <w:t xml:space="preserve">at some levels of </w:t>
      </w:r>
      <w:r w:rsidR="00036146" w:rsidRPr="00AB02D3">
        <w:rPr>
          <w:lang w:val="en-US"/>
        </w:rPr>
        <w:t xml:space="preserve">the mandatory disclosure. The results should be interpreted with caution given four reasons. First, the metrics for </w:t>
      </w:r>
      <w:r w:rsidR="00036146">
        <w:rPr>
          <w:lang w:val="en-US"/>
        </w:rPr>
        <w:t xml:space="preserve">income </w:t>
      </w:r>
      <w:r w:rsidR="00036146" w:rsidRPr="00AB02D3">
        <w:rPr>
          <w:lang w:val="en-US"/>
        </w:rPr>
        <w:t>smoothing are based on unde</w:t>
      </w:r>
      <w:r w:rsidR="00036146">
        <w:rPr>
          <w:lang w:val="en-US"/>
        </w:rPr>
        <w:t>rlying assumptions that are not</w:t>
      </w:r>
      <w:r w:rsidR="00036146" w:rsidRPr="00AB02D3">
        <w:rPr>
          <w:lang w:val="en-US"/>
        </w:rPr>
        <w:t xml:space="preserve"> free from </w:t>
      </w:r>
      <w:r w:rsidR="00036146">
        <w:rPr>
          <w:lang w:val="en-US"/>
        </w:rPr>
        <w:t xml:space="preserve">some specific </w:t>
      </w:r>
      <w:r w:rsidR="00036146" w:rsidRPr="00AB02D3">
        <w:rPr>
          <w:lang w:val="en-US"/>
        </w:rPr>
        <w:t>errors or even measure</w:t>
      </w:r>
      <w:r w:rsidR="00036146">
        <w:rPr>
          <w:lang w:val="en-US"/>
        </w:rPr>
        <w:t xml:space="preserve"> problems</w:t>
      </w:r>
      <w:r w:rsidR="00036146" w:rsidRPr="00AB02D3">
        <w:rPr>
          <w:lang w:val="en-US"/>
        </w:rPr>
        <w:t>. Second, the presence of income smoothing does not necessarily mean it</w:t>
      </w:r>
      <w:r w:rsidR="00036146">
        <w:rPr>
          <w:lang w:val="en-US"/>
        </w:rPr>
        <w:t xml:space="preserve"> is performed intentionally, meaning that they </w:t>
      </w:r>
      <w:r w:rsidR="00036146" w:rsidRPr="00AB02D3">
        <w:rPr>
          <w:lang w:val="en-US"/>
        </w:rPr>
        <w:t xml:space="preserve">may simply result from changes in business operations. Third, </w:t>
      </w:r>
      <w:r w:rsidR="00036146">
        <w:rPr>
          <w:lang w:val="en-US"/>
        </w:rPr>
        <w:t xml:space="preserve">due to </w:t>
      </w:r>
      <w:r w:rsidR="00036146" w:rsidRPr="00AB02D3">
        <w:rPr>
          <w:lang w:val="en-US"/>
        </w:rPr>
        <w:t xml:space="preserve">the </w:t>
      </w:r>
      <w:r w:rsidR="00036146">
        <w:rPr>
          <w:lang w:val="en-US"/>
        </w:rPr>
        <w:t xml:space="preserve">mandatory </w:t>
      </w:r>
      <w:r w:rsidR="00036146" w:rsidRPr="00AB02D3">
        <w:rPr>
          <w:lang w:val="en-US"/>
        </w:rPr>
        <w:t>nat</w:t>
      </w:r>
      <w:r w:rsidR="00036146">
        <w:rPr>
          <w:lang w:val="en-US"/>
        </w:rPr>
        <w:t>ure of information releases</w:t>
      </w:r>
      <w:r w:rsidR="00036146" w:rsidRPr="00AB02D3">
        <w:rPr>
          <w:lang w:val="en-US"/>
        </w:rPr>
        <w:t>, the disclosure rate</w:t>
      </w:r>
      <w:r w:rsidR="00036146">
        <w:rPr>
          <w:lang w:val="en-US"/>
        </w:rPr>
        <w:t xml:space="preserve">s should be high. Finally, </w:t>
      </w:r>
      <w:r w:rsidR="00036146" w:rsidRPr="00AB02D3">
        <w:rPr>
          <w:lang w:val="en-US"/>
        </w:rPr>
        <w:t>there is little research</w:t>
      </w:r>
      <w:r w:rsidR="00036146">
        <w:rPr>
          <w:lang w:val="en-US"/>
        </w:rPr>
        <w:t xml:space="preserve"> involving State-Owned Companies</w:t>
      </w:r>
      <w:r w:rsidR="00036146" w:rsidRPr="00AB02D3">
        <w:rPr>
          <w:lang w:val="en-US"/>
        </w:rPr>
        <w:t xml:space="preserve"> and its accounting practices, </w:t>
      </w:r>
      <w:r w:rsidR="00036146">
        <w:rPr>
          <w:lang w:val="en-US"/>
        </w:rPr>
        <w:t xml:space="preserve">therefore </w:t>
      </w:r>
      <w:r w:rsidR="00036146" w:rsidRPr="00AB02D3">
        <w:rPr>
          <w:lang w:val="en-US"/>
        </w:rPr>
        <w:t>there are many research opportunities</w:t>
      </w:r>
      <w:r w:rsidR="00036146">
        <w:rPr>
          <w:lang w:val="en-US"/>
        </w:rPr>
        <w:t xml:space="preserve"> on this field.</w:t>
      </w:r>
    </w:p>
    <w:p w14:paraId="03711DAD" w14:textId="77777777" w:rsidR="00EE5F4A" w:rsidRPr="00E656E3" w:rsidRDefault="00EE5F4A" w:rsidP="00E240B6">
      <w:pPr>
        <w:spacing w:after="0"/>
        <w:ind w:firstLine="0"/>
        <w:rPr>
          <w:szCs w:val="24"/>
        </w:rPr>
      </w:pPr>
      <w:r w:rsidRPr="00E656E3">
        <w:rPr>
          <w:b/>
          <w:szCs w:val="24"/>
          <w:lang w:val="en-US"/>
        </w:rPr>
        <w:t>Keywords</w:t>
      </w:r>
      <w:r w:rsidRPr="00E656E3">
        <w:rPr>
          <w:szCs w:val="24"/>
          <w:lang w:val="en-US"/>
        </w:rPr>
        <w:t xml:space="preserve">: Income Smoothing. Disclosure of Accounting Information. </w:t>
      </w:r>
      <w:r w:rsidRPr="00E656E3">
        <w:rPr>
          <w:szCs w:val="24"/>
        </w:rPr>
        <w:t>State Companies.</w:t>
      </w:r>
    </w:p>
    <w:p w14:paraId="258C1D56" w14:textId="77777777" w:rsidR="00EE5F4A" w:rsidRPr="00E656E3" w:rsidRDefault="00EE5F4A" w:rsidP="00E240B6">
      <w:pPr>
        <w:spacing w:after="0"/>
        <w:ind w:firstLine="0"/>
        <w:rPr>
          <w:szCs w:val="24"/>
        </w:rPr>
      </w:pPr>
    </w:p>
    <w:p w14:paraId="0B4E3B85" w14:textId="77777777" w:rsidR="0063719B" w:rsidRPr="00E656E3" w:rsidRDefault="00544F6E" w:rsidP="00E240B6">
      <w:pPr>
        <w:spacing w:after="0"/>
        <w:ind w:firstLine="0"/>
        <w:rPr>
          <w:b/>
          <w:szCs w:val="24"/>
        </w:rPr>
      </w:pPr>
      <w:r>
        <w:rPr>
          <w:b/>
          <w:szCs w:val="24"/>
        </w:rPr>
        <w:t>1</w:t>
      </w:r>
      <w:r w:rsidR="00BA48FE" w:rsidRPr="00E656E3">
        <w:rPr>
          <w:b/>
          <w:szCs w:val="24"/>
        </w:rPr>
        <w:t xml:space="preserve"> I</w:t>
      </w:r>
      <w:r w:rsidRPr="00E656E3">
        <w:rPr>
          <w:b/>
          <w:szCs w:val="24"/>
        </w:rPr>
        <w:t>NTRODUÇÃO</w:t>
      </w:r>
      <w:bookmarkEnd w:id="0"/>
      <w:bookmarkEnd w:id="1"/>
    </w:p>
    <w:p w14:paraId="75E9C1C7" w14:textId="480361D2" w:rsidR="0063719B" w:rsidRPr="00E656E3" w:rsidRDefault="0063719B" w:rsidP="00E240B6">
      <w:pPr>
        <w:spacing w:after="0"/>
        <w:rPr>
          <w:rFonts w:eastAsia="Times New Roman"/>
          <w:szCs w:val="24"/>
        </w:rPr>
      </w:pPr>
      <w:r w:rsidRPr="00E656E3">
        <w:rPr>
          <w:rFonts w:eastAsia="Times New Roman"/>
          <w:szCs w:val="24"/>
        </w:rPr>
        <w:t xml:space="preserve">As </w:t>
      </w:r>
      <w:r w:rsidR="002C5D2D" w:rsidRPr="00E656E3">
        <w:rPr>
          <w:rFonts w:eastAsia="Times New Roman"/>
          <w:szCs w:val="24"/>
        </w:rPr>
        <w:t>Empresas de Economia Mista</w:t>
      </w:r>
      <w:r w:rsidR="009B041C">
        <w:rPr>
          <w:rFonts w:eastAsia="Times New Roman"/>
          <w:szCs w:val="24"/>
        </w:rPr>
        <w:t xml:space="preserve"> (</w:t>
      </w:r>
      <w:r w:rsidR="00C34559">
        <w:rPr>
          <w:rFonts w:eastAsia="Times New Roman"/>
          <w:szCs w:val="24"/>
        </w:rPr>
        <w:t xml:space="preserve">EEM) </w:t>
      </w:r>
      <w:r w:rsidR="00C34559" w:rsidRPr="00E656E3">
        <w:rPr>
          <w:rFonts w:eastAsia="Times New Roman"/>
          <w:szCs w:val="24"/>
        </w:rPr>
        <w:t>possuem</w:t>
      </w:r>
      <w:r w:rsidRPr="00E656E3">
        <w:rPr>
          <w:rFonts w:eastAsia="Times New Roman"/>
          <w:szCs w:val="24"/>
        </w:rPr>
        <w:t xml:space="preserve"> como características essenciais </w:t>
      </w:r>
      <w:r w:rsidR="00760277">
        <w:rPr>
          <w:rFonts w:eastAsia="Times New Roman"/>
          <w:szCs w:val="24"/>
        </w:rPr>
        <w:t xml:space="preserve">a divisão </w:t>
      </w:r>
      <w:r w:rsidR="00C34559">
        <w:rPr>
          <w:rFonts w:eastAsia="Times New Roman"/>
          <w:szCs w:val="24"/>
        </w:rPr>
        <w:t xml:space="preserve">do </w:t>
      </w:r>
      <w:r w:rsidR="00C34559" w:rsidRPr="00E656E3">
        <w:rPr>
          <w:rFonts w:eastAsia="Times New Roman"/>
          <w:szCs w:val="24"/>
        </w:rPr>
        <w:t>capital</w:t>
      </w:r>
      <w:r w:rsidR="00760277">
        <w:rPr>
          <w:rFonts w:eastAsia="Times New Roman"/>
          <w:szCs w:val="24"/>
        </w:rPr>
        <w:t xml:space="preserve">, sendo a parte </w:t>
      </w:r>
      <w:r w:rsidRPr="00E656E3">
        <w:rPr>
          <w:rFonts w:eastAsia="Times New Roman"/>
          <w:szCs w:val="24"/>
        </w:rPr>
        <w:t>majoritári</w:t>
      </w:r>
      <w:r w:rsidR="00760277">
        <w:rPr>
          <w:rFonts w:eastAsia="Times New Roman"/>
          <w:szCs w:val="24"/>
        </w:rPr>
        <w:t xml:space="preserve">a de origem </w:t>
      </w:r>
      <w:r w:rsidRPr="00E656E3">
        <w:rPr>
          <w:rFonts w:eastAsia="Times New Roman"/>
          <w:szCs w:val="24"/>
        </w:rPr>
        <w:t>públic</w:t>
      </w:r>
      <w:r w:rsidR="00760277">
        <w:rPr>
          <w:rFonts w:eastAsia="Times New Roman"/>
          <w:szCs w:val="24"/>
        </w:rPr>
        <w:t>a</w:t>
      </w:r>
      <w:r w:rsidRPr="00E656E3">
        <w:rPr>
          <w:rFonts w:eastAsia="Times New Roman"/>
          <w:szCs w:val="24"/>
        </w:rPr>
        <w:t xml:space="preserve"> e </w:t>
      </w:r>
      <w:r w:rsidR="00760277">
        <w:rPr>
          <w:rFonts w:eastAsia="Times New Roman"/>
          <w:szCs w:val="24"/>
        </w:rPr>
        <w:t xml:space="preserve">a </w:t>
      </w:r>
      <w:r w:rsidRPr="00E656E3">
        <w:rPr>
          <w:rFonts w:eastAsia="Times New Roman"/>
          <w:szCs w:val="24"/>
        </w:rPr>
        <w:t>minoritári</w:t>
      </w:r>
      <w:r w:rsidR="00D765E0">
        <w:rPr>
          <w:rFonts w:eastAsia="Times New Roman"/>
          <w:szCs w:val="24"/>
        </w:rPr>
        <w:t>a</w:t>
      </w:r>
      <w:r w:rsidRPr="00E656E3">
        <w:rPr>
          <w:rFonts w:eastAsia="Times New Roman"/>
          <w:szCs w:val="24"/>
        </w:rPr>
        <w:t xml:space="preserve"> de </w:t>
      </w:r>
      <w:r w:rsidR="00760277">
        <w:rPr>
          <w:rFonts w:eastAsia="Times New Roman"/>
          <w:szCs w:val="24"/>
        </w:rPr>
        <w:t xml:space="preserve">origem </w:t>
      </w:r>
      <w:r w:rsidRPr="00E656E3">
        <w:rPr>
          <w:rFonts w:eastAsia="Times New Roman"/>
          <w:szCs w:val="24"/>
        </w:rPr>
        <w:t>privad</w:t>
      </w:r>
      <w:r w:rsidR="00760277">
        <w:rPr>
          <w:rFonts w:eastAsia="Times New Roman"/>
          <w:szCs w:val="24"/>
        </w:rPr>
        <w:t>a</w:t>
      </w:r>
      <w:r w:rsidR="009B041C">
        <w:rPr>
          <w:rFonts w:eastAsia="Times New Roman"/>
          <w:szCs w:val="24"/>
        </w:rPr>
        <w:t xml:space="preserve"> e, </w:t>
      </w:r>
      <w:r w:rsidR="00760277">
        <w:rPr>
          <w:rFonts w:eastAsia="Times New Roman"/>
          <w:szCs w:val="24"/>
        </w:rPr>
        <w:t>o</w:t>
      </w:r>
      <w:r w:rsidRPr="00E656E3">
        <w:rPr>
          <w:rFonts w:eastAsia="Times New Roman"/>
          <w:szCs w:val="24"/>
        </w:rPr>
        <w:t xml:space="preserve"> controle </w:t>
      </w:r>
      <w:r w:rsidR="009B041C">
        <w:rPr>
          <w:rFonts w:eastAsia="Times New Roman"/>
          <w:szCs w:val="24"/>
        </w:rPr>
        <w:t xml:space="preserve">pertence </w:t>
      </w:r>
      <w:r w:rsidR="00D765E0">
        <w:rPr>
          <w:rFonts w:eastAsia="Times New Roman"/>
          <w:szCs w:val="24"/>
        </w:rPr>
        <w:t>a</w:t>
      </w:r>
      <w:r w:rsidRPr="00E656E3">
        <w:rPr>
          <w:rFonts w:eastAsia="Times New Roman"/>
          <w:szCs w:val="24"/>
        </w:rPr>
        <w:t>o governo. As EEM têm sido utilizadas pelo</w:t>
      </w:r>
      <w:r w:rsidR="00760277">
        <w:rPr>
          <w:rFonts w:eastAsia="Times New Roman"/>
          <w:szCs w:val="24"/>
        </w:rPr>
        <w:t>s</w:t>
      </w:r>
      <w:r w:rsidRPr="00E656E3">
        <w:rPr>
          <w:rFonts w:eastAsia="Times New Roman"/>
          <w:szCs w:val="24"/>
        </w:rPr>
        <w:t xml:space="preserve"> Estado</w:t>
      </w:r>
      <w:r w:rsidR="00760277">
        <w:rPr>
          <w:rFonts w:eastAsia="Times New Roman"/>
          <w:szCs w:val="24"/>
        </w:rPr>
        <w:t>s</w:t>
      </w:r>
      <w:r w:rsidRPr="00E656E3">
        <w:rPr>
          <w:rFonts w:eastAsia="Times New Roman"/>
          <w:szCs w:val="24"/>
        </w:rPr>
        <w:t xml:space="preserve"> como uma forma de dividir os riscos em atividades produtivas de grande escala e que são fundamentais para a sociedade. (</w:t>
      </w:r>
      <w:r w:rsidR="009D0B3D" w:rsidRPr="00E656E3">
        <w:rPr>
          <w:rFonts w:eastAsia="Times New Roman"/>
          <w:szCs w:val="24"/>
        </w:rPr>
        <w:t>MARCOLINO, 2005; PINTO JUNIOR, 2009; SGARBI,</w:t>
      </w:r>
      <w:r w:rsidR="00964770" w:rsidRPr="00E656E3">
        <w:rPr>
          <w:rFonts w:eastAsia="Times New Roman"/>
          <w:szCs w:val="24"/>
        </w:rPr>
        <w:t xml:space="preserve"> 2011</w:t>
      </w:r>
      <w:r w:rsidRPr="00E656E3">
        <w:rPr>
          <w:rFonts w:eastAsia="Times New Roman"/>
          <w:szCs w:val="24"/>
        </w:rPr>
        <w:t xml:space="preserve">). </w:t>
      </w:r>
    </w:p>
    <w:p w14:paraId="23BBD56C" w14:textId="77777777" w:rsidR="00760277" w:rsidRPr="00E656E3" w:rsidRDefault="0063719B" w:rsidP="00760277">
      <w:pPr>
        <w:rPr>
          <w:szCs w:val="24"/>
        </w:rPr>
      </w:pPr>
      <w:r w:rsidRPr="00E656E3">
        <w:rPr>
          <w:rFonts w:eastAsia="Times New Roman"/>
          <w:szCs w:val="24"/>
        </w:rPr>
        <w:t xml:space="preserve">A estrutura de propriedade mista é um dos aspectos com maior relevância nas </w:t>
      </w:r>
      <w:r w:rsidR="002C5D2D" w:rsidRPr="00E656E3">
        <w:rPr>
          <w:rFonts w:eastAsia="Times New Roman"/>
          <w:szCs w:val="24"/>
        </w:rPr>
        <w:t>Empresas de Economia Mista</w:t>
      </w:r>
      <w:r w:rsidRPr="00E656E3">
        <w:rPr>
          <w:rFonts w:eastAsia="Times New Roman"/>
          <w:szCs w:val="24"/>
        </w:rPr>
        <w:t xml:space="preserve">. </w:t>
      </w:r>
      <w:r w:rsidR="002C5D2D" w:rsidRPr="00E656E3">
        <w:rPr>
          <w:rFonts w:eastAsia="Times New Roman"/>
          <w:szCs w:val="24"/>
        </w:rPr>
        <w:t>N</w:t>
      </w:r>
      <w:r w:rsidRPr="00E656E3">
        <w:rPr>
          <w:rFonts w:eastAsia="Times New Roman"/>
          <w:szCs w:val="24"/>
        </w:rPr>
        <w:t xml:space="preserve">essas empresas </w:t>
      </w:r>
      <w:r w:rsidR="002C5D2D" w:rsidRPr="00E656E3">
        <w:rPr>
          <w:rFonts w:eastAsia="Times New Roman"/>
          <w:szCs w:val="24"/>
        </w:rPr>
        <w:t xml:space="preserve">também ocorrem </w:t>
      </w:r>
      <w:r w:rsidRPr="00E656E3">
        <w:rPr>
          <w:rFonts w:eastAsia="Times New Roman"/>
          <w:szCs w:val="24"/>
        </w:rPr>
        <w:t>conflitos advindos da sua estrutura de propriedade com a dualidade de objetivos, ou seja, a maximização do valor da empresa para o acionista e o atendimento da sua função social para a qual foi criada (</w:t>
      </w:r>
      <w:r w:rsidR="00866A2D" w:rsidRPr="00E656E3">
        <w:rPr>
          <w:rFonts w:eastAsia="Times New Roman"/>
          <w:szCs w:val="24"/>
        </w:rPr>
        <w:t>ABRANCHES, 1979; PINTO JUNIOR, 200</w:t>
      </w:r>
      <w:r w:rsidRPr="00E656E3">
        <w:rPr>
          <w:rFonts w:eastAsia="Times New Roman"/>
          <w:szCs w:val="24"/>
        </w:rPr>
        <w:t>9).</w:t>
      </w:r>
      <w:r w:rsidR="00760277" w:rsidRPr="00760277">
        <w:rPr>
          <w:szCs w:val="24"/>
        </w:rPr>
        <w:t xml:space="preserve"> </w:t>
      </w:r>
      <w:r w:rsidR="00760277" w:rsidRPr="00E656E3">
        <w:rPr>
          <w:szCs w:val="24"/>
        </w:rPr>
        <w:t xml:space="preserve">Uma das formas de observar os conflitos nas Empresas de Economia Mista é sob o ponto de vista da Teoria da Agência desenvolvida por Jensen e Meckling em 1976, onde os autores afirmam que, por determinadas razões, os proprietários (principais) delegam poderes aos administradores (agentes) para gerir seus negócios. Para </w:t>
      </w:r>
      <w:r w:rsidR="00760277" w:rsidRPr="00E656E3">
        <w:rPr>
          <w:rStyle w:val="notranslate"/>
          <w:szCs w:val="24"/>
        </w:rPr>
        <w:t xml:space="preserve">Healy e Palepu (2001) </w:t>
      </w:r>
      <w:r w:rsidR="00760277" w:rsidRPr="00E656E3">
        <w:rPr>
          <w:szCs w:val="24"/>
        </w:rPr>
        <w:t xml:space="preserve">uma forma de minimizar os potenciais conflitos de agências nas empresas é a transparência e divulgação de informações aos </w:t>
      </w:r>
      <w:r w:rsidR="00760277" w:rsidRPr="00E656E3">
        <w:rPr>
          <w:i/>
          <w:szCs w:val="24"/>
        </w:rPr>
        <w:t>stakeholders</w:t>
      </w:r>
      <w:r w:rsidR="00760277" w:rsidRPr="00E656E3">
        <w:rPr>
          <w:szCs w:val="24"/>
        </w:rPr>
        <w:t>.</w:t>
      </w:r>
    </w:p>
    <w:p w14:paraId="77F759E3" w14:textId="77777777" w:rsidR="0063719B" w:rsidRPr="00E656E3" w:rsidRDefault="0063719B" w:rsidP="00E240B6">
      <w:pPr>
        <w:spacing w:after="0"/>
        <w:rPr>
          <w:rFonts w:eastAsia="Times New Roman"/>
          <w:szCs w:val="24"/>
        </w:rPr>
      </w:pPr>
    </w:p>
    <w:p w14:paraId="282A848F" w14:textId="44CC9712" w:rsidR="0063719B" w:rsidRPr="00E656E3" w:rsidRDefault="0063719B" w:rsidP="00E240B6">
      <w:pPr>
        <w:rPr>
          <w:szCs w:val="24"/>
        </w:rPr>
      </w:pPr>
      <w:r w:rsidRPr="00E656E3">
        <w:rPr>
          <w:szCs w:val="24"/>
        </w:rPr>
        <w:lastRenderedPageBreak/>
        <w:t xml:space="preserve">A divulgação de informações é </w:t>
      </w:r>
      <w:r w:rsidR="00760277">
        <w:rPr>
          <w:szCs w:val="24"/>
        </w:rPr>
        <w:t xml:space="preserve"> </w:t>
      </w:r>
      <w:r w:rsidR="00760277" w:rsidRPr="00E656E3">
        <w:rPr>
          <w:szCs w:val="24"/>
        </w:rPr>
        <w:t xml:space="preserve"> </w:t>
      </w:r>
      <w:r w:rsidRPr="00E656E3">
        <w:rPr>
          <w:szCs w:val="24"/>
        </w:rPr>
        <w:t xml:space="preserve">classificada em voluntária e compulsória, sendo que a primeira está relacionada com a pretensão dos gestores em evidenciar mais informações do que exigido legalmente. </w:t>
      </w:r>
      <w:r w:rsidR="00760277">
        <w:rPr>
          <w:szCs w:val="24"/>
        </w:rPr>
        <w:t xml:space="preserve"> </w:t>
      </w:r>
      <w:r w:rsidRPr="00E656E3">
        <w:rPr>
          <w:rFonts w:eastAsia="Times New Roman"/>
          <w:szCs w:val="24"/>
        </w:rPr>
        <w:t>Para Fox (2009), os benefícios da divulgação compulsória estão atrelados ao mercado de capitais, proteção de investidores, maior liquidez e também com à redução de custos políticos.</w:t>
      </w:r>
    </w:p>
    <w:p w14:paraId="022C39EB" w14:textId="77777777" w:rsidR="0063719B" w:rsidRPr="00E656E3" w:rsidRDefault="0063719B" w:rsidP="00E240B6">
      <w:pPr>
        <w:spacing w:after="0"/>
        <w:ind w:firstLine="708"/>
        <w:rPr>
          <w:rFonts w:eastAsia="Times New Roman"/>
          <w:szCs w:val="24"/>
        </w:rPr>
      </w:pPr>
      <w:r w:rsidRPr="00E656E3">
        <w:rPr>
          <w:szCs w:val="24"/>
        </w:rPr>
        <w:t xml:space="preserve">A </w:t>
      </w:r>
      <w:r w:rsidR="00AA2CC7" w:rsidRPr="00E656E3">
        <w:rPr>
          <w:szCs w:val="24"/>
        </w:rPr>
        <w:t>H</w:t>
      </w:r>
      <w:r w:rsidRPr="00E656E3">
        <w:rPr>
          <w:szCs w:val="24"/>
        </w:rPr>
        <w:t xml:space="preserve">ipótese dos </w:t>
      </w:r>
      <w:r w:rsidR="00AA2CC7" w:rsidRPr="00E656E3">
        <w:rPr>
          <w:szCs w:val="24"/>
        </w:rPr>
        <w:t>C</w:t>
      </w:r>
      <w:r w:rsidRPr="00E656E3">
        <w:rPr>
          <w:szCs w:val="24"/>
        </w:rPr>
        <w:t xml:space="preserve">ustos </w:t>
      </w:r>
      <w:r w:rsidR="00AA2CC7" w:rsidRPr="00E656E3">
        <w:rPr>
          <w:szCs w:val="24"/>
        </w:rPr>
        <w:t>P</w:t>
      </w:r>
      <w:r w:rsidRPr="00E656E3">
        <w:rPr>
          <w:szCs w:val="24"/>
        </w:rPr>
        <w:t xml:space="preserve">olíticos de Watts e Zimmerman (1978) prevê que empresas atuantes em setores com alta visibilidade social tendem a possuir maior carga de custos políticos, pois, estariam sujeitas a arcar com maiores custos em caso de se envolver em processos investigatórios. Assim, </w:t>
      </w:r>
      <w:r w:rsidR="00AA2CC7" w:rsidRPr="00E656E3">
        <w:rPr>
          <w:szCs w:val="24"/>
        </w:rPr>
        <w:t xml:space="preserve">em função </w:t>
      </w:r>
      <w:r w:rsidR="00F90216" w:rsidRPr="00E656E3">
        <w:rPr>
          <w:szCs w:val="24"/>
        </w:rPr>
        <w:t>das Empresas</w:t>
      </w:r>
      <w:r w:rsidR="002C5D2D" w:rsidRPr="00E656E3">
        <w:rPr>
          <w:szCs w:val="24"/>
        </w:rPr>
        <w:t xml:space="preserve"> de Economia Mista</w:t>
      </w:r>
      <w:r w:rsidRPr="00E656E3">
        <w:rPr>
          <w:szCs w:val="24"/>
        </w:rPr>
        <w:t xml:space="preserve"> possuírem gestores políticos e atuarem em segmentos de grande importância social, estariam suscetíveis a maior pressão fiscalizadora e pública.</w:t>
      </w:r>
      <w:r w:rsidR="00AA2CC7" w:rsidRPr="00E656E3">
        <w:rPr>
          <w:rFonts w:eastAsia="Times New Roman"/>
          <w:szCs w:val="24"/>
        </w:rPr>
        <w:t xml:space="preserve"> Para Kim e Chung (2007) quando os administradores desejam minimizar as pressões exercidas pela sociedade para melhores desempenhos, os gestores podem selecionar procedimentos contábeis que modifiquem os resultados, ou seja, gerenciando seus resultados para atingir determinado objetivo como a suavização de resultados.</w:t>
      </w:r>
    </w:p>
    <w:p w14:paraId="75B6A949" w14:textId="28671CF0" w:rsidR="0063719B" w:rsidRPr="00E656E3" w:rsidRDefault="0063719B" w:rsidP="00E240B6">
      <w:pPr>
        <w:spacing w:after="0"/>
        <w:ind w:firstLine="708"/>
        <w:rPr>
          <w:szCs w:val="24"/>
        </w:rPr>
      </w:pPr>
      <w:r w:rsidRPr="00E656E3">
        <w:rPr>
          <w:szCs w:val="24"/>
        </w:rPr>
        <w:t>Suavização de Resultados</w:t>
      </w:r>
      <w:r w:rsidR="00760277">
        <w:rPr>
          <w:szCs w:val="24"/>
        </w:rPr>
        <w:t xml:space="preserve"> refere-</w:t>
      </w:r>
      <w:r w:rsidR="00DC07A1">
        <w:rPr>
          <w:szCs w:val="24"/>
        </w:rPr>
        <w:t xml:space="preserve">se </w:t>
      </w:r>
      <w:r w:rsidR="00DC07A1" w:rsidRPr="00E656E3">
        <w:rPr>
          <w:szCs w:val="24"/>
        </w:rPr>
        <w:t>a</w:t>
      </w:r>
      <w:r w:rsidRPr="00E656E3">
        <w:rPr>
          <w:szCs w:val="24"/>
        </w:rPr>
        <w:t xml:space="preserve"> adoção de práticas que result</w:t>
      </w:r>
      <w:r w:rsidR="00AA2CC7" w:rsidRPr="00E656E3">
        <w:rPr>
          <w:szCs w:val="24"/>
        </w:rPr>
        <w:t>a</w:t>
      </w:r>
      <w:r w:rsidRPr="00E656E3">
        <w:rPr>
          <w:szCs w:val="24"/>
        </w:rPr>
        <w:t xml:space="preserve">m </w:t>
      </w:r>
      <w:r w:rsidR="00760277">
        <w:rPr>
          <w:szCs w:val="24"/>
        </w:rPr>
        <w:t>na</w:t>
      </w:r>
      <w:r w:rsidRPr="00E656E3">
        <w:rPr>
          <w:szCs w:val="24"/>
        </w:rPr>
        <w:t xml:space="preserve"> </w:t>
      </w:r>
      <w:r w:rsidR="00F90216" w:rsidRPr="00E656E3">
        <w:rPr>
          <w:szCs w:val="24"/>
        </w:rPr>
        <w:t>redução da oscilação dos</w:t>
      </w:r>
      <w:r w:rsidR="00D765E0">
        <w:rPr>
          <w:szCs w:val="24"/>
        </w:rPr>
        <w:t xml:space="preserve"> resultados</w:t>
      </w:r>
      <w:r w:rsidR="00AA2CC7" w:rsidRPr="00E656E3">
        <w:rPr>
          <w:szCs w:val="24"/>
        </w:rPr>
        <w:t xml:space="preserve"> com o propósito de antecipar ou postergar </w:t>
      </w:r>
      <w:r w:rsidR="00F90216" w:rsidRPr="00E656E3">
        <w:rPr>
          <w:szCs w:val="24"/>
        </w:rPr>
        <w:t>o reconhecimento</w:t>
      </w:r>
      <w:r w:rsidR="00AA2CC7" w:rsidRPr="00E656E3">
        <w:rPr>
          <w:szCs w:val="24"/>
        </w:rPr>
        <w:t xml:space="preserve"> de eventos econômicos no resultado contábil das companhias</w:t>
      </w:r>
      <w:r w:rsidR="00D765E0">
        <w:rPr>
          <w:szCs w:val="24"/>
        </w:rPr>
        <w:t xml:space="preserve"> </w:t>
      </w:r>
      <w:r w:rsidR="00D765E0" w:rsidRPr="00E656E3">
        <w:rPr>
          <w:szCs w:val="24"/>
        </w:rPr>
        <w:t>(ECKEL, 1981)</w:t>
      </w:r>
      <w:r w:rsidRPr="00E656E3">
        <w:rPr>
          <w:szCs w:val="24"/>
        </w:rPr>
        <w:t xml:space="preserve">. No caso das </w:t>
      </w:r>
      <w:r w:rsidR="002C5D2D" w:rsidRPr="00E656E3">
        <w:rPr>
          <w:szCs w:val="24"/>
        </w:rPr>
        <w:t>Empresas de Economia Mista</w:t>
      </w:r>
      <w:r w:rsidRPr="00E656E3">
        <w:rPr>
          <w:szCs w:val="24"/>
        </w:rPr>
        <w:t>, a suavização de resultado pode ser vista como uma forma de evitar privatizações, mitigar problemas de agência e reduzir a visibilidade política, social e fiscalizadora dessas empresas</w:t>
      </w:r>
      <w:r w:rsidRPr="00E656E3">
        <w:rPr>
          <w:rFonts w:eastAsia="Times New Roman"/>
          <w:szCs w:val="24"/>
        </w:rPr>
        <w:t xml:space="preserve"> (</w:t>
      </w:r>
      <w:r w:rsidR="00F264BC" w:rsidRPr="00E656E3">
        <w:rPr>
          <w:szCs w:val="24"/>
        </w:rPr>
        <w:t>CHENG</w:t>
      </w:r>
      <w:r w:rsidR="00F264BC">
        <w:rPr>
          <w:szCs w:val="24"/>
        </w:rPr>
        <w:t>;</w:t>
      </w:r>
      <w:r w:rsidR="00F264BC" w:rsidRPr="00E656E3">
        <w:rPr>
          <w:szCs w:val="24"/>
        </w:rPr>
        <w:t xml:space="preserve"> AERTS</w:t>
      </w:r>
      <w:r w:rsidR="00F264BC">
        <w:rPr>
          <w:szCs w:val="24"/>
        </w:rPr>
        <w:t>;</w:t>
      </w:r>
      <w:r w:rsidR="00F264BC" w:rsidRPr="00E656E3">
        <w:rPr>
          <w:szCs w:val="24"/>
        </w:rPr>
        <w:t xml:space="preserve"> JORISSEN,</w:t>
      </w:r>
      <w:r w:rsidRPr="00E656E3">
        <w:rPr>
          <w:szCs w:val="24"/>
        </w:rPr>
        <w:t xml:space="preserve"> 2010). </w:t>
      </w:r>
      <w:r w:rsidR="00B167B1" w:rsidRPr="00E656E3">
        <w:rPr>
          <w:szCs w:val="24"/>
        </w:rPr>
        <w:t>A</w:t>
      </w:r>
      <w:r w:rsidRPr="00E656E3">
        <w:rPr>
          <w:szCs w:val="24"/>
        </w:rPr>
        <w:t>o optar pela prática de suavização de resultados</w:t>
      </w:r>
      <w:r w:rsidR="00760277">
        <w:rPr>
          <w:szCs w:val="24"/>
        </w:rPr>
        <w:t>,</w:t>
      </w:r>
      <w:r w:rsidRPr="00E656E3">
        <w:rPr>
          <w:szCs w:val="24"/>
        </w:rPr>
        <w:t xml:space="preserve"> é </w:t>
      </w:r>
      <w:r w:rsidR="00DC07A1" w:rsidRPr="00E656E3">
        <w:rPr>
          <w:szCs w:val="24"/>
        </w:rPr>
        <w:t>p</w:t>
      </w:r>
      <w:r w:rsidR="00DC07A1">
        <w:rPr>
          <w:szCs w:val="24"/>
        </w:rPr>
        <w:t xml:space="preserve">ossível </w:t>
      </w:r>
      <w:r w:rsidR="00DC07A1" w:rsidRPr="00E656E3">
        <w:rPr>
          <w:szCs w:val="24"/>
        </w:rPr>
        <w:t>que</w:t>
      </w:r>
      <w:r w:rsidRPr="00E656E3">
        <w:rPr>
          <w:szCs w:val="24"/>
        </w:rPr>
        <w:t xml:space="preserve"> as </w:t>
      </w:r>
      <w:r w:rsidR="002C5D2D" w:rsidRPr="00E656E3">
        <w:rPr>
          <w:szCs w:val="24"/>
        </w:rPr>
        <w:t>Empresas de Economia Mista</w:t>
      </w:r>
      <w:r w:rsidRPr="00E656E3">
        <w:rPr>
          <w:szCs w:val="24"/>
        </w:rPr>
        <w:t xml:space="preserve"> aumentem a divulgação de informações como uma forma de reduzir </w:t>
      </w:r>
      <w:r w:rsidR="00B86AB3" w:rsidRPr="00E656E3">
        <w:rPr>
          <w:szCs w:val="24"/>
        </w:rPr>
        <w:t>ou</w:t>
      </w:r>
      <w:r w:rsidR="00B167B1" w:rsidRPr="00E656E3">
        <w:rPr>
          <w:szCs w:val="24"/>
        </w:rPr>
        <w:t xml:space="preserve"> compensar </w:t>
      </w:r>
      <w:r w:rsidR="00B86AB3" w:rsidRPr="00E656E3">
        <w:rPr>
          <w:szCs w:val="24"/>
        </w:rPr>
        <w:t xml:space="preserve">os </w:t>
      </w:r>
      <w:r w:rsidRPr="00E656E3">
        <w:rPr>
          <w:szCs w:val="24"/>
        </w:rPr>
        <w:t>conflitos de agência e os custos políticos.</w:t>
      </w:r>
    </w:p>
    <w:p w14:paraId="7B894935" w14:textId="5BE07472" w:rsidR="00B86AB3" w:rsidRPr="00E656E3" w:rsidRDefault="00760277" w:rsidP="00E240B6">
      <w:pPr>
        <w:rPr>
          <w:rFonts w:eastAsia="Times New Roman"/>
          <w:szCs w:val="24"/>
        </w:rPr>
      </w:pPr>
      <w:r>
        <w:rPr>
          <w:rFonts w:eastAsia="Times New Roman"/>
          <w:szCs w:val="24"/>
        </w:rPr>
        <w:t>Nesse contexto, o</w:t>
      </w:r>
      <w:r w:rsidR="0063719B" w:rsidRPr="00E656E3">
        <w:rPr>
          <w:rFonts w:eastAsia="Times New Roman"/>
          <w:szCs w:val="24"/>
        </w:rPr>
        <w:t xml:space="preserve"> estudo </w:t>
      </w:r>
      <w:r w:rsidR="00B86AB3" w:rsidRPr="00E656E3">
        <w:rPr>
          <w:rFonts w:eastAsia="Times New Roman"/>
          <w:szCs w:val="24"/>
        </w:rPr>
        <w:t xml:space="preserve">busca responder a seguinte inquietação empírica: </w:t>
      </w:r>
      <w:r w:rsidR="00B86AB3" w:rsidRPr="00E656E3">
        <w:rPr>
          <w:rFonts w:eastAsia="Times New Roman"/>
          <w:b/>
          <w:szCs w:val="24"/>
          <w:lang w:val="pt-PT" w:eastAsia="pt-BR"/>
        </w:rPr>
        <w:t>qual o impacto da divulgação de informações compulsórias na suavização de resultados em empresas de economia mista?</w:t>
      </w:r>
      <w:r w:rsidR="00787B06" w:rsidRPr="00E656E3">
        <w:rPr>
          <w:rFonts w:eastAsia="Times New Roman"/>
          <w:b/>
          <w:szCs w:val="24"/>
          <w:lang w:val="pt-PT" w:eastAsia="pt-BR"/>
        </w:rPr>
        <w:t xml:space="preserve"> </w:t>
      </w:r>
      <w:r w:rsidR="00787B06" w:rsidRPr="00D765E0">
        <w:rPr>
          <w:rFonts w:eastAsia="Times New Roman"/>
          <w:szCs w:val="24"/>
          <w:lang w:val="pt-PT" w:eastAsia="pt-BR"/>
        </w:rPr>
        <w:t>Consequentemente, o  estudo</w:t>
      </w:r>
      <w:r w:rsidR="00B86AB3" w:rsidRPr="00E656E3">
        <w:rPr>
          <w:rFonts w:eastAsia="Times New Roman"/>
          <w:b/>
          <w:szCs w:val="24"/>
          <w:lang w:val="pt-PT" w:eastAsia="pt-BR"/>
        </w:rPr>
        <w:t xml:space="preserve"> </w:t>
      </w:r>
      <w:r w:rsidR="0063719B" w:rsidRPr="00E656E3">
        <w:rPr>
          <w:rFonts w:eastAsia="Times New Roman"/>
          <w:szCs w:val="24"/>
        </w:rPr>
        <w:t xml:space="preserve">propõe-se a investigar </w:t>
      </w:r>
      <w:r w:rsidR="00B86AB3" w:rsidRPr="00E656E3">
        <w:rPr>
          <w:szCs w:val="24"/>
        </w:rPr>
        <w:t>associação entre a divulgação de informações financeiras compulsórias com a suavização de resultados nas empresas de economia mista do estado do Paraná, no período de 2010-2013.</w:t>
      </w:r>
      <w:r w:rsidR="00B86AB3" w:rsidRPr="00E656E3">
        <w:rPr>
          <w:rFonts w:eastAsia="Times New Roman"/>
          <w:szCs w:val="24"/>
        </w:rPr>
        <w:t xml:space="preserve"> </w:t>
      </w:r>
      <w:r w:rsidR="009B041C">
        <w:rPr>
          <w:rFonts w:eastAsia="Times New Roman"/>
          <w:szCs w:val="24"/>
        </w:rPr>
        <w:t xml:space="preserve">A temática da pesquisa </w:t>
      </w:r>
      <w:r w:rsidR="0063719B" w:rsidRPr="00E656E3">
        <w:rPr>
          <w:rFonts w:eastAsia="Times New Roman"/>
          <w:szCs w:val="24"/>
        </w:rPr>
        <w:t>ganhou maior representatividade e expressividade nos temas relacionados com a transparênc</w:t>
      </w:r>
      <w:bookmarkStart w:id="2" w:name="_Toc411452226"/>
      <w:bookmarkStart w:id="3" w:name="_Toc411461674"/>
      <w:r w:rsidR="00BD3179" w:rsidRPr="00E656E3">
        <w:rPr>
          <w:rFonts w:eastAsia="Times New Roman"/>
          <w:szCs w:val="24"/>
        </w:rPr>
        <w:t>ia e divulgação de informações.</w:t>
      </w:r>
    </w:p>
    <w:p w14:paraId="5CCA788E" w14:textId="77777777" w:rsidR="00760277" w:rsidRDefault="00760277" w:rsidP="00E240B6">
      <w:pPr>
        <w:spacing w:after="0"/>
        <w:ind w:firstLine="0"/>
        <w:rPr>
          <w:szCs w:val="24"/>
        </w:rPr>
      </w:pPr>
    </w:p>
    <w:p w14:paraId="5E7FB4A1" w14:textId="77777777" w:rsidR="0063719B" w:rsidRPr="00ED09CD" w:rsidRDefault="005D3E22" w:rsidP="00E240B6">
      <w:pPr>
        <w:spacing w:after="0"/>
        <w:ind w:firstLine="0"/>
        <w:rPr>
          <w:szCs w:val="24"/>
        </w:rPr>
      </w:pPr>
      <w:r w:rsidRPr="005D3E22">
        <w:rPr>
          <w:szCs w:val="24"/>
        </w:rPr>
        <w:t xml:space="preserve">2 </w:t>
      </w:r>
      <w:bookmarkStart w:id="4" w:name="_Toc411452227"/>
      <w:bookmarkStart w:id="5" w:name="_Toc411461675"/>
      <w:bookmarkEnd w:id="2"/>
      <w:bookmarkEnd w:id="3"/>
      <w:r w:rsidRPr="005D3E22">
        <w:rPr>
          <w:szCs w:val="24"/>
        </w:rPr>
        <w:t>DESENVOLVIMENTO DA HIPÓTESE DE PESQUISA</w:t>
      </w:r>
      <w:bookmarkEnd w:id="4"/>
      <w:bookmarkEnd w:id="5"/>
    </w:p>
    <w:p w14:paraId="6441648B" w14:textId="77777777" w:rsidR="0063719B" w:rsidRPr="00E656E3" w:rsidRDefault="0063719B" w:rsidP="00E240B6">
      <w:pPr>
        <w:spacing w:after="0"/>
        <w:ind w:firstLine="708"/>
        <w:rPr>
          <w:szCs w:val="24"/>
        </w:rPr>
      </w:pPr>
      <w:r w:rsidRPr="00F264BC">
        <w:rPr>
          <w:szCs w:val="24"/>
        </w:rPr>
        <w:lastRenderedPageBreak/>
        <w:t xml:space="preserve">Os termos </w:t>
      </w:r>
      <w:r w:rsidRPr="00F264BC">
        <w:rPr>
          <w:i/>
          <w:szCs w:val="24"/>
        </w:rPr>
        <w:t xml:space="preserve">mixed enterprises </w:t>
      </w:r>
      <w:r w:rsidRPr="00F264BC">
        <w:rPr>
          <w:szCs w:val="24"/>
        </w:rPr>
        <w:t>(</w:t>
      </w:r>
      <w:r w:rsidR="00F264BC" w:rsidRPr="00F264BC">
        <w:rPr>
          <w:szCs w:val="24"/>
        </w:rPr>
        <w:t xml:space="preserve">SPENCER, 1955; MOSS, 1964; MOK; CHAU, 2003; BOGNETTI; </w:t>
      </w:r>
      <w:r w:rsidR="00F264BC" w:rsidRPr="00F264BC">
        <w:rPr>
          <w:szCs w:val="24"/>
          <w:shd w:val="clear" w:color="auto" w:fill="FFFFFF"/>
        </w:rPr>
        <w:t>ROBOTTI,</w:t>
      </w:r>
      <w:r w:rsidR="00F264BC" w:rsidRPr="00F264BC">
        <w:rPr>
          <w:szCs w:val="24"/>
        </w:rPr>
        <w:t xml:space="preserve"> 2007; MARRA, 2007; LONG; </w:t>
      </w:r>
      <w:r w:rsidR="00F264BC" w:rsidRPr="00F264BC">
        <w:rPr>
          <w:szCs w:val="24"/>
          <w:shd w:val="clear" w:color="auto" w:fill="FFFFFF"/>
        </w:rPr>
        <w:t>STÄHLER,</w:t>
      </w:r>
      <w:r w:rsidR="00F264BC" w:rsidRPr="00F264BC">
        <w:rPr>
          <w:szCs w:val="24"/>
        </w:rPr>
        <w:t xml:space="preserve"> 2009; PARGENDLER; </w:t>
      </w:r>
      <w:r w:rsidR="00F264BC" w:rsidRPr="00E656E3">
        <w:rPr>
          <w:szCs w:val="24"/>
        </w:rPr>
        <w:t>MUSACCHIO</w:t>
      </w:r>
      <w:r w:rsidR="00F264BC">
        <w:rPr>
          <w:szCs w:val="24"/>
        </w:rPr>
        <w:t>;</w:t>
      </w:r>
      <w:r w:rsidR="00F264BC" w:rsidRPr="00E656E3">
        <w:rPr>
          <w:szCs w:val="24"/>
        </w:rPr>
        <w:t xml:space="preserve"> LAZZARINI, 2013</w:t>
      </w:r>
      <w:r w:rsidR="00F05661" w:rsidRPr="00E656E3">
        <w:rPr>
          <w:szCs w:val="24"/>
        </w:rPr>
        <w:t>)</w:t>
      </w:r>
      <w:r w:rsidRPr="00E656E3">
        <w:rPr>
          <w:i/>
          <w:szCs w:val="24"/>
        </w:rPr>
        <w:t xml:space="preserve"> public-private enterprise </w:t>
      </w:r>
      <w:r w:rsidRPr="00E656E3">
        <w:rPr>
          <w:szCs w:val="24"/>
        </w:rPr>
        <w:t>(</w:t>
      </w:r>
      <w:r w:rsidR="00F264BC" w:rsidRPr="00E656E3">
        <w:rPr>
          <w:szCs w:val="24"/>
        </w:rPr>
        <w:t>WEEKS, 1969</w:t>
      </w:r>
      <w:r w:rsidR="0025643D" w:rsidRPr="00E656E3">
        <w:rPr>
          <w:szCs w:val="24"/>
        </w:rPr>
        <w:t>),</w:t>
      </w:r>
      <w:r w:rsidRPr="00E656E3">
        <w:rPr>
          <w:szCs w:val="24"/>
        </w:rPr>
        <w:t xml:space="preserve"> </w:t>
      </w:r>
      <w:r w:rsidRPr="00E656E3">
        <w:rPr>
          <w:i/>
          <w:szCs w:val="24"/>
        </w:rPr>
        <w:t xml:space="preserve">State-Owned Enterprise </w:t>
      </w:r>
      <w:r w:rsidRPr="00E656E3">
        <w:rPr>
          <w:szCs w:val="24"/>
        </w:rPr>
        <w:t>(</w:t>
      </w:r>
      <w:r w:rsidR="00F264BC">
        <w:rPr>
          <w:szCs w:val="24"/>
        </w:rPr>
        <w:t xml:space="preserve">ODAINKEY; </w:t>
      </w:r>
      <w:r w:rsidR="00F264BC" w:rsidRPr="00E656E3">
        <w:rPr>
          <w:szCs w:val="24"/>
        </w:rPr>
        <w:t>SIMPSON,</w:t>
      </w:r>
      <w:r w:rsidRPr="00E656E3">
        <w:rPr>
          <w:szCs w:val="24"/>
        </w:rPr>
        <w:t xml:space="preserve"> 2013), são utilizados na literatura internacional para se referir às empresas constituídas com capital privado e governamental, denominadas de Sociedades de Economia Mista (SEM) ou </w:t>
      </w:r>
      <w:r w:rsidR="002C5D2D" w:rsidRPr="00E656E3">
        <w:rPr>
          <w:szCs w:val="24"/>
        </w:rPr>
        <w:t>Empresas de Economia Mista</w:t>
      </w:r>
      <w:r w:rsidRPr="00E656E3">
        <w:rPr>
          <w:szCs w:val="24"/>
        </w:rPr>
        <w:t xml:space="preserve"> (EEM). </w:t>
      </w:r>
      <w:r w:rsidR="00D20FDB" w:rsidRPr="00E656E3">
        <w:rPr>
          <w:szCs w:val="24"/>
        </w:rPr>
        <w:t>A Legislação brasileira define que as Sociedades de Economia Mista são dotadas de personalidade jurídica de Direito Privado e são constituídas sob a forma de Sociedade Anônima, com a participação do Poder Público como controlador, além de ter como objeto a realização de atividades econômicas ou serviços públicos outorgados pelo Estado (</w:t>
      </w:r>
      <w:r w:rsidR="005C2298" w:rsidRPr="00E656E3">
        <w:rPr>
          <w:szCs w:val="24"/>
        </w:rPr>
        <w:t>MAIA, 2009; MEIRELLES</w:t>
      </w:r>
      <w:r w:rsidR="005C2298">
        <w:rPr>
          <w:szCs w:val="24"/>
        </w:rPr>
        <w:t>;</w:t>
      </w:r>
      <w:r w:rsidR="005C2298" w:rsidRPr="00E656E3">
        <w:rPr>
          <w:szCs w:val="24"/>
        </w:rPr>
        <w:t xml:space="preserve"> </w:t>
      </w:r>
      <w:r w:rsidR="005C2298" w:rsidRPr="00E656E3">
        <w:rPr>
          <w:szCs w:val="24"/>
          <w:shd w:val="clear" w:color="auto" w:fill="FFFFFF"/>
        </w:rPr>
        <w:t>ALEXO</w:t>
      </w:r>
      <w:r w:rsidR="005C2298">
        <w:rPr>
          <w:szCs w:val="24"/>
        </w:rPr>
        <w:t>;</w:t>
      </w:r>
      <w:r w:rsidR="005C2298" w:rsidRPr="00E656E3">
        <w:rPr>
          <w:szCs w:val="24"/>
        </w:rPr>
        <w:t xml:space="preserve"> </w:t>
      </w:r>
      <w:r w:rsidR="005C2298" w:rsidRPr="00E656E3">
        <w:rPr>
          <w:szCs w:val="24"/>
          <w:shd w:val="clear" w:color="auto" w:fill="FFFFFF"/>
        </w:rPr>
        <w:t>BURLE FILHO</w:t>
      </w:r>
      <w:r w:rsidR="005C2298" w:rsidRPr="00E656E3">
        <w:rPr>
          <w:szCs w:val="24"/>
        </w:rPr>
        <w:t xml:space="preserve">, 2012). </w:t>
      </w:r>
    </w:p>
    <w:p w14:paraId="3BBB2374" w14:textId="782B00F5" w:rsidR="0063719B" w:rsidRPr="00E656E3" w:rsidRDefault="0063719B" w:rsidP="00E240B6">
      <w:pPr>
        <w:spacing w:after="0"/>
        <w:ind w:firstLine="708"/>
        <w:rPr>
          <w:szCs w:val="24"/>
        </w:rPr>
      </w:pPr>
      <w:r w:rsidRPr="00E656E3">
        <w:rPr>
          <w:rFonts w:eastAsia="Times New Roman"/>
          <w:szCs w:val="24"/>
        </w:rPr>
        <w:t xml:space="preserve">A estrutura de propriedade dessas </w:t>
      </w:r>
      <w:r w:rsidR="00DC07A1" w:rsidRPr="00E656E3">
        <w:rPr>
          <w:rFonts w:eastAsia="Times New Roman"/>
          <w:szCs w:val="24"/>
        </w:rPr>
        <w:t>empresas justifica</w:t>
      </w:r>
      <w:r w:rsidR="009B041C">
        <w:rPr>
          <w:rFonts w:eastAsia="Times New Roman"/>
          <w:szCs w:val="24"/>
        </w:rPr>
        <w:t>-</w:t>
      </w:r>
      <w:r w:rsidR="00DC07A1">
        <w:rPr>
          <w:rFonts w:eastAsia="Times New Roman"/>
          <w:szCs w:val="24"/>
        </w:rPr>
        <w:t xml:space="preserve">se </w:t>
      </w:r>
      <w:r w:rsidR="00DC07A1" w:rsidRPr="00E656E3">
        <w:rPr>
          <w:rFonts w:eastAsia="Times New Roman"/>
          <w:szCs w:val="24"/>
        </w:rPr>
        <w:t>pela</w:t>
      </w:r>
      <w:r w:rsidRPr="00E656E3">
        <w:rPr>
          <w:rFonts w:eastAsia="Times New Roman"/>
          <w:szCs w:val="24"/>
        </w:rPr>
        <w:t xml:space="preserve"> impossibilidade do poder público ou privado de financiar sozinho toda</w:t>
      </w:r>
      <w:r w:rsidR="009B041C">
        <w:rPr>
          <w:rFonts w:eastAsia="Times New Roman"/>
          <w:szCs w:val="24"/>
        </w:rPr>
        <w:t>s</w:t>
      </w:r>
      <w:r w:rsidRPr="00E656E3">
        <w:rPr>
          <w:rFonts w:eastAsia="Times New Roman"/>
          <w:szCs w:val="24"/>
        </w:rPr>
        <w:t xml:space="preserve"> a</w:t>
      </w:r>
      <w:r w:rsidR="009B041C">
        <w:rPr>
          <w:rFonts w:eastAsia="Times New Roman"/>
          <w:szCs w:val="24"/>
        </w:rPr>
        <w:t>s</w:t>
      </w:r>
      <w:r w:rsidRPr="00E656E3">
        <w:rPr>
          <w:rFonts w:eastAsia="Times New Roman"/>
          <w:szCs w:val="24"/>
        </w:rPr>
        <w:t xml:space="preserve"> </w:t>
      </w:r>
      <w:r w:rsidR="00DC07A1" w:rsidRPr="00E656E3">
        <w:rPr>
          <w:rFonts w:eastAsia="Times New Roman"/>
          <w:szCs w:val="24"/>
        </w:rPr>
        <w:t>atividade</w:t>
      </w:r>
      <w:r w:rsidR="00DC07A1">
        <w:rPr>
          <w:rFonts w:eastAsia="Times New Roman"/>
          <w:szCs w:val="24"/>
        </w:rPr>
        <w:t>s e</w:t>
      </w:r>
      <w:r w:rsidR="00DF112A">
        <w:rPr>
          <w:rFonts w:eastAsia="Times New Roman"/>
          <w:szCs w:val="24"/>
        </w:rPr>
        <w:t xml:space="preserve"> a</w:t>
      </w:r>
      <w:r w:rsidR="00DC07A1">
        <w:rPr>
          <w:rFonts w:eastAsia="Times New Roman"/>
          <w:szCs w:val="24"/>
        </w:rPr>
        <w:t xml:space="preserve"> </w:t>
      </w:r>
      <w:r w:rsidR="00DC07A1" w:rsidRPr="00E656E3">
        <w:rPr>
          <w:rFonts w:eastAsia="Times New Roman"/>
          <w:szCs w:val="24"/>
        </w:rPr>
        <w:t>divisão</w:t>
      </w:r>
      <w:r w:rsidRPr="00E656E3">
        <w:rPr>
          <w:rFonts w:eastAsia="Times New Roman"/>
          <w:szCs w:val="24"/>
        </w:rPr>
        <w:t xml:space="preserve"> dos riscos com particulares </w:t>
      </w:r>
      <w:r w:rsidR="009B041C">
        <w:rPr>
          <w:rFonts w:eastAsia="Times New Roman"/>
          <w:szCs w:val="24"/>
        </w:rPr>
        <w:t xml:space="preserve">para melhor </w:t>
      </w:r>
      <w:r w:rsidRPr="00E656E3">
        <w:rPr>
          <w:rFonts w:eastAsia="Times New Roman"/>
          <w:szCs w:val="24"/>
        </w:rPr>
        <w:t>garanti</w:t>
      </w:r>
      <w:r w:rsidR="009B041C">
        <w:rPr>
          <w:rFonts w:eastAsia="Times New Roman"/>
          <w:szCs w:val="24"/>
        </w:rPr>
        <w:t>r</w:t>
      </w:r>
      <w:r w:rsidR="00DC07A1">
        <w:rPr>
          <w:rFonts w:eastAsia="Times New Roman"/>
          <w:szCs w:val="24"/>
        </w:rPr>
        <w:t xml:space="preserve"> o </w:t>
      </w:r>
      <w:r w:rsidRPr="00E656E3">
        <w:rPr>
          <w:rFonts w:eastAsia="Times New Roman"/>
          <w:szCs w:val="24"/>
        </w:rPr>
        <w:t xml:space="preserve">atendimento à população </w:t>
      </w:r>
      <w:r w:rsidR="00246032" w:rsidRPr="00E656E3">
        <w:rPr>
          <w:rFonts w:eastAsia="Times New Roman"/>
          <w:szCs w:val="24"/>
        </w:rPr>
        <w:t>(SIQUEIRA, 2012)</w:t>
      </w:r>
      <w:r w:rsidRPr="00E656E3">
        <w:rPr>
          <w:rFonts w:eastAsia="Times New Roman"/>
          <w:szCs w:val="24"/>
        </w:rPr>
        <w:t>.</w:t>
      </w:r>
      <w:r w:rsidRPr="00E656E3">
        <w:rPr>
          <w:szCs w:val="24"/>
        </w:rPr>
        <w:t xml:space="preserve"> </w:t>
      </w:r>
      <w:r w:rsidR="00D20FDB" w:rsidRPr="00E656E3">
        <w:rPr>
          <w:rFonts w:eastAsia="Times New Roman"/>
          <w:szCs w:val="24"/>
        </w:rPr>
        <w:t xml:space="preserve">As EEM </w:t>
      </w:r>
      <w:r w:rsidR="00D20FDB" w:rsidRPr="00E656E3">
        <w:rPr>
          <w:szCs w:val="24"/>
        </w:rPr>
        <w:t xml:space="preserve">são constituídas por meio de legislação específica e </w:t>
      </w:r>
      <w:r w:rsidR="00D20FDB" w:rsidRPr="00E656E3">
        <w:rPr>
          <w:rFonts w:eastAsia="Times New Roman"/>
          <w:szCs w:val="24"/>
        </w:rPr>
        <w:t>têm sido utilizadas pelo governo como uma forma administrativa para explorar atividades econômicas em grande escala mantendo o controle da gestão, o controle da concessão de atividades monopolizadas (</w:t>
      </w:r>
      <w:r w:rsidR="00246032">
        <w:rPr>
          <w:szCs w:val="24"/>
        </w:rPr>
        <w:t>BOGNETTI;</w:t>
      </w:r>
      <w:r w:rsidR="00246032" w:rsidRPr="00E656E3">
        <w:rPr>
          <w:szCs w:val="24"/>
        </w:rPr>
        <w:t xml:space="preserve"> </w:t>
      </w:r>
      <w:r w:rsidR="00246032" w:rsidRPr="00E656E3">
        <w:rPr>
          <w:szCs w:val="24"/>
          <w:shd w:val="clear" w:color="auto" w:fill="FFFFFF"/>
        </w:rPr>
        <w:t>ROBOTTI,</w:t>
      </w:r>
      <w:r w:rsidR="00D20FDB" w:rsidRPr="00E656E3">
        <w:rPr>
          <w:szCs w:val="24"/>
        </w:rPr>
        <w:t xml:space="preserve"> 2007</w:t>
      </w:r>
      <w:r w:rsidR="00D20FDB" w:rsidRPr="00E656E3">
        <w:rPr>
          <w:rFonts w:eastAsia="Times New Roman"/>
          <w:szCs w:val="24"/>
        </w:rPr>
        <w:t>) estando as empresas presentes em todas as esferas de Governo.</w:t>
      </w:r>
      <w:r w:rsidR="005E56FB" w:rsidRPr="00E656E3">
        <w:rPr>
          <w:szCs w:val="24"/>
        </w:rPr>
        <w:t xml:space="preserve"> </w:t>
      </w:r>
    </w:p>
    <w:p w14:paraId="154BF5C1" w14:textId="0E787DB3" w:rsidR="0063719B" w:rsidRPr="00E656E3" w:rsidRDefault="0063719B" w:rsidP="00E240B6">
      <w:pPr>
        <w:spacing w:after="0"/>
        <w:ind w:firstLine="708"/>
        <w:rPr>
          <w:szCs w:val="24"/>
        </w:rPr>
      </w:pPr>
      <w:r w:rsidRPr="00E656E3">
        <w:rPr>
          <w:szCs w:val="24"/>
        </w:rPr>
        <w:t>A</w:t>
      </w:r>
      <w:r w:rsidR="00340041">
        <w:rPr>
          <w:szCs w:val="24"/>
        </w:rPr>
        <w:t xml:space="preserve"> composição do</w:t>
      </w:r>
      <w:r w:rsidRPr="00E656E3">
        <w:rPr>
          <w:szCs w:val="24"/>
        </w:rPr>
        <w:t xml:space="preserve"> Conselho de </w:t>
      </w:r>
      <w:r w:rsidR="00DC07A1" w:rsidRPr="00E656E3">
        <w:rPr>
          <w:szCs w:val="24"/>
        </w:rPr>
        <w:t xml:space="preserve">Administração </w:t>
      </w:r>
      <w:r w:rsidR="00DC07A1">
        <w:rPr>
          <w:szCs w:val="24"/>
        </w:rPr>
        <w:t>e</w:t>
      </w:r>
      <w:r w:rsidRPr="00E656E3">
        <w:rPr>
          <w:szCs w:val="24"/>
        </w:rPr>
        <w:t xml:space="preserve"> Conselho Fiscal</w:t>
      </w:r>
      <w:r w:rsidR="00340041">
        <w:rPr>
          <w:szCs w:val="24"/>
        </w:rPr>
        <w:t xml:space="preserve"> nas </w:t>
      </w:r>
      <w:r w:rsidR="00340041" w:rsidRPr="00E656E3">
        <w:rPr>
          <w:szCs w:val="24"/>
        </w:rPr>
        <w:t>EEM</w:t>
      </w:r>
      <w:r w:rsidRPr="00E656E3">
        <w:rPr>
          <w:szCs w:val="24"/>
        </w:rPr>
        <w:t xml:space="preserve"> em sua grande maioria, não segue critérios profissionais </w:t>
      </w:r>
      <w:r w:rsidR="00340041">
        <w:rPr>
          <w:szCs w:val="24"/>
        </w:rPr>
        <w:t xml:space="preserve">para eleição, </w:t>
      </w:r>
      <w:r w:rsidR="00DC07A1">
        <w:rPr>
          <w:szCs w:val="24"/>
        </w:rPr>
        <w:t xml:space="preserve">mas </w:t>
      </w:r>
      <w:r w:rsidR="00DC07A1" w:rsidRPr="00E656E3">
        <w:rPr>
          <w:szCs w:val="24"/>
        </w:rPr>
        <w:t>resultam</w:t>
      </w:r>
      <w:r w:rsidRPr="00E656E3">
        <w:rPr>
          <w:szCs w:val="24"/>
        </w:rPr>
        <w:t xml:space="preserve"> de indicações e conexões políticas (</w:t>
      </w:r>
      <w:r w:rsidR="00AB392A" w:rsidRPr="00E656E3">
        <w:rPr>
          <w:szCs w:val="24"/>
        </w:rPr>
        <w:t>DEWENTER</w:t>
      </w:r>
      <w:r w:rsidR="00AB392A">
        <w:rPr>
          <w:szCs w:val="24"/>
        </w:rPr>
        <w:t>;</w:t>
      </w:r>
      <w:r w:rsidR="00AB392A" w:rsidRPr="00E656E3">
        <w:rPr>
          <w:szCs w:val="24"/>
        </w:rPr>
        <w:t xml:space="preserve"> MALATESTA, 2001; ANTUNES ET AL., 2</w:t>
      </w:r>
      <w:r w:rsidR="00F677DF" w:rsidRPr="00E656E3">
        <w:rPr>
          <w:szCs w:val="24"/>
        </w:rPr>
        <w:t>008</w:t>
      </w:r>
      <w:r w:rsidRPr="00E656E3">
        <w:rPr>
          <w:szCs w:val="24"/>
        </w:rPr>
        <w:t xml:space="preserve">).  As </w:t>
      </w:r>
      <w:r w:rsidR="002C5D2D" w:rsidRPr="00E656E3">
        <w:rPr>
          <w:szCs w:val="24"/>
        </w:rPr>
        <w:t>Empresas de Economia Mista</w:t>
      </w:r>
      <w:r w:rsidRPr="00E656E3">
        <w:rPr>
          <w:szCs w:val="24"/>
        </w:rPr>
        <w:t xml:space="preserve"> também são regidas pela Lei 6.404/76 (Lei das S.A), com destaque </w:t>
      </w:r>
      <w:r w:rsidR="00340041">
        <w:rPr>
          <w:szCs w:val="24"/>
        </w:rPr>
        <w:t xml:space="preserve">para </w:t>
      </w:r>
      <w:r w:rsidRPr="00E656E3">
        <w:rPr>
          <w:szCs w:val="24"/>
        </w:rPr>
        <w:t>os Arts. 235 a 240</w:t>
      </w:r>
      <w:r w:rsidR="00340041">
        <w:rPr>
          <w:szCs w:val="24"/>
        </w:rPr>
        <w:t xml:space="preserve"> </w:t>
      </w:r>
      <w:r w:rsidR="00DC07A1">
        <w:rPr>
          <w:szCs w:val="24"/>
        </w:rPr>
        <w:t xml:space="preserve">e </w:t>
      </w:r>
      <w:r w:rsidR="00DC07A1" w:rsidRPr="00E656E3">
        <w:rPr>
          <w:szCs w:val="24"/>
        </w:rPr>
        <w:t>devem</w:t>
      </w:r>
      <w:r w:rsidRPr="00E656E3">
        <w:rPr>
          <w:szCs w:val="24"/>
        </w:rPr>
        <w:t xml:space="preserve"> seguir as mesmas </w:t>
      </w:r>
      <w:r w:rsidR="00DC07A1">
        <w:rPr>
          <w:szCs w:val="24"/>
        </w:rPr>
        <w:t xml:space="preserve">regulamentações </w:t>
      </w:r>
      <w:r w:rsidR="00DC07A1" w:rsidRPr="00E656E3">
        <w:rPr>
          <w:szCs w:val="24"/>
        </w:rPr>
        <w:t>emitidas</w:t>
      </w:r>
      <w:r w:rsidRPr="00E656E3">
        <w:rPr>
          <w:szCs w:val="24"/>
        </w:rPr>
        <w:t xml:space="preserve"> pela Comissão de Valores Mobiliários (</w:t>
      </w:r>
      <w:r w:rsidR="00A11889" w:rsidRPr="00E656E3">
        <w:rPr>
          <w:szCs w:val="24"/>
        </w:rPr>
        <w:t>B</w:t>
      </w:r>
      <w:r w:rsidR="004E7772">
        <w:rPr>
          <w:szCs w:val="24"/>
        </w:rPr>
        <w:t>RASIL</w:t>
      </w:r>
      <w:r w:rsidRPr="00E656E3">
        <w:rPr>
          <w:szCs w:val="24"/>
        </w:rPr>
        <w:t xml:space="preserve">, 1976). </w:t>
      </w:r>
      <w:r w:rsidR="00340041">
        <w:rPr>
          <w:szCs w:val="24"/>
        </w:rPr>
        <w:t xml:space="preserve">Ou </w:t>
      </w:r>
      <w:r w:rsidR="00DC07A1">
        <w:rPr>
          <w:szCs w:val="24"/>
        </w:rPr>
        <w:t xml:space="preserve">seja, </w:t>
      </w:r>
      <w:r w:rsidR="00DC07A1" w:rsidRPr="00E656E3">
        <w:rPr>
          <w:szCs w:val="24"/>
        </w:rPr>
        <w:t>estão</w:t>
      </w:r>
      <w:r w:rsidRPr="00E656E3">
        <w:rPr>
          <w:szCs w:val="24"/>
        </w:rPr>
        <w:t xml:space="preserve"> sujeitas aos mesmos </w:t>
      </w:r>
      <w:r w:rsidR="00DC07A1" w:rsidRPr="00E656E3">
        <w:rPr>
          <w:szCs w:val="24"/>
        </w:rPr>
        <w:t>procedimentos contábeis</w:t>
      </w:r>
      <w:r w:rsidR="00DC07A1">
        <w:rPr>
          <w:szCs w:val="24"/>
        </w:rPr>
        <w:t xml:space="preserve"> </w:t>
      </w:r>
      <w:r w:rsidR="00DC07A1" w:rsidRPr="00E656E3">
        <w:rPr>
          <w:szCs w:val="24"/>
        </w:rPr>
        <w:t>aplicados</w:t>
      </w:r>
      <w:r w:rsidRPr="00E656E3">
        <w:rPr>
          <w:szCs w:val="24"/>
        </w:rPr>
        <w:t xml:space="preserve"> às empresas privadas.</w:t>
      </w:r>
    </w:p>
    <w:p w14:paraId="1E1FB413" w14:textId="77777777" w:rsidR="00BD3179" w:rsidRPr="00E656E3" w:rsidRDefault="0063719B" w:rsidP="00E240B6">
      <w:pPr>
        <w:spacing w:after="0"/>
        <w:ind w:firstLine="708"/>
        <w:rPr>
          <w:rFonts w:eastAsia="Times New Roman"/>
          <w:szCs w:val="24"/>
        </w:rPr>
      </w:pPr>
      <w:r w:rsidRPr="00E656E3">
        <w:rPr>
          <w:rFonts w:eastAsia="Times New Roman"/>
          <w:szCs w:val="24"/>
        </w:rPr>
        <w:t>Ressalta-se que as sociedades de economia mista são criadas por lei específica e a sua dissolução também depende de autorização legal por parte do Governo Federal, Estadual ou Municipal. Outro ponto importante, diz respeito à falência das EEM, devido à revogação do artigo 242 da Lei das S.A em 2001 pela Lei 10.303/01 excluiu-se a possibilidade de falência. Portanto, as empresas constituídas sob a forma jurídica de Economia Mista não estão sujeitas à falência e, no caso de dissolução, os bens podem ser penhorados e executados, sendo a pessoa jurídica controladora a responsável solidariamente pelas obrigações (</w:t>
      </w:r>
      <w:r w:rsidR="00170F66" w:rsidRPr="00E656E3">
        <w:rPr>
          <w:rFonts w:eastAsia="Times New Roman"/>
          <w:szCs w:val="24"/>
        </w:rPr>
        <w:t>BONFIM, 2</w:t>
      </w:r>
      <w:bookmarkStart w:id="6" w:name="_Toc411452228"/>
      <w:bookmarkStart w:id="7" w:name="_Toc411461676"/>
      <w:r w:rsidR="00170F66" w:rsidRPr="00E656E3">
        <w:rPr>
          <w:rFonts w:eastAsia="Times New Roman"/>
          <w:szCs w:val="24"/>
        </w:rPr>
        <w:t>011).</w:t>
      </w:r>
      <w:r w:rsidR="00BD3179" w:rsidRPr="00E656E3">
        <w:rPr>
          <w:rFonts w:eastAsia="Times New Roman"/>
          <w:szCs w:val="24"/>
        </w:rPr>
        <w:t xml:space="preserve"> </w:t>
      </w:r>
    </w:p>
    <w:bookmarkEnd w:id="6"/>
    <w:bookmarkEnd w:id="7"/>
    <w:p w14:paraId="414BF0E7" w14:textId="6334031B" w:rsidR="0063719B" w:rsidRPr="00E656E3" w:rsidRDefault="00735D7F" w:rsidP="00E240B6">
      <w:pPr>
        <w:spacing w:after="0"/>
        <w:ind w:firstLine="708"/>
        <w:rPr>
          <w:szCs w:val="24"/>
        </w:rPr>
      </w:pPr>
      <w:r>
        <w:rPr>
          <w:szCs w:val="24"/>
        </w:rPr>
        <w:lastRenderedPageBreak/>
        <w:t>O</w:t>
      </w:r>
      <w:r w:rsidR="0063719B" w:rsidRPr="00E656E3">
        <w:rPr>
          <w:szCs w:val="24"/>
        </w:rPr>
        <w:t xml:space="preserve">s conflitos de agência, primeiramente relacionados com o setor privado e com finanças corporativas são </w:t>
      </w:r>
      <w:r>
        <w:rPr>
          <w:szCs w:val="24"/>
        </w:rPr>
        <w:t>observáveis n</w:t>
      </w:r>
      <w:r w:rsidR="0063719B" w:rsidRPr="00E656E3">
        <w:rPr>
          <w:szCs w:val="24"/>
        </w:rPr>
        <w:t xml:space="preserve">o setor público. </w:t>
      </w:r>
      <w:r>
        <w:rPr>
          <w:szCs w:val="24"/>
        </w:rPr>
        <w:t>A</w:t>
      </w:r>
      <w:r w:rsidR="0063719B" w:rsidRPr="00E656E3">
        <w:rPr>
          <w:szCs w:val="24"/>
        </w:rPr>
        <w:t xml:space="preserve"> diferença na relação agente</w:t>
      </w:r>
      <w:r>
        <w:rPr>
          <w:szCs w:val="24"/>
        </w:rPr>
        <w:t xml:space="preserve"> e </w:t>
      </w:r>
      <w:r w:rsidR="0063719B" w:rsidRPr="00E656E3">
        <w:rPr>
          <w:szCs w:val="24"/>
        </w:rPr>
        <w:t xml:space="preserve">principal </w:t>
      </w:r>
      <w:r w:rsidR="00BB1177">
        <w:rPr>
          <w:szCs w:val="24"/>
        </w:rPr>
        <w:t>entre empresas</w:t>
      </w:r>
      <w:r>
        <w:rPr>
          <w:szCs w:val="24"/>
        </w:rPr>
        <w:t xml:space="preserve"> </w:t>
      </w:r>
      <w:r w:rsidR="0063719B" w:rsidRPr="00E656E3">
        <w:rPr>
          <w:szCs w:val="24"/>
        </w:rPr>
        <w:t>privada e pública, é que na primeira possui um número menor de principais, enquanto na área pública tem-se uma maior diversidade de principais (eleitores) representados pelos gestores políticos</w:t>
      </w:r>
      <w:r w:rsidRPr="00735D7F">
        <w:rPr>
          <w:szCs w:val="24"/>
        </w:rPr>
        <w:t xml:space="preserve"> </w:t>
      </w:r>
      <w:r w:rsidR="004E7772">
        <w:rPr>
          <w:szCs w:val="24"/>
        </w:rPr>
        <w:t>(</w:t>
      </w:r>
      <w:r w:rsidRPr="00E656E3">
        <w:rPr>
          <w:szCs w:val="24"/>
        </w:rPr>
        <w:t>C</w:t>
      </w:r>
      <w:r w:rsidR="004E7772">
        <w:rPr>
          <w:szCs w:val="24"/>
        </w:rPr>
        <w:t>OSTA; SILVA;</w:t>
      </w:r>
      <w:r w:rsidR="001111AD">
        <w:rPr>
          <w:szCs w:val="24"/>
        </w:rPr>
        <w:t xml:space="preserve"> L</w:t>
      </w:r>
      <w:r w:rsidR="004E7772">
        <w:rPr>
          <w:szCs w:val="24"/>
        </w:rPr>
        <w:t xml:space="preserve">AURENCE, </w:t>
      </w:r>
      <w:r w:rsidRPr="00E656E3">
        <w:rPr>
          <w:szCs w:val="24"/>
        </w:rPr>
        <w:t>2013)</w:t>
      </w:r>
      <w:r w:rsidR="0063719B" w:rsidRPr="00E656E3">
        <w:rPr>
          <w:szCs w:val="24"/>
        </w:rPr>
        <w:t xml:space="preserve">. </w:t>
      </w:r>
    </w:p>
    <w:p w14:paraId="1965AA02" w14:textId="1FD0B1DD" w:rsidR="004637D0" w:rsidRPr="00E656E3" w:rsidRDefault="0063719B" w:rsidP="00EB010E">
      <w:pPr>
        <w:spacing w:after="0"/>
        <w:ind w:firstLine="708"/>
        <w:rPr>
          <w:rFonts w:eastAsia="Times New Roman"/>
          <w:szCs w:val="24"/>
        </w:rPr>
      </w:pPr>
      <w:r w:rsidRPr="00E656E3">
        <w:rPr>
          <w:szCs w:val="24"/>
        </w:rPr>
        <w:t xml:space="preserve">Como os gestores das sociedades de economia mista são </w:t>
      </w:r>
      <w:r w:rsidR="006E4A8A" w:rsidRPr="00E656E3">
        <w:rPr>
          <w:szCs w:val="24"/>
        </w:rPr>
        <w:t>indica</w:t>
      </w:r>
      <w:r w:rsidR="006E4A8A">
        <w:rPr>
          <w:szCs w:val="24"/>
        </w:rPr>
        <w:t>dos por</w:t>
      </w:r>
      <w:r w:rsidR="00735D7F">
        <w:rPr>
          <w:szCs w:val="24"/>
        </w:rPr>
        <w:t xml:space="preserve"> lideranças</w:t>
      </w:r>
      <w:r w:rsidRPr="00E656E3">
        <w:rPr>
          <w:szCs w:val="24"/>
        </w:rPr>
        <w:t xml:space="preserve"> política</w:t>
      </w:r>
      <w:r w:rsidR="00735D7F">
        <w:rPr>
          <w:szCs w:val="24"/>
        </w:rPr>
        <w:t>s</w:t>
      </w:r>
      <w:r w:rsidRPr="00E656E3">
        <w:rPr>
          <w:szCs w:val="24"/>
        </w:rPr>
        <w:t>, os conflitos de agência nessas empresas possuem duas vertentes: i) a relação entre o agente administrador político e o principal - os cidadãos; e ii) a relação entre o agente administrador político e o principal - os acionistas minoritários (</w:t>
      </w:r>
      <w:r w:rsidR="001670B0" w:rsidRPr="00E656E3">
        <w:rPr>
          <w:szCs w:val="24"/>
        </w:rPr>
        <w:t>ANTUNES ET AL., 2008; NOSSA ET AL.,</w:t>
      </w:r>
      <w:r w:rsidRPr="00E656E3">
        <w:rPr>
          <w:szCs w:val="24"/>
        </w:rPr>
        <w:t xml:space="preserve"> 2011). A interferência política do ente controlador e dos políticos que exercem influência na administração dessas empresas pode ser uma das causas para que essas empresas </w:t>
      </w:r>
      <w:r w:rsidR="00C40953" w:rsidRPr="00E656E3">
        <w:rPr>
          <w:szCs w:val="24"/>
        </w:rPr>
        <w:t>tenham conflitos de agência, pois não há garantia que os gestores irão agir de acordo com o interesse dos principais</w:t>
      </w:r>
      <w:r w:rsidR="009A4199" w:rsidRPr="00E656E3">
        <w:rPr>
          <w:szCs w:val="24"/>
        </w:rPr>
        <w:t xml:space="preserve"> </w:t>
      </w:r>
      <w:r w:rsidR="001670B0" w:rsidRPr="00E656E3">
        <w:rPr>
          <w:szCs w:val="24"/>
        </w:rPr>
        <w:t>(SGARBI,</w:t>
      </w:r>
      <w:r w:rsidR="009A4199" w:rsidRPr="00E656E3">
        <w:rPr>
          <w:szCs w:val="24"/>
        </w:rPr>
        <w:t xml:space="preserve"> 2011).</w:t>
      </w:r>
      <w:r w:rsidR="004637D0" w:rsidRPr="00E656E3">
        <w:rPr>
          <w:rFonts w:eastAsia="Times New Roman"/>
          <w:szCs w:val="24"/>
        </w:rPr>
        <w:t xml:space="preserve"> Com a intenção de minimizar os conflitos de agência entre o ente controlador, fiscalizadores e acionistas minoritários, dispositivos são utilizados como o maior monitoramento dos negócios da companhia por meio da divulgação de informações financeiras (</w:t>
      </w:r>
      <w:r w:rsidR="00EB010E" w:rsidRPr="00E656E3">
        <w:rPr>
          <w:rFonts w:eastAsia="Times New Roman"/>
          <w:szCs w:val="24"/>
        </w:rPr>
        <w:t>PINTO JUNIOR,</w:t>
      </w:r>
      <w:r w:rsidR="00EB010E">
        <w:rPr>
          <w:rFonts w:eastAsia="Times New Roman"/>
          <w:szCs w:val="24"/>
        </w:rPr>
        <w:t>2009).</w:t>
      </w:r>
    </w:p>
    <w:p w14:paraId="6C37CB44" w14:textId="1C876653" w:rsidR="0063719B" w:rsidRPr="00E656E3" w:rsidRDefault="006E4A41" w:rsidP="00E240B6">
      <w:pPr>
        <w:spacing w:after="0"/>
        <w:ind w:firstLine="708"/>
        <w:rPr>
          <w:rFonts w:eastAsia="Times New Roman"/>
          <w:szCs w:val="24"/>
        </w:rPr>
      </w:pPr>
      <w:r>
        <w:rPr>
          <w:rFonts w:eastAsia="Times New Roman"/>
          <w:szCs w:val="24"/>
        </w:rPr>
        <w:t>Também e</w:t>
      </w:r>
      <w:r w:rsidR="0063719B" w:rsidRPr="00E656E3">
        <w:rPr>
          <w:rFonts w:eastAsia="Times New Roman"/>
          <w:szCs w:val="24"/>
        </w:rPr>
        <w:t>xistem diferenças substanciais na forma como os países regulam a divulgação financeira das empresas, normalmente por meio da publicação de seus resultados e do desempenho econômico e financeiro</w:t>
      </w:r>
      <w:r w:rsidR="00C84C6B" w:rsidRPr="00E656E3">
        <w:rPr>
          <w:rFonts w:eastAsia="Times New Roman"/>
          <w:szCs w:val="24"/>
        </w:rPr>
        <w:t xml:space="preserve"> (</w:t>
      </w:r>
      <w:r w:rsidR="00EB010E" w:rsidRPr="00E656E3">
        <w:rPr>
          <w:szCs w:val="24"/>
        </w:rPr>
        <w:t>ARRUÑADA</w:t>
      </w:r>
      <w:r w:rsidR="00EB010E" w:rsidRPr="00E656E3">
        <w:rPr>
          <w:rFonts w:eastAsia="Times New Roman"/>
          <w:szCs w:val="24"/>
        </w:rPr>
        <w:t>, 20</w:t>
      </w:r>
      <w:r w:rsidR="00C84C6B" w:rsidRPr="00E656E3">
        <w:rPr>
          <w:rFonts w:eastAsia="Times New Roman"/>
          <w:szCs w:val="24"/>
        </w:rPr>
        <w:t>11)</w:t>
      </w:r>
      <w:r w:rsidR="0063719B" w:rsidRPr="00E656E3">
        <w:rPr>
          <w:rFonts w:eastAsia="Times New Roman"/>
          <w:szCs w:val="24"/>
        </w:rPr>
        <w:t xml:space="preserve">. No Brasil, apenas as Sociedades Anônimas são obrigadas ao reporte das demonstrações financeiras, incluindo as </w:t>
      </w:r>
      <w:r w:rsidR="002C5D2D" w:rsidRPr="00E656E3">
        <w:rPr>
          <w:rFonts w:eastAsia="Times New Roman"/>
          <w:szCs w:val="24"/>
        </w:rPr>
        <w:t>Empresas de Economia Mista</w:t>
      </w:r>
      <w:r w:rsidR="0063719B" w:rsidRPr="00E656E3">
        <w:rPr>
          <w:rFonts w:eastAsia="Times New Roman"/>
          <w:szCs w:val="24"/>
        </w:rPr>
        <w:t xml:space="preserve">. </w:t>
      </w:r>
      <w:r w:rsidR="00D548D6" w:rsidRPr="00E656E3">
        <w:rPr>
          <w:rFonts w:eastAsia="Times New Roman"/>
          <w:szCs w:val="24"/>
        </w:rPr>
        <w:t xml:space="preserve">A divulgação compulsória refere-se aos aspectos e informações que devem ser publicadas como consequência de disposições legais do </w:t>
      </w:r>
      <w:r>
        <w:rPr>
          <w:rFonts w:eastAsia="Times New Roman"/>
          <w:szCs w:val="24"/>
        </w:rPr>
        <w:t>M</w:t>
      </w:r>
      <w:r w:rsidR="00D548D6" w:rsidRPr="00E656E3">
        <w:rPr>
          <w:rFonts w:eastAsia="Times New Roman"/>
          <w:szCs w:val="24"/>
        </w:rPr>
        <w:t xml:space="preserve">ercado de </w:t>
      </w:r>
      <w:r>
        <w:rPr>
          <w:rFonts w:eastAsia="Times New Roman"/>
          <w:szCs w:val="24"/>
        </w:rPr>
        <w:t>C</w:t>
      </w:r>
      <w:r w:rsidR="00D548D6" w:rsidRPr="00E656E3">
        <w:rPr>
          <w:rFonts w:eastAsia="Times New Roman"/>
          <w:szCs w:val="24"/>
        </w:rPr>
        <w:t>apitais</w:t>
      </w:r>
      <w:r>
        <w:rPr>
          <w:rFonts w:eastAsia="Times New Roman"/>
          <w:szCs w:val="24"/>
        </w:rPr>
        <w:t xml:space="preserve"> e</w:t>
      </w:r>
      <w:r w:rsidR="00D548D6" w:rsidRPr="00E656E3">
        <w:rPr>
          <w:rFonts w:eastAsia="Times New Roman"/>
          <w:szCs w:val="24"/>
        </w:rPr>
        <w:t xml:space="preserve"> da Comissão de Valores Mobiliários. O objetivo da divulgação obrigatória é satisfazer as necessidades informacionais dos usuários, garantindo o controle de qualidade das divulgações conforme as leis e observância de padrões (A</w:t>
      </w:r>
      <w:r w:rsidR="00A62F94" w:rsidRPr="00E656E3">
        <w:rPr>
          <w:rFonts w:eastAsia="Times New Roman"/>
          <w:szCs w:val="24"/>
        </w:rPr>
        <w:t>DINA</w:t>
      </w:r>
      <w:r w:rsidR="00A62F94">
        <w:rPr>
          <w:rFonts w:eastAsia="Times New Roman"/>
          <w:szCs w:val="24"/>
        </w:rPr>
        <w:t>;</w:t>
      </w:r>
      <w:r w:rsidR="00A62F94" w:rsidRPr="00E656E3">
        <w:rPr>
          <w:rFonts w:eastAsia="Times New Roman"/>
          <w:szCs w:val="24"/>
        </w:rPr>
        <w:t xml:space="preserve"> ION, 2008; GÜTH </w:t>
      </w:r>
      <w:r w:rsidR="00D548D6" w:rsidRPr="00E656E3">
        <w:rPr>
          <w:rFonts w:eastAsia="Times New Roman"/>
          <w:szCs w:val="24"/>
        </w:rPr>
        <w:t>et al., 2014)</w:t>
      </w:r>
      <w:r w:rsidR="005E56FB" w:rsidRPr="00E656E3">
        <w:rPr>
          <w:rFonts w:eastAsia="Times New Roman"/>
          <w:szCs w:val="24"/>
        </w:rPr>
        <w:t>.</w:t>
      </w:r>
    </w:p>
    <w:p w14:paraId="337DE6EA" w14:textId="05C584A0" w:rsidR="0063719B" w:rsidRPr="00E656E3" w:rsidRDefault="0063719B" w:rsidP="00E240B6">
      <w:pPr>
        <w:spacing w:after="0"/>
        <w:ind w:firstLine="708"/>
        <w:rPr>
          <w:rFonts w:eastAsia="Times New Roman"/>
          <w:szCs w:val="24"/>
        </w:rPr>
      </w:pPr>
      <w:r w:rsidRPr="00E656E3">
        <w:rPr>
          <w:rFonts w:eastAsia="Times New Roman"/>
          <w:szCs w:val="24"/>
        </w:rPr>
        <w:t>A divulgação obrigatória procura promover transparência corporativa, exigindo que os agentes divulguem informações, que poderiam estar inclinados a não divulgar (</w:t>
      </w:r>
      <w:r w:rsidR="00CF77C7" w:rsidRPr="00E656E3">
        <w:rPr>
          <w:rFonts w:eastAsia="Times New Roman"/>
          <w:szCs w:val="24"/>
        </w:rPr>
        <w:t>F</w:t>
      </w:r>
      <w:r w:rsidR="00D4367A">
        <w:rPr>
          <w:rFonts w:eastAsia="Times New Roman"/>
          <w:szCs w:val="24"/>
        </w:rPr>
        <w:t>OX</w:t>
      </w:r>
      <w:r w:rsidRPr="00E656E3">
        <w:rPr>
          <w:rFonts w:eastAsia="Times New Roman"/>
          <w:szCs w:val="24"/>
        </w:rPr>
        <w:t xml:space="preserve">, 2009). Para Brown, Goetzmann e Liang (2008), Adina e Ion (2008) a divulgação compulsória permite que os participantes de mercado, sejam eles investidores, analistas ou outros usuários da informação contábil, tenham condições de avaliar o desempenho de uma empresa sem de fato constranger os gestores. </w:t>
      </w:r>
    </w:p>
    <w:p w14:paraId="0010788D" w14:textId="2463B27D" w:rsidR="0063719B" w:rsidRPr="00E656E3" w:rsidRDefault="0063719B" w:rsidP="00E240B6">
      <w:pPr>
        <w:spacing w:after="0"/>
        <w:ind w:firstLine="708"/>
        <w:rPr>
          <w:rFonts w:eastAsia="Times New Roman"/>
          <w:szCs w:val="24"/>
        </w:rPr>
      </w:pPr>
      <w:r w:rsidRPr="00E656E3">
        <w:rPr>
          <w:rFonts w:eastAsia="Times New Roman"/>
          <w:szCs w:val="24"/>
        </w:rPr>
        <w:lastRenderedPageBreak/>
        <w:t>A obrigatoriedade das empresas informar</w:t>
      </w:r>
      <w:r w:rsidR="006E4A41">
        <w:rPr>
          <w:rFonts w:eastAsia="Times New Roman"/>
          <w:szCs w:val="24"/>
        </w:rPr>
        <w:t>em</w:t>
      </w:r>
      <w:r w:rsidRPr="00E656E3">
        <w:rPr>
          <w:rFonts w:eastAsia="Times New Roman"/>
          <w:szCs w:val="24"/>
        </w:rPr>
        <w:t xml:space="preserve"> </w:t>
      </w:r>
      <w:r w:rsidR="006E4A41">
        <w:rPr>
          <w:rFonts w:eastAsia="Times New Roman"/>
          <w:szCs w:val="24"/>
        </w:rPr>
        <w:t>à</w:t>
      </w:r>
      <w:r w:rsidRPr="00E656E3">
        <w:rPr>
          <w:rFonts w:eastAsia="Times New Roman"/>
          <w:szCs w:val="24"/>
        </w:rPr>
        <w:t xml:space="preserve">s partes interessadas sobre a situação econômica, financeira e patrimonial da companhia é um dos aspectos de maior relevância da divulgação. As empresas devem preparar e divulgar informações com maior completude possível e em tempo legalmente hábil para manter sua fidedignidade </w:t>
      </w:r>
      <w:r w:rsidR="00CF77C7" w:rsidRPr="00E656E3">
        <w:rPr>
          <w:rFonts w:eastAsia="Times New Roman"/>
          <w:szCs w:val="24"/>
        </w:rPr>
        <w:t>(</w:t>
      </w:r>
      <w:r w:rsidR="00A62F94" w:rsidRPr="00E656E3">
        <w:rPr>
          <w:rFonts w:eastAsia="Times New Roman"/>
          <w:szCs w:val="24"/>
        </w:rPr>
        <w:t>CHOUDHARY</w:t>
      </w:r>
      <w:r w:rsidR="00A62F94">
        <w:rPr>
          <w:rFonts w:eastAsia="Times New Roman"/>
          <w:szCs w:val="24"/>
        </w:rPr>
        <w:t>; SCHLOETZER;</w:t>
      </w:r>
      <w:r w:rsidR="00A62F94" w:rsidRPr="00E656E3">
        <w:rPr>
          <w:rFonts w:eastAsia="Times New Roman"/>
          <w:szCs w:val="24"/>
        </w:rPr>
        <w:t xml:space="preserve"> STURGESS, 2013</w:t>
      </w:r>
      <w:r w:rsidRPr="00E656E3">
        <w:rPr>
          <w:rFonts w:eastAsia="Times New Roman"/>
          <w:szCs w:val="24"/>
        </w:rPr>
        <w:t xml:space="preserve">). Em relação à conformidade legal da divulgação compulsória, as </w:t>
      </w:r>
      <w:r w:rsidR="002C5D2D" w:rsidRPr="00E656E3">
        <w:rPr>
          <w:rFonts w:eastAsia="Times New Roman"/>
          <w:szCs w:val="24"/>
        </w:rPr>
        <w:t>Empresas de Economia Mista</w:t>
      </w:r>
      <w:r w:rsidRPr="00E656E3">
        <w:rPr>
          <w:rFonts w:eastAsia="Times New Roman"/>
          <w:szCs w:val="24"/>
        </w:rPr>
        <w:t xml:space="preserve"> devem evidenciar as mesmas informações que as Sociedades Anônimas privadas, ou seja, devem seguir os ditames da Lei 6.404/76. </w:t>
      </w:r>
      <w:r w:rsidR="00D548D6" w:rsidRPr="00E656E3">
        <w:rPr>
          <w:rFonts w:eastAsia="Times New Roman"/>
          <w:szCs w:val="24"/>
        </w:rPr>
        <w:t xml:space="preserve">Portanto, os benefícios relacionados com a divulgação compulsória estariam relacionados com </w:t>
      </w:r>
      <w:r w:rsidR="006E4A41">
        <w:rPr>
          <w:rFonts w:eastAsia="Times New Roman"/>
          <w:szCs w:val="24"/>
        </w:rPr>
        <w:t xml:space="preserve">a </w:t>
      </w:r>
      <w:r w:rsidR="00D548D6" w:rsidRPr="00E656E3">
        <w:rPr>
          <w:rFonts w:eastAsia="Times New Roman"/>
          <w:szCs w:val="24"/>
        </w:rPr>
        <w:t>melhor liquidez de mercado, redução do custo de capital, diminuição da assimetria informacional, redução de incertezas relacionadas aos negócios e</w:t>
      </w:r>
      <w:r w:rsidR="006E4A41">
        <w:rPr>
          <w:rFonts w:eastAsia="Times New Roman"/>
          <w:szCs w:val="24"/>
        </w:rPr>
        <w:t>,</w:t>
      </w:r>
      <w:r w:rsidR="00D548D6" w:rsidRPr="00E656E3">
        <w:rPr>
          <w:rFonts w:eastAsia="Times New Roman"/>
          <w:szCs w:val="24"/>
        </w:rPr>
        <w:t xml:space="preserve"> </w:t>
      </w:r>
      <w:r w:rsidR="006E4A8A" w:rsidRPr="00E656E3">
        <w:rPr>
          <w:rFonts w:eastAsia="Times New Roman"/>
          <w:szCs w:val="24"/>
        </w:rPr>
        <w:t>ainda</w:t>
      </w:r>
      <w:r w:rsidR="006E4A8A">
        <w:rPr>
          <w:rFonts w:eastAsia="Times New Roman"/>
          <w:szCs w:val="24"/>
        </w:rPr>
        <w:t>,</w:t>
      </w:r>
      <w:r w:rsidR="006E4A8A" w:rsidRPr="00E656E3">
        <w:rPr>
          <w:rFonts w:eastAsia="Times New Roman"/>
          <w:szCs w:val="24"/>
        </w:rPr>
        <w:t xml:space="preserve"> redução</w:t>
      </w:r>
      <w:r w:rsidR="00D548D6" w:rsidRPr="00E656E3">
        <w:rPr>
          <w:rFonts w:eastAsia="Times New Roman"/>
          <w:szCs w:val="24"/>
        </w:rPr>
        <w:t xml:space="preserve"> dos custos políticos (F</w:t>
      </w:r>
      <w:r w:rsidR="00375097" w:rsidRPr="00E656E3">
        <w:rPr>
          <w:rFonts w:eastAsia="Times New Roman"/>
          <w:szCs w:val="24"/>
        </w:rPr>
        <w:t>OX</w:t>
      </w:r>
      <w:r w:rsidR="00D548D6" w:rsidRPr="00E656E3">
        <w:rPr>
          <w:rFonts w:eastAsia="Times New Roman"/>
          <w:szCs w:val="24"/>
        </w:rPr>
        <w:t>, 2009).</w:t>
      </w:r>
    </w:p>
    <w:p w14:paraId="39C8FCB1" w14:textId="106D1F24" w:rsidR="006D7B41" w:rsidRDefault="00C40953" w:rsidP="00E240B6">
      <w:pPr>
        <w:spacing w:after="0"/>
        <w:ind w:firstLine="708"/>
        <w:rPr>
          <w:rFonts w:eastAsia="Times New Roman"/>
          <w:szCs w:val="24"/>
        </w:rPr>
      </w:pPr>
      <w:r w:rsidRPr="00E656E3">
        <w:rPr>
          <w:rFonts w:eastAsia="Times New Roman"/>
          <w:szCs w:val="24"/>
        </w:rPr>
        <w:t xml:space="preserve">Além do aumento do nível de </w:t>
      </w:r>
      <w:r w:rsidRPr="00E656E3">
        <w:rPr>
          <w:rFonts w:eastAsia="Times New Roman"/>
          <w:i/>
          <w:szCs w:val="24"/>
        </w:rPr>
        <w:t>disclosure</w:t>
      </w:r>
      <w:r w:rsidRPr="00E656E3">
        <w:rPr>
          <w:rFonts w:eastAsia="Times New Roman"/>
          <w:szCs w:val="24"/>
        </w:rPr>
        <w:t xml:space="preserve"> de informações obrigatórias para reduzir os custos políticos, as empresas utilizam mecanismos contábeis para </w:t>
      </w:r>
      <w:r w:rsidR="006E4A8A">
        <w:rPr>
          <w:rFonts w:eastAsia="Times New Roman"/>
          <w:szCs w:val="24"/>
        </w:rPr>
        <w:t xml:space="preserve">controlar </w:t>
      </w:r>
      <w:r w:rsidR="006E4A8A" w:rsidRPr="00E656E3">
        <w:rPr>
          <w:rFonts w:eastAsia="Times New Roman"/>
          <w:szCs w:val="24"/>
        </w:rPr>
        <w:t>a</w:t>
      </w:r>
      <w:r w:rsidRPr="00E656E3">
        <w:rPr>
          <w:rFonts w:eastAsia="Times New Roman"/>
          <w:szCs w:val="24"/>
        </w:rPr>
        <w:t xml:space="preserve"> variabilidade dos resultados, atrai</w:t>
      </w:r>
      <w:r w:rsidR="006D7B41">
        <w:rPr>
          <w:rFonts w:eastAsia="Times New Roman"/>
          <w:szCs w:val="24"/>
        </w:rPr>
        <w:t>r</w:t>
      </w:r>
      <w:r w:rsidRPr="00E656E3">
        <w:rPr>
          <w:rFonts w:eastAsia="Times New Roman"/>
          <w:szCs w:val="24"/>
        </w:rPr>
        <w:t xml:space="preserve"> menor atenção </w:t>
      </w:r>
      <w:r w:rsidR="006D7B41">
        <w:rPr>
          <w:rFonts w:eastAsia="Times New Roman"/>
          <w:szCs w:val="24"/>
        </w:rPr>
        <w:t>e</w:t>
      </w:r>
      <w:r w:rsidRPr="00E656E3">
        <w:rPr>
          <w:rFonts w:eastAsia="Times New Roman"/>
          <w:szCs w:val="24"/>
        </w:rPr>
        <w:t xml:space="preserve"> fornece</w:t>
      </w:r>
      <w:r w:rsidR="006D7B41">
        <w:rPr>
          <w:rFonts w:eastAsia="Times New Roman"/>
          <w:szCs w:val="24"/>
        </w:rPr>
        <w:t>r</w:t>
      </w:r>
      <w:r w:rsidRPr="00E656E3">
        <w:rPr>
          <w:rFonts w:eastAsia="Times New Roman"/>
          <w:szCs w:val="24"/>
        </w:rPr>
        <w:t xml:space="preserve"> melhor </w:t>
      </w:r>
      <w:r w:rsidR="006E4A8A">
        <w:rPr>
          <w:rFonts w:eastAsia="Times New Roman"/>
          <w:szCs w:val="24"/>
        </w:rPr>
        <w:t xml:space="preserve">percepção </w:t>
      </w:r>
      <w:r w:rsidR="006E4A8A" w:rsidRPr="00E656E3">
        <w:rPr>
          <w:rFonts w:eastAsia="Times New Roman"/>
          <w:szCs w:val="24"/>
        </w:rPr>
        <w:t>dos</w:t>
      </w:r>
      <w:r w:rsidRPr="00E656E3">
        <w:rPr>
          <w:rFonts w:eastAsia="Times New Roman"/>
          <w:szCs w:val="24"/>
        </w:rPr>
        <w:t xml:space="preserve"> riscos atrelados aos negócios (</w:t>
      </w:r>
      <w:r w:rsidR="00375097" w:rsidRPr="00E656E3">
        <w:rPr>
          <w:rFonts w:eastAsia="Times New Roman"/>
          <w:szCs w:val="24"/>
        </w:rPr>
        <w:t>WATTS</w:t>
      </w:r>
      <w:r w:rsidR="00375097">
        <w:rPr>
          <w:rFonts w:eastAsia="Times New Roman"/>
          <w:szCs w:val="24"/>
        </w:rPr>
        <w:t>;</w:t>
      </w:r>
      <w:r w:rsidR="00375097" w:rsidRPr="00E656E3">
        <w:rPr>
          <w:rFonts w:eastAsia="Times New Roman"/>
          <w:szCs w:val="24"/>
        </w:rPr>
        <w:t xml:space="preserve"> ZIMMERMAN,</w:t>
      </w:r>
      <w:r w:rsidRPr="00E656E3">
        <w:rPr>
          <w:rFonts w:eastAsia="Times New Roman"/>
          <w:szCs w:val="24"/>
        </w:rPr>
        <w:t xml:space="preserve"> 1978). Para isso, os gestores adotam diversos procedimentos contábeis, entre eles intervenções no processo de geração da informação financeira, com a intenção de influenciar os usuários da informação (</w:t>
      </w:r>
      <w:r w:rsidR="00876584" w:rsidRPr="00E656E3">
        <w:rPr>
          <w:rFonts w:eastAsia="Times New Roman"/>
          <w:szCs w:val="24"/>
        </w:rPr>
        <w:t>MARTINEZ</w:t>
      </w:r>
      <w:r w:rsidRPr="00E656E3">
        <w:rPr>
          <w:rFonts w:eastAsia="Times New Roman"/>
          <w:szCs w:val="24"/>
        </w:rPr>
        <w:t>, 2001).</w:t>
      </w:r>
      <w:r w:rsidR="00D548D6" w:rsidRPr="00E656E3">
        <w:rPr>
          <w:szCs w:val="24"/>
        </w:rPr>
        <w:t xml:space="preserve"> Nesse contexto, os gestores pode</w:t>
      </w:r>
      <w:r w:rsidR="006D7B41">
        <w:rPr>
          <w:szCs w:val="24"/>
        </w:rPr>
        <w:t>ria</w:t>
      </w:r>
      <w:r w:rsidR="00D548D6" w:rsidRPr="00E656E3">
        <w:rPr>
          <w:szCs w:val="24"/>
        </w:rPr>
        <w:t xml:space="preserve">m usar seu poder discricionário para gerenciar os resultados reportados com o intuito de maximizar os interesses próprios e atingir seus objetivos. </w:t>
      </w:r>
      <w:r w:rsidR="0063719B" w:rsidRPr="00E656E3">
        <w:rPr>
          <w:rFonts w:eastAsia="Times New Roman"/>
          <w:szCs w:val="24"/>
        </w:rPr>
        <w:t>A Suavização de Resultados é a adoção de práticas contábeis por parte dos gestores que diminu</w:t>
      </w:r>
      <w:r w:rsidR="006D7B41">
        <w:rPr>
          <w:rFonts w:eastAsia="Times New Roman"/>
          <w:szCs w:val="24"/>
        </w:rPr>
        <w:t>e</w:t>
      </w:r>
      <w:r w:rsidR="0063719B" w:rsidRPr="00E656E3">
        <w:rPr>
          <w:rFonts w:eastAsia="Times New Roman"/>
          <w:szCs w:val="24"/>
        </w:rPr>
        <w:t>m as oscilações nos lucros ao longo de períodos contábeis (</w:t>
      </w:r>
      <w:r w:rsidR="00CA3136" w:rsidRPr="00E656E3">
        <w:rPr>
          <w:rFonts w:eastAsia="Times New Roman"/>
          <w:szCs w:val="24"/>
        </w:rPr>
        <w:t>M</w:t>
      </w:r>
      <w:r w:rsidR="00632B8E" w:rsidRPr="00E656E3">
        <w:rPr>
          <w:rFonts w:eastAsia="Times New Roman"/>
          <w:szCs w:val="24"/>
        </w:rPr>
        <w:t>ICHELSON</w:t>
      </w:r>
      <w:r w:rsidR="00632B8E">
        <w:rPr>
          <w:rFonts w:eastAsia="Times New Roman"/>
          <w:szCs w:val="24"/>
        </w:rPr>
        <w:t>;</w:t>
      </w:r>
      <w:r w:rsidR="00632B8E" w:rsidRPr="00E656E3">
        <w:rPr>
          <w:rFonts w:eastAsia="Times New Roman"/>
          <w:szCs w:val="24"/>
        </w:rPr>
        <w:t xml:space="preserve"> JORDAN-WAGNER</w:t>
      </w:r>
      <w:r w:rsidR="00632B8E">
        <w:rPr>
          <w:rFonts w:eastAsia="Times New Roman"/>
          <w:szCs w:val="24"/>
        </w:rPr>
        <w:t>;</w:t>
      </w:r>
      <w:r w:rsidR="00632B8E" w:rsidRPr="00E656E3">
        <w:rPr>
          <w:rFonts w:eastAsia="Times New Roman"/>
          <w:szCs w:val="24"/>
        </w:rPr>
        <w:t xml:space="preserve"> WOOTTON, </w:t>
      </w:r>
      <w:r w:rsidR="00CA3136" w:rsidRPr="00E656E3">
        <w:rPr>
          <w:rFonts w:eastAsia="Times New Roman"/>
          <w:szCs w:val="24"/>
        </w:rPr>
        <w:t>1995</w:t>
      </w:r>
      <w:r w:rsidR="00C060DB" w:rsidRPr="00E656E3">
        <w:rPr>
          <w:rFonts w:eastAsia="Times New Roman"/>
          <w:szCs w:val="24"/>
        </w:rPr>
        <w:t xml:space="preserve">). </w:t>
      </w:r>
      <w:r w:rsidR="00D548D6" w:rsidRPr="00E656E3">
        <w:rPr>
          <w:rFonts w:eastAsia="Times New Roman"/>
          <w:szCs w:val="24"/>
        </w:rPr>
        <w:t xml:space="preserve">As motivações para a prática de Suavização de Resultados estão </w:t>
      </w:r>
      <w:r w:rsidR="006E4A8A" w:rsidRPr="00E656E3">
        <w:rPr>
          <w:rFonts w:eastAsia="Times New Roman"/>
          <w:szCs w:val="24"/>
        </w:rPr>
        <w:t>relacionadas a</w:t>
      </w:r>
      <w:r w:rsidR="006D7B41">
        <w:rPr>
          <w:rFonts w:eastAsia="Times New Roman"/>
          <w:szCs w:val="24"/>
        </w:rPr>
        <w:t xml:space="preserve"> </w:t>
      </w:r>
      <w:r w:rsidR="00D548D6" w:rsidRPr="00E656E3">
        <w:rPr>
          <w:rFonts w:eastAsia="Times New Roman"/>
          <w:szCs w:val="24"/>
        </w:rPr>
        <w:t>redução do custo de capital de terceiros (</w:t>
      </w:r>
      <w:r w:rsidR="00632B8E" w:rsidRPr="00E656E3">
        <w:rPr>
          <w:rFonts w:eastAsia="Times New Roman"/>
          <w:szCs w:val="24"/>
        </w:rPr>
        <w:t>TRUEMAN</w:t>
      </w:r>
      <w:r w:rsidR="00632B8E">
        <w:rPr>
          <w:rFonts w:eastAsia="Times New Roman"/>
          <w:szCs w:val="24"/>
        </w:rPr>
        <w:t>;</w:t>
      </w:r>
      <w:r w:rsidR="00632B8E" w:rsidRPr="00E656E3">
        <w:rPr>
          <w:rFonts w:eastAsia="Times New Roman"/>
          <w:szCs w:val="24"/>
        </w:rPr>
        <w:t xml:space="preserve"> TITMAN, 1988; CASTRO</w:t>
      </w:r>
      <w:r w:rsidR="00632B8E">
        <w:rPr>
          <w:rFonts w:eastAsia="Times New Roman"/>
          <w:szCs w:val="24"/>
        </w:rPr>
        <w:t>;</w:t>
      </w:r>
      <w:r w:rsidR="00632B8E" w:rsidRPr="00E656E3">
        <w:rPr>
          <w:rFonts w:eastAsia="Times New Roman"/>
          <w:szCs w:val="24"/>
        </w:rPr>
        <w:t xml:space="preserve"> MARTINEZ, </w:t>
      </w:r>
      <w:r w:rsidR="00D548D6" w:rsidRPr="00E656E3">
        <w:rPr>
          <w:rFonts w:eastAsia="Times New Roman"/>
          <w:szCs w:val="24"/>
        </w:rPr>
        <w:t>2009), redução de risco de investimentos (M</w:t>
      </w:r>
      <w:r w:rsidR="00632B8E" w:rsidRPr="00E656E3">
        <w:rPr>
          <w:rFonts w:eastAsia="Times New Roman"/>
          <w:szCs w:val="24"/>
        </w:rPr>
        <w:t>OYER</w:t>
      </w:r>
      <w:r w:rsidR="00632B8E">
        <w:rPr>
          <w:rFonts w:eastAsia="Times New Roman"/>
          <w:szCs w:val="24"/>
        </w:rPr>
        <w:t>;</w:t>
      </w:r>
      <w:r w:rsidR="00632B8E" w:rsidRPr="00E656E3">
        <w:rPr>
          <w:rFonts w:eastAsia="Times New Roman"/>
          <w:szCs w:val="24"/>
        </w:rPr>
        <w:t xml:space="preserve"> SHEVLIN</w:t>
      </w:r>
      <w:r w:rsidR="00D548D6" w:rsidRPr="00E656E3">
        <w:rPr>
          <w:rFonts w:eastAsia="Times New Roman"/>
          <w:szCs w:val="24"/>
        </w:rPr>
        <w:t>, 1995), melhor</w:t>
      </w:r>
      <w:r w:rsidR="006D7B41">
        <w:rPr>
          <w:rFonts w:eastAsia="Times New Roman"/>
          <w:szCs w:val="24"/>
        </w:rPr>
        <w:t>ia do</w:t>
      </w:r>
      <w:r w:rsidR="00D548D6" w:rsidRPr="00E656E3">
        <w:rPr>
          <w:rFonts w:eastAsia="Times New Roman"/>
          <w:szCs w:val="24"/>
        </w:rPr>
        <w:t xml:space="preserve"> </w:t>
      </w:r>
      <w:r w:rsidR="00D548D6" w:rsidRPr="00E656E3">
        <w:rPr>
          <w:rFonts w:eastAsia="Times New Roman"/>
          <w:i/>
          <w:szCs w:val="24"/>
        </w:rPr>
        <w:t>Rating</w:t>
      </w:r>
      <w:r w:rsidR="00D548D6" w:rsidRPr="00E656E3">
        <w:rPr>
          <w:rFonts w:eastAsia="Times New Roman"/>
          <w:szCs w:val="24"/>
        </w:rPr>
        <w:t xml:space="preserve"> (</w:t>
      </w:r>
      <w:r w:rsidR="00B546B5" w:rsidRPr="00E656E3">
        <w:rPr>
          <w:rFonts w:eastAsia="Times New Roman"/>
          <w:szCs w:val="24"/>
        </w:rPr>
        <w:t>MARTINEZ</w:t>
      </w:r>
      <w:r w:rsidR="00B546B5">
        <w:rPr>
          <w:rFonts w:eastAsia="Times New Roman"/>
          <w:szCs w:val="24"/>
        </w:rPr>
        <w:t>;</w:t>
      </w:r>
      <w:r w:rsidR="00B546B5" w:rsidRPr="00E656E3">
        <w:rPr>
          <w:rFonts w:eastAsia="Times New Roman"/>
          <w:szCs w:val="24"/>
        </w:rPr>
        <w:t xml:space="preserve"> CASTRO,</w:t>
      </w:r>
      <w:r w:rsidR="00D548D6" w:rsidRPr="00E656E3">
        <w:rPr>
          <w:rFonts w:eastAsia="Times New Roman"/>
          <w:szCs w:val="24"/>
        </w:rPr>
        <w:t xml:space="preserve"> 2011; </w:t>
      </w:r>
      <w:r w:rsidR="00B546B5" w:rsidRPr="00E656E3">
        <w:rPr>
          <w:rFonts w:eastAsia="Times New Roman"/>
          <w:szCs w:val="24"/>
        </w:rPr>
        <w:t>TONIN</w:t>
      </w:r>
      <w:r w:rsidR="00D548D6" w:rsidRPr="00E656E3">
        <w:rPr>
          <w:rFonts w:eastAsia="Times New Roman"/>
          <w:szCs w:val="24"/>
        </w:rPr>
        <w:t>, 2012) e melhor</w:t>
      </w:r>
      <w:r w:rsidR="006D7B41">
        <w:rPr>
          <w:rFonts w:eastAsia="Times New Roman"/>
          <w:szCs w:val="24"/>
        </w:rPr>
        <w:t>ia da</w:t>
      </w:r>
      <w:r w:rsidR="00D548D6" w:rsidRPr="00E656E3">
        <w:rPr>
          <w:rFonts w:eastAsia="Times New Roman"/>
          <w:szCs w:val="24"/>
        </w:rPr>
        <w:t xml:space="preserve"> visibilidade social diante de pressões exercidas externamente por sindicatos (G</w:t>
      </w:r>
      <w:r w:rsidR="0079370C" w:rsidRPr="00E656E3">
        <w:rPr>
          <w:rFonts w:eastAsia="Times New Roman"/>
          <w:szCs w:val="24"/>
        </w:rPr>
        <w:t>ODFREY</w:t>
      </w:r>
      <w:r w:rsidR="0079370C">
        <w:rPr>
          <w:rFonts w:eastAsia="Times New Roman"/>
          <w:szCs w:val="24"/>
        </w:rPr>
        <w:t>;</w:t>
      </w:r>
      <w:r w:rsidR="0079370C" w:rsidRPr="00E656E3">
        <w:rPr>
          <w:rFonts w:eastAsia="Times New Roman"/>
          <w:szCs w:val="24"/>
        </w:rPr>
        <w:t xml:space="preserve"> JONES,</w:t>
      </w:r>
      <w:r w:rsidR="00D548D6" w:rsidRPr="00E656E3">
        <w:rPr>
          <w:rFonts w:eastAsia="Times New Roman"/>
          <w:szCs w:val="24"/>
        </w:rPr>
        <w:t xml:space="preserve"> 1999) e órgãos reguladores e fiscalizadores (</w:t>
      </w:r>
      <w:r w:rsidR="0079370C" w:rsidRPr="00E656E3">
        <w:rPr>
          <w:rFonts w:eastAsia="Times New Roman"/>
          <w:szCs w:val="24"/>
        </w:rPr>
        <w:t>MAKAR</w:t>
      </w:r>
      <w:r w:rsidR="0079370C">
        <w:rPr>
          <w:rFonts w:eastAsia="Times New Roman"/>
          <w:szCs w:val="24"/>
        </w:rPr>
        <w:t>;</w:t>
      </w:r>
      <w:r w:rsidR="0079370C" w:rsidRPr="00E656E3">
        <w:rPr>
          <w:rFonts w:eastAsia="Times New Roman"/>
          <w:szCs w:val="24"/>
        </w:rPr>
        <w:t xml:space="preserve"> ALAM, 1998; GRACE</w:t>
      </w:r>
      <w:r w:rsidR="0079370C">
        <w:rPr>
          <w:rFonts w:eastAsia="Times New Roman"/>
          <w:szCs w:val="24"/>
        </w:rPr>
        <w:t>;</w:t>
      </w:r>
      <w:r w:rsidR="0079370C" w:rsidRPr="00E656E3">
        <w:rPr>
          <w:rFonts w:eastAsia="Times New Roman"/>
          <w:szCs w:val="24"/>
        </w:rPr>
        <w:t xml:space="preserve"> LEVERTY</w:t>
      </w:r>
      <w:r w:rsidR="00D548D6" w:rsidRPr="00E656E3">
        <w:rPr>
          <w:rFonts w:eastAsia="Times New Roman"/>
          <w:szCs w:val="24"/>
        </w:rPr>
        <w:t xml:space="preserve">, 2010).  </w:t>
      </w:r>
    </w:p>
    <w:p w14:paraId="6E92ECAE" w14:textId="01663913" w:rsidR="00C060DB" w:rsidRPr="00E656E3" w:rsidRDefault="006D7B41" w:rsidP="00E240B6">
      <w:pPr>
        <w:spacing w:after="0"/>
        <w:ind w:firstLine="708"/>
        <w:rPr>
          <w:rFonts w:eastAsia="Times New Roman"/>
          <w:szCs w:val="24"/>
        </w:rPr>
      </w:pPr>
      <w:r>
        <w:rPr>
          <w:rFonts w:eastAsia="Times New Roman"/>
          <w:szCs w:val="24"/>
        </w:rPr>
        <w:t>Desse modo, n</w:t>
      </w:r>
      <w:r w:rsidR="00D548D6" w:rsidRPr="00E656E3">
        <w:rPr>
          <w:rFonts w:eastAsia="Times New Roman"/>
          <w:szCs w:val="24"/>
        </w:rPr>
        <w:t xml:space="preserve">o contexto das Empresas de Economia Mista, as principais disposições para a suavização estão relacionadas com: i) conflitos de agência advindos da estrutura de propriedade pública e privada; ii) evitar privatizações; e iii) redução de custos políticos aos órgãos de controle externo e social. Flutuações excessivas nos resultados das Empresas de </w:t>
      </w:r>
      <w:r w:rsidR="00D548D6" w:rsidRPr="00E656E3">
        <w:rPr>
          <w:rFonts w:eastAsia="Times New Roman"/>
          <w:szCs w:val="24"/>
        </w:rPr>
        <w:lastRenderedPageBreak/>
        <w:t>Economia Mista poderiam atrair a atenção dos acionistas minoritários, incentivar privatizações e desencadear processos investigatórios (</w:t>
      </w:r>
      <w:r w:rsidR="00342427" w:rsidRPr="00E656E3">
        <w:rPr>
          <w:szCs w:val="24"/>
        </w:rPr>
        <w:t>CHENG</w:t>
      </w:r>
      <w:r w:rsidR="00342427">
        <w:rPr>
          <w:szCs w:val="24"/>
        </w:rPr>
        <w:t>;</w:t>
      </w:r>
      <w:r w:rsidR="00342427" w:rsidRPr="00E656E3">
        <w:rPr>
          <w:szCs w:val="24"/>
        </w:rPr>
        <w:t xml:space="preserve"> AERTS</w:t>
      </w:r>
      <w:r w:rsidR="00342427">
        <w:rPr>
          <w:szCs w:val="24"/>
        </w:rPr>
        <w:t>;</w:t>
      </w:r>
      <w:r w:rsidR="00342427" w:rsidRPr="00E656E3">
        <w:rPr>
          <w:szCs w:val="24"/>
        </w:rPr>
        <w:t xml:space="preserve"> JORISSEN</w:t>
      </w:r>
      <w:r w:rsidR="00D548D6" w:rsidRPr="00E656E3">
        <w:rPr>
          <w:szCs w:val="24"/>
        </w:rPr>
        <w:t>, 2010)</w:t>
      </w:r>
      <w:r w:rsidR="00DA64F4" w:rsidRPr="00E656E3">
        <w:rPr>
          <w:rFonts w:eastAsia="Times New Roman"/>
          <w:szCs w:val="24"/>
        </w:rPr>
        <w:t xml:space="preserve">. </w:t>
      </w:r>
    </w:p>
    <w:p w14:paraId="158EC9CC" w14:textId="0AC211BF" w:rsidR="00D548D6" w:rsidRPr="00E656E3" w:rsidRDefault="00D548D6" w:rsidP="00E240B6">
      <w:pPr>
        <w:spacing w:after="0"/>
        <w:rPr>
          <w:szCs w:val="24"/>
        </w:rPr>
      </w:pPr>
      <w:r w:rsidRPr="00E656E3">
        <w:rPr>
          <w:szCs w:val="24"/>
        </w:rPr>
        <w:t>As Empresas de Economia Mista</w:t>
      </w:r>
      <w:r w:rsidR="006D7B41">
        <w:rPr>
          <w:szCs w:val="24"/>
        </w:rPr>
        <w:t xml:space="preserve"> também </w:t>
      </w:r>
      <w:r w:rsidRPr="00E656E3">
        <w:rPr>
          <w:szCs w:val="24"/>
        </w:rPr>
        <w:t>possuem alta exposição social como sugere a Hipótese dos Custos Políticos de Watts e Zimmerman (1978</w:t>
      </w:r>
      <w:r w:rsidR="00EF658E" w:rsidRPr="00E656E3">
        <w:rPr>
          <w:szCs w:val="24"/>
        </w:rPr>
        <w:t>)</w:t>
      </w:r>
      <w:r w:rsidRPr="00E656E3">
        <w:rPr>
          <w:szCs w:val="24"/>
        </w:rPr>
        <w:t xml:space="preserve">. Segundo </w:t>
      </w:r>
      <w:r w:rsidRPr="00E656E3">
        <w:rPr>
          <w:rFonts w:eastAsia="Times New Roman"/>
          <w:szCs w:val="24"/>
        </w:rPr>
        <w:t>Yang, Murinde e Ding (2010)</w:t>
      </w:r>
      <w:r w:rsidRPr="00E656E3">
        <w:rPr>
          <w:szCs w:val="24"/>
        </w:rPr>
        <w:t xml:space="preserve"> resultados excessivamente oscilantes poderiam indicar descontrole e falta de gerenciamento, </w:t>
      </w:r>
      <w:r w:rsidR="00485DB0">
        <w:rPr>
          <w:szCs w:val="24"/>
        </w:rPr>
        <w:t xml:space="preserve">sendo </w:t>
      </w:r>
      <w:r w:rsidR="00485DB0" w:rsidRPr="00E656E3">
        <w:rPr>
          <w:szCs w:val="24"/>
        </w:rPr>
        <w:t>razoável</w:t>
      </w:r>
      <w:r w:rsidRPr="00E656E3">
        <w:rPr>
          <w:szCs w:val="24"/>
        </w:rPr>
        <w:t xml:space="preserve"> supor que as EEM tenderiam a suavizar seus resultados. Evidências encontradas por Cheng, Aerts e Jorissen (2010) e </w:t>
      </w:r>
      <w:r w:rsidRPr="00E656E3">
        <w:rPr>
          <w:rFonts w:eastAsia="Times New Roman"/>
          <w:szCs w:val="24"/>
        </w:rPr>
        <w:t>Yang, Murinde e Ding (2010),</w:t>
      </w:r>
      <w:r w:rsidRPr="00E656E3">
        <w:rPr>
          <w:szCs w:val="24"/>
        </w:rPr>
        <w:t xml:space="preserve"> apontam que Empresas de Economia Mista chinesas são mais resistentes a divulgar oscilações excessivas nos resultados, sugerindo que essas empresas tenderiam a suavizar os resultados contábeis.</w:t>
      </w:r>
    </w:p>
    <w:p w14:paraId="21E050E2" w14:textId="77777777" w:rsidR="0063719B" w:rsidRDefault="00D548D6" w:rsidP="00E240B6">
      <w:pPr>
        <w:spacing w:after="0"/>
        <w:ind w:firstLine="708"/>
        <w:rPr>
          <w:szCs w:val="24"/>
        </w:rPr>
      </w:pPr>
      <w:r w:rsidRPr="00E656E3">
        <w:rPr>
          <w:szCs w:val="24"/>
        </w:rPr>
        <w:t>Outro comportamento que está associado com a redução de custos políticos e conflitos de agência é a divulgação de informações (</w:t>
      </w:r>
      <w:r w:rsidR="00844C6C" w:rsidRPr="00E656E3">
        <w:rPr>
          <w:szCs w:val="24"/>
        </w:rPr>
        <w:t>FOX</w:t>
      </w:r>
      <w:r w:rsidRPr="00E656E3">
        <w:rPr>
          <w:szCs w:val="24"/>
        </w:rPr>
        <w:t xml:space="preserve">, 2009). Assim, como premissa subjacente a essa pesquisa, admite-se que os níveis de suavização de resultados podem estar associados com a divulgação de informações financeiras. Desse modo, empresas que suavizam resultados tendem a aumentar o nível de divulgação compulsória como mecanismo de redução de custos políticos e </w:t>
      </w:r>
      <w:r w:rsidR="00B67784" w:rsidRPr="00E656E3">
        <w:rPr>
          <w:szCs w:val="24"/>
        </w:rPr>
        <w:t>de evitar conflitos de agência.</w:t>
      </w:r>
    </w:p>
    <w:p w14:paraId="358BA34D" w14:textId="77777777" w:rsidR="00760277" w:rsidRPr="00E656E3" w:rsidRDefault="00760277" w:rsidP="00E240B6">
      <w:pPr>
        <w:spacing w:after="0"/>
        <w:ind w:firstLine="708"/>
        <w:rPr>
          <w:szCs w:val="24"/>
        </w:rPr>
      </w:pPr>
    </w:p>
    <w:p w14:paraId="49049976" w14:textId="06AFBE06" w:rsidR="00B67784" w:rsidRPr="00A278D0" w:rsidRDefault="00A278D0" w:rsidP="00E240B6">
      <w:pPr>
        <w:spacing w:after="0"/>
        <w:ind w:firstLine="0"/>
        <w:rPr>
          <w:szCs w:val="24"/>
          <w:lang w:eastAsia="pt-BR"/>
        </w:rPr>
      </w:pPr>
      <w:bookmarkStart w:id="8" w:name="_Toc411461682"/>
      <w:bookmarkStart w:id="9" w:name="_Toc411452233"/>
      <w:r w:rsidRPr="00A278D0">
        <w:rPr>
          <w:szCs w:val="24"/>
        </w:rPr>
        <w:t>3 M</w:t>
      </w:r>
      <w:r w:rsidR="006D7B41">
        <w:rPr>
          <w:szCs w:val="24"/>
        </w:rPr>
        <w:t xml:space="preserve">ÉTODOS EMPÍRICOS </w:t>
      </w:r>
      <w:bookmarkStart w:id="10" w:name="_Toc411461683"/>
      <w:bookmarkEnd w:id="8"/>
      <w:bookmarkEnd w:id="9"/>
    </w:p>
    <w:p w14:paraId="4EA42766" w14:textId="0E0471E6" w:rsidR="00D8762E" w:rsidRDefault="00D8762E" w:rsidP="00DB2E90">
      <w:pPr>
        <w:ind w:firstLine="720"/>
        <w:rPr>
          <w:szCs w:val="24"/>
        </w:rPr>
      </w:pPr>
      <w:r w:rsidRPr="00783EEE">
        <w:rPr>
          <w:szCs w:val="24"/>
        </w:rPr>
        <w:t xml:space="preserve">Na </w:t>
      </w:r>
      <w:r>
        <w:rPr>
          <w:szCs w:val="24"/>
        </w:rPr>
        <w:t>F</w:t>
      </w:r>
      <w:r w:rsidRPr="00783EEE">
        <w:rPr>
          <w:szCs w:val="24"/>
        </w:rPr>
        <w:t xml:space="preserve">igura </w:t>
      </w:r>
      <w:r w:rsidR="00BC7F9A">
        <w:rPr>
          <w:szCs w:val="24"/>
        </w:rPr>
        <w:t>1</w:t>
      </w:r>
      <w:r w:rsidRPr="00783EEE">
        <w:rPr>
          <w:szCs w:val="24"/>
        </w:rPr>
        <w:t xml:space="preserve"> apresenta-se a estrutura da validade preditiva da pesquisa considerando os pressupostos teóricos e as ligações com a metodologia utilizada, considerando o modelo operacional para teste da hipótese.</w:t>
      </w:r>
    </w:p>
    <w:p w14:paraId="3B69B559" w14:textId="1168AB82" w:rsidR="00D8762E" w:rsidRDefault="00D8762E" w:rsidP="00D8762E">
      <w:pPr>
        <w:pStyle w:val="Legenda"/>
        <w:spacing w:after="0"/>
        <w:ind w:firstLine="0"/>
        <w:jc w:val="center"/>
        <w:rPr>
          <w:i w:val="0"/>
          <w:iCs w:val="0"/>
          <w:color w:val="auto"/>
          <w:sz w:val="24"/>
          <w:szCs w:val="24"/>
        </w:rPr>
      </w:pPr>
      <w:bookmarkStart w:id="11" w:name="_Toc413140855"/>
      <w:r w:rsidRPr="00783EEE">
        <w:rPr>
          <w:b/>
          <w:i w:val="0"/>
          <w:iCs w:val="0"/>
          <w:color w:val="auto"/>
          <w:sz w:val="24"/>
          <w:szCs w:val="24"/>
        </w:rPr>
        <w:t xml:space="preserve">Figura </w:t>
      </w:r>
      <w:r w:rsidR="00BC7F9A">
        <w:rPr>
          <w:b/>
          <w:i w:val="0"/>
          <w:iCs w:val="0"/>
          <w:color w:val="auto"/>
          <w:sz w:val="24"/>
          <w:szCs w:val="24"/>
        </w:rPr>
        <w:t>1</w:t>
      </w:r>
      <w:r w:rsidRPr="00783EEE">
        <w:rPr>
          <w:b/>
          <w:i w:val="0"/>
          <w:iCs w:val="0"/>
          <w:color w:val="auto"/>
          <w:sz w:val="24"/>
          <w:szCs w:val="24"/>
        </w:rPr>
        <w:t>:</w:t>
      </w:r>
      <w:r w:rsidRPr="00783EEE">
        <w:rPr>
          <w:i w:val="0"/>
          <w:iCs w:val="0"/>
          <w:color w:val="auto"/>
          <w:sz w:val="24"/>
          <w:szCs w:val="24"/>
        </w:rPr>
        <w:t xml:space="preserve"> Estrutura da validade preditiva.</w:t>
      </w:r>
      <w:bookmarkEnd w:id="11"/>
    </w:p>
    <w:p w14:paraId="0E566F69" w14:textId="020C5D9C" w:rsidR="00D8762E" w:rsidRDefault="00D8762E" w:rsidP="00DC4473">
      <w:pPr>
        <w:ind w:firstLine="720"/>
        <w:rPr>
          <w:b/>
          <w:noProof/>
          <w:szCs w:val="24"/>
          <w:lang w:eastAsia="pt-BR"/>
        </w:rPr>
      </w:pPr>
      <w:r>
        <w:rPr>
          <w:noProof/>
          <w:szCs w:val="24"/>
          <w:lang w:eastAsia="pt-BR"/>
        </w:rPr>
        <w:drawing>
          <wp:inline distT="0" distB="0" distL="0" distR="0" wp14:anchorId="2F6FEBAF" wp14:editId="73B17363">
            <wp:extent cx="5610225" cy="2886075"/>
            <wp:effectExtent l="0" t="0" r="9525" b="952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2886075"/>
                    </a:xfrm>
                    <a:prstGeom prst="rect">
                      <a:avLst/>
                    </a:prstGeom>
                    <a:noFill/>
                    <a:ln>
                      <a:noFill/>
                    </a:ln>
                  </pic:spPr>
                </pic:pic>
              </a:graphicData>
            </a:graphic>
          </wp:inline>
        </w:drawing>
      </w:r>
    </w:p>
    <w:p w14:paraId="0A884C06" w14:textId="778865AD" w:rsidR="00D8762E" w:rsidRDefault="00BC7F9A" w:rsidP="00D8762E">
      <w:pPr>
        <w:ind w:firstLine="0"/>
        <w:jc w:val="left"/>
        <w:rPr>
          <w:b/>
          <w:noProof/>
          <w:szCs w:val="24"/>
          <w:lang w:eastAsia="pt-BR"/>
        </w:rPr>
      </w:pPr>
      <w:r>
        <w:rPr>
          <w:sz w:val="22"/>
          <w:szCs w:val="20"/>
        </w:rPr>
        <w:lastRenderedPageBreak/>
        <w:t xml:space="preserve">               </w:t>
      </w:r>
      <w:r w:rsidR="00D8762E" w:rsidRPr="00783EEE">
        <w:rPr>
          <w:sz w:val="22"/>
          <w:szCs w:val="20"/>
        </w:rPr>
        <w:t>Fonte: Adaptado de Libby, Blomfield e Nelson (2002).</w:t>
      </w:r>
    </w:p>
    <w:p w14:paraId="7D317D30" w14:textId="0C512576" w:rsidR="00D8762E" w:rsidRDefault="00D8762E" w:rsidP="00A2705A">
      <w:pPr>
        <w:spacing w:after="0"/>
        <w:ind w:firstLine="708"/>
        <w:rPr>
          <w:szCs w:val="24"/>
        </w:rPr>
      </w:pPr>
      <w:r w:rsidRPr="00783EEE">
        <w:rPr>
          <w:szCs w:val="24"/>
        </w:rPr>
        <w:t xml:space="preserve">Considerando que nenhuma teoria pode ser testada diretamente, a análise dos resultados é conduzida pela associação entre as </w:t>
      </w:r>
      <w:r w:rsidRPr="00783EEE">
        <w:rPr>
          <w:i/>
          <w:szCs w:val="24"/>
        </w:rPr>
        <w:t>proxies</w:t>
      </w:r>
      <w:r w:rsidRPr="00783EEE">
        <w:rPr>
          <w:szCs w:val="24"/>
        </w:rPr>
        <w:t xml:space="preserve"> para suavização de resultados e o índice de divulgação compulsória (</w:t>
      </w:r>
      <w:r w:rsidRPr="00783EEE">
        <w:rPr>
          <w:i/>
          <w:szCs w:val="24"/>
        </w:rPr>
        <w:t>link</w:t>
      </w:r>
      <w:r w:rsidRPr="00783EEE">
        <w:rPr>
          <w:szCs w:val="24"/>
        </w:rPr>
        <w:t xml:space="preserve"> 4). Essa associação é controlada por outras variáveis potencialmente influentes (</w:t>
      </w:r>
      <w:r w:rsidRPr="00783EEE">
        <w:rPr>
          <w:i/>
          <w:szCs w:val="24"/>
        </w:rPr>
        <w:t>link</w:t>
      </w:r>
      <w:r w:rsidRPr="00783EEE">
        <w:rPr>
          <w:szCs w:val="24"/>
        </w:rPr>
        <w:t xml:space="preserve"> 5). Para que o teste seja realizado, as ligações entre os conceitos e as definições operacionais (</w:t>
      </w:r>
      <w:r w:rsidRPr="00783EEE">
        <w:rPr>
          <w:i/>
          <w:szCs w:val="24"/>
        </w:rPr>
        <w:t>links</w:t>
      </w:r>
      <w:r w:rsidRPr="00783EEE">
        <w:rPr>
          <w:szCs w:val="24"/>
        </w:rPr>
        <w:t xml:space="preserve"> 2 e 3) devem ser válidas.</w:t>
      </w:r>
      <w:r w:rsidR="00A2705A">
        <w:rPr>
          <w:szCs w:val="24"/>
        </w:rPr>
        <w:t xml:space="preserve"> </w:t>
      </w:r>
      <w:r>
        <w:rPr>
          <w:szCs w:val="24"/>
        </w:rPr>
        <w:t>P</w:t>
      </w:r>
      <w:r w:rsidRPr="00783EEE">
        <w:rPr>
          <w:szCs w:val="24"/>
        </w:rPr>
        <w:t>ressupõe-se que a suavização de resultados é uma característica explicativa dos níveis de divulgação obrigatória (</w:t>
      </w:r>
      <w:r w:rsidRPr="00783EEE">
        <w:rPr>
          <w:i/>
          <w:szCs w:val="24"/>
        </w:rPr>
        <w:t xml:space="preserve">link </w:t>
      </w:r>
      <w:r w:rsidRPr="00783EEE">
        <w:rPr>
          <w:szCs w:val="24"/>
        </w:rPr>
        <w:t>1)</w:t>
      </w:r>
      <w:r>
        <w:rPr>
          <w:szCs w:val="24"/>
        </w:rPr>
        <w:t>. C</w:t>
      </w:r>
      <w:r w:rsidRPr="00783EEE">
        <w:rPr>
          <w:szCs w:val="24"/>
        </w:rPr>
        <w:t>onsidera</w:t>
      </w:r>
      <w:r>
        <w:rPr>
          <w:szCs w:val="24"/>
        </w:rPr>
        <w:t>-se</w:t>
      </w:r>
      <w:r w:rsidRPr="00783EEE">
        <w:rPr>
          <w:szCs w:val="24"/>
        </w:rPr>
        <w:t xml:space="preserve"> que os gestores ao suavizar</w:t>
      </w:r>
      <w:r>
        <w:rPr>
          <w:szCs w:val="24"/>
        </w:rPr>
        <w:t>em</w:t>
      </w:r>
      <w:r w:rsidRPr="00783EEE">
        <w:rPr>
          <w:szCs w:val="24"/>
        </w:rPr>
        <w:t xml:space="preserve"> os resultados aumentariam os níveis de divulgação como mecanismo de redução dos custos políticos e </w:t>
      </w:r>
      <w:r>
        <w:rPr>
          <w:szCs w:val="24"/>
        </w:rPr>
        <w:t xml:space="preserve">dos </w:t>
      </w:r>
      <w:r w:rsidRPr="00783EEE">
        <w:rPr>
          <w:szCs w:val="24"/>
        </w:rPr>
        <w:t>conflitos de agência.</w:t>
      </w:r>
    </w:p>
    <w:p w14:paraId="7A491E02" w14:textId="244914F2" w:rsidR="00B67784" w:rsidRDefault="009822E0" w:rsidP="00E240B6">
      <w:pPr>
        <w:spacing w:after="0"/>
        <w:ind w:firstLine="708"/>
        <w:rPr>
          <w:szCs w:val="24"/>
          <w:lang w:eastAsia="pt-BR"/>
        </w:rPr>
      </w:pPr>
      <w:r>
        <w:rPr>
          <w:szCs w:val="24"/>
          <w:lang w:eastAsia="pt-BR"/>
        </w:rPr>
        <w:t xml:space="preserve">Para detectar a suavização de resultados serão </w:t>
      </w:r>
      <w:r w:rsidR="00A2705A">
        <w:rPr>
          <w:szCs w:val="24"/>
          <w:lang w:eastAsia="pt-BR"/>
        </w:rPr>
        <w:t>adotados os</w:t>
      </w:r>
      <w:r>
        <w:rPr>
          <w:szCs w:val="24"/>
          <w:lang w:eastAsia="pt-BR"/>
        </w:rPr>
        <w:t xml:space="preserve">  </w:t>
      </w:r>
      <w:r w:rsidR="00B67784" w:rsidRPr="00E656E3">
        <w:rPr>
          <w:szCs w:val="24"/>
          <w:lang w:eastAsia="pt-BR"/>
        </w:rPr>
        <w:t xml:space="preserve"> modelo </w:t>
      </w:r>
      <w:r>
        <w:rPr>
          <w:szCs w:val="24"/>
          <w:lang w:eastAsia="pt-BR"/>
        </w:rPr>
        <w:t xml:space="preserve"> </w:t>
      </w:r>
      <w:r w:rsidR="00B67784" w:rsidRPr="00E656E3">
        <w:rPr>
          <w:szCs w:val="24"/>
          <w:lang w:eastAsia="pt-BR"/>
        </w:rPr>
        <w:t xml:space="preserve"> Eckel (1981) e</w:t>
      </w:r>
      <w:r w:rsidR="00A2705A">
        <w:rPr>
          <w:szCs w:val="24"/>
          <w:lang w:eastAsia="pt-BR"/>
        </w:rPr>
        <w:t xml:space="preserve"> os</w:t>
      </w:r>
      <w:r w:rsidR="00A2705A" w:rsidRPr="00E656E3">
        <w:rPr>
          <w:szCs w:val="24"/>
          <w:lang w:eastAsia="pt-BR"/>
        </w:rPr>
        <w:t xml:space="preserve"> modelos</w:t>
      </w:r>
      <w:r w:rsidR="00B67784" w:rsidRPr="00E656E3">
        <w:rPr>
          <w:szCs w:val="24"/>
          <w:lang w:eastAsia="pt-BR"/>
        </w:rPr>
        <w:t xml:space="preserve"> de Leuz, Nanda e Wysocki (2003). No modelo de Eckel (1981) assume-se basicamente que as vendas e os custos possuem tendência natural de aumentar e diminuir proporcionalmente ao tempo. Se essa condição não ocorrer haverá indícios que os administradores estão suavizando os resultados. Estudos têm operacionalizado o raciocínio de Eckel (1981), por meio de um índice adimensional (</w:t>
      </w:r>
      <w:r w:rsidR="00281FCC" w:rsidRPr="00E656E3">
        <w:rPr>
          <w:szCs w:val="24"/>
          <w:lang w:eastAsia="pt-BR"/>
        </w:rPr>
        <w:t>MICHELSON</w:t>
      </w:r>
      <w:r w:rsidR="00281FCC">
        <w:rPr>
          <w:szCs w:val="24"/>
          <w:lang w:eastAsia="pt-BR"/>
        </w:rPr>
        <w:t>;</w:t>
      </w:r>
      <w:r w:rsidR="00281FCC" w:rsidRPr="00E656E3">
        <w:rPr>
          <w:szCs w:val="24"/>
          <w:lang w:eastAsia="pt-BR"/>
        </w:rPr>
        <w:t xml:space="preserve"> JORDAN-WAGNER</w:t>
      </w:r>
      <w:r w:rsidR="00281FCC">
        <w:rPr>
          <w:szCs w:val="24"/>
          <w:lang w:eastAsia="pt-BR"/>
        </w:rPr>
        <w:t>;</w:t>
      </w:r>
      <w:r w:rsidR="00281FCC" w:rsidRPr="00E656E3">
        <w:rPr>
          <w:szCs w:val="24"/>
          <w:lang w:eastAsia="pt-BR"/>
        </w:rPr>
        <w:t xml:space="preserve"> WOOTTON, 1995; BOOTH</w:t>
      </w:r>
      <w:r w:rsidR="00281FCC">
        <w:rPr>
          <w:szCs w:val="24"/>
          <w:lang w:eastAsia="pt-BR"/>
        </w:rPr>
        <w:t>;</w:t>
      </w:r>
      <w:r w:rsidR="00281FCC" w:rsidRPr="00E656E3">
        <w:rPr>
          <w:szCs w:val="24"/>
          <w:lang w:eastAsia="pt-BR"/>
        </w:rPr>
        <w:t xml:space="preserve"> KALLUNKI</w:t>
      </w:r>
      <w:r w:rsidR="00281FCC">
        <w:rPr>
          <w:szCs w:val="24"/>
          <w:lang w:eastAsia="pt-BR"/>
        </w:rPr>
        <w:t>;</w:t>
      </w:r>
      <w:r w:rsidR="00281FCC" w:rsidRPr="00E656E3">
        <w:rPr>
          <w:szCs w:val="24"/>
          <w:lang w:eastAsia="pt-BR"/>
        </w:rPr>
        <w:t xml:space="preserve"> MARTIKAINEN, 1996; BAO</w:t>
      </w:r>
      <w:r w:rsidR="00281FCC">
        <w:rPr>
          <w:szCs w:val="24"/>
          <w:lang w:eastAsia="pt-BR"/>
        </w:rPr>
        <w:t>;</w:t>
      </w:r>
      <w:r w:rsidR="00281FCC" w:rsidRPr="00E656E3">
        <w:rPr>
          <w:szCs w:val="24"/>
          <w:lang w:eastAsia="pt-BR"/>
        </w:rPr>
        <w:t xml:space="preserve"> BAO, 2004; CASTRO</w:t>
      </w:r>
      <w:r w:rsidR="00281FCC">
        <w:rPr>
          <w:szCs w:val="24"/>
          <w:lang w:eastAsia="pt-BR"/>
        </w:rPr>
        <w:t>;</w:t>
      </w:r>
      <w:r w:rsidR="00281FCC" w:rsidRPr="00E656E3">
        <w:rPr>
          <w:szCs w:val="24"/>
          <w:lang w:eastAsia="pt-BR"/>
        </w:rPr>
        <w:t xml:space="preserve"> MARTINEZ, 2009, TONIN, 2012, RIBEIRO</w:t>
      </w:r>
      <w:r w:rsidR="00B67784" w:rsidRPr="00E656E3">
        <w:rPr>
          <w:szCs w:val="24"/>
          <w:lang w:eastAsia="pt-BR"/>
        </w:rPr>
        <w:t>, 2013), onde considera a razão entre o coeficiente de variação do lucro com o coef</w:t>
      </w:r>
      <w:r w:rsidR="00D227AD" w:rsidRPr="00E656E3">
        <w:rPr>
          <w:szCs w:val="24"/>
          <w:lang w:eastAsia="pt-BR"/>
        </w:rPr>
        <w:t>iciente de variação das vendas.</w:t>
      </w:r>
      <w:r w:rsidR="00B67784" w:rsidRPr="00E656E3">
        <w:rPr>
          <w:szCs w:val="24"/>
          <w:lang w:eastAsia="pt-BR"/>
        </w:rPr>
        <w:tab/>
      </w:r>
    </w:p>
    <w:p w14:paraId="62113DDE" w14:textId="77777777" w:rsidR="0066624B" w:rsidRPr="00E656E3" w:rsidRDefault="0066624B" w:rsidP="00E240B6">
      <w:pPr>
        <w:spacing w:after="0"/>
        <w:ind w:firstLine="708"/>
        <w:rPr>
          <w:szCs w:val="24"/>
          <w:lang w:eastAsia="pt-BR"/>
        </w:rPr>
      </w:pPr>
    </w:p>
    <w:p w14:paraId="4A7F5353" w14:textId="77777777" w:rsidR="00B67784" w:rsidRPr="00E656E3" w:rsidRDefault="00B67784" w:rsidP="00E240B6">
      <w:pPr>
        <w:jc w:val="right"/>
        <w:rPr>
          <w:szCs w:val="24"/>
          <w:lang w:eastAsia="pt-BR"/>
        </w:rPr>
      </w:pPr>
      <m:oMath>
        <m:r>
          <w:rPr>
            <w:rFonts w:ascii="Cambria Math" w:eastAsia="Times New Roman" w:hAnsi="Cambria Math"/>
            <w:szCs w:val="24"/>
          </w:rPr>
          <m:t xml:space="preserve"> </m:t>
        </m:r>
        <m:r>
          <m:rPr>
            <m:sty m:val="p"/>
          </m:rPr>
          <w:rPr>
            <w:rFonts w:ascii="Cambria Math" w:eastAsia="Times New Roman" w:hAnsi="Cambria Math"/>
            <w:szCs w:val="24"/>
          </w:rPr>
          <m:t>ISE</m:t>
        </m:r>
        <m:r>
          <w:rPr>
            <w:rFonts w:ascii="Cambria Math" w:eastAsia="Times New Roman" w:hAnsi="Cambria Math"/>
            <w:szCs w:val="24"/>
          </w:rPr>
          <m:t>=</m:t>
        </m:r>
        <m:f>
          <m:fPr>
            <m:ctrlPr>
              <w:rPr>
                <w:rFonts w:ascii="Cambria Math" w:eastAsia="Times New Roman" w:hAnsi="Cambria Math"/>
                <w:i/>
                <w:iCs/>
                <w:szCs w:val="24"/>
                <w:lang w:val="en-US"/>
              </w:rPr>
            </m:ctrlPr>
          </m:fPr>
          <m:num>
            <m:r>
              <m:rPr>
                <m:sty m:val="p"/>
              </m:rPr>
              <w:rPr>
                <w:rFonts w:ascii="Cambria Math" w:eastAsia="Times New Roman" w:hAnsi="Cambria Math"/>
                <w:szCs w:val="24"/>
              </w:rPr>
              <m:t>CV</m:t>
            </m:r>
            <m:r>
              <m:rPr>
                <m:sty m:val="p"/>
              </m:rPr>
              <w:rPr>
                <w:rFonts w:ascii="Cambria Math" w:eastAsia="Times New Roman" w:hAnsi="Cambria Math"/>
                <w:szCs w:val="24"/>
                <w:lang w:val="el-GR"/>
              </w:rPr>
              <m:t>Δ</m:t>
            </m:r>
            <m:r>
              <m:rPr>
                <m:sty m:val="p"/>
              </m:rPr>
              <w:rPr>
                <w:rFonts w:ascii="Cambria Math" w:eastAsia="Times New Roman" w:hAnsi="Cambria Math"/>
                <w:szCs w:val="24"/>
              </w:rPr>
              <m:t>%LL</m:t>
            </m:r>
          </m:num>
          <m:den>
            <m:r>
              <m:rPr>
                <m:sty m:val="p"/>
              </m:rPr>
              <w:rPr>
                <w:rFonts w:ascii="Cambria Math" w:eastAsia="Times New Roman" w:hAnsi="Cambria Math"/>
                <w:szCs w:val="24"/>
              </w:rPr>
              <m:t>CV</m:t>
            </m:r>
            <m:r>
              <m:rPr>
                <m:sty m:val="p"/>
              </m:rPr>
              <w:rPr>
                <w:rFonts w:ascii="Cambria Math" w:eastAsia="Times New Roman" w:hAnsi="Cambria Math"/>
                <w:szCs w:val="24"/>
                <w:lang w:val="el-GR"/>
              </w:rPr>
              <m:t>Δ</m:t>
            </m:r>
            <m:r>
              <m:rPr>
                <m:sty m:val="p"/>
              </m:rPr>
              <w:rPr>
                <w:rFonts w:ascii="Cambria Math" w:eastAsia="Times New Roman" w:hAnsi="Cambria Math"/>
                <w:szCs w:val="24"/>
              </w:rPr>
              <m:t>%V</m:t>
            </m:r>
          </m:den>
        </m:f>
      </m:oMath>
      <w:r w:rsidRPr="00E656E3">
        <w:rPr>
          <w:iCs/>
          <w:szCs w:val="24"/>
        </w:rPr>
        <w:t xml:space="preserve">                                                                 (1)</w:t>
      </w:r>
    </w:p>
    <w:p w14:paraId="11AC83A7" w14:textId="77777777" w:rsidR="0066624B" w:rsidRDefault="0066624B" w:rsidP="00E240B6">
      <w:pPr>
        <w:ind w:firstLine="0"/>
        <w:rPr>
          <w:szCs w:val="24"/>
          <w:lang w:eastAsia="pt-BR"/>
        </w:rPr>
      </w:pPr>
    </w:p>
    <w:p w14:paraId="13162BDC" w14:textId="5C36D2A9" w:rsidR="00B67784" w:rsidRPr="00E656E3" w:rsidRDefault="00B67784" w:rsidP="00E240B6">
      <w:pPr>
        <w:spacing w:after="0"/>
        <w:ind w:firstLine="0"/>
        <w:rPr>
          <w:szCs w:val="24"/>
          <w:lang w:eastAsia="pt-BR"/>
        </w:rPr>
      </w:pPr>
      <w:r w:rsidRPr="00E656E3">
        <w:rPr>
          <w:szCs w:val="24"/>
          <w:lang w:eastAsia="pt-BR"/>
        </w:rPr>
        <w:t>Em que,</w:t>
      </w:r>
      <w:r w:rsidR="00AC7FB8" w:rsidRPr="00AC7FB8">
        <w:rPr>
          <w:szCs w:val="24"/>
          <w:lang w:eastAsia="pt-BR"/>
        </w:rPr>
        <w:t xml:space="preserve"> </w:t>
      </w:r>
      <w:r w:rsidR="00AC7FB8" w:rsidRPr="00E656E3">
        <w:rPr>
          <w:szCs w:val="24"/>
          <w:lang w:eastAsia="pt-BR"/>
        </w:rPr>
        <w:t>ISE = Índice de Suavização pela métrica de Eckel (1981);</w:t>
      </w:r>
      <w:r w:rsidR="00AC7FB8" w:rsidRPr="00AC7FB8">
        <w:rPr>
          <w:szCs w:val="24"/>
          <w:lang w:eastAsia="pt-BR"/>
        </w:rPr>
        <w:t xml:space="preserve"> </w:t>
      </w:r>
      <w:r w:rsidR="00AC7FB8" w:rsidRPr="00E656E3">
        <w:rPr>
          <w:szCs w:val="24"/>
          <w:lang w:eastAsia="pt-BR"/>
        </w:rPr>
        <w:t>CVΔ%LL = Coeficiente de variação do lucro líquido em percentual;</w:t>
      </w:r>
      <w:r w:rsidR="00AC7FB8" w:rsidRPr="00AC7FB8">
        <w:rPr>
          <w:szCs w:val="24"/>
          <w:lang w:eastAsia="pt-BR"/>
        </w:rPr>
        <w:t xml:space="preserve"> </w:t>
      </w:r>
      <w:r w:rsidR="00AC7FB8" w:rsidRPr="00E656E3">
        <w:rPr>
          <w:szCs w:val="24"/>
          <w:lang w:eastAsia="pt-BR"/>
        </w:rPr>
        <w:t>CVΔ%V = Coeficiente de variação das vendas em percentual;</w:t>
      </w:r>
    </w:p>
    <w:p w14:paraId="33330618" w14:textId="59C61E15" w:rsidR="00B67784" w:rsidRPr="00E656E3" w:rsidRDefault="00B67784" w:rsidP="00E240B6">
      <w:pPr>
        <w:spacing w:after="0"/>
        <w:ind w:firstLine="708"/>
        <w:rPr>
          <w:szCs w:val="24"/>
          <w:lang w:eastAsia="pt-BR"/>
        </w:rPr>
      </w:pPr>
      <w:r w:rsidRPr="00E656E3">
        <w:rPr>
          <w:szCs w:val="24"/>
          <w:lang w:eastAsia="pt-BR"/>
        </w:rPr>
        <w:tab/>
        <w:t xml:space="preserve">Para Castro e Martinez (2009) se os resultados encontrados para ISE forem inferiores a 1 (um) em valor absoluto, demonstram a presença de suavização de resultados, tendo em vista que o coeficiente de variação dos lucros seria menor que ao das vendas e que os gestores estariam suavizando resultados de maneira intencional. </w:t>
      </w:r>
      <w:r w:rsidR="00DB2E90">
        <w:rPr>
          <w:szCs w:val="24"/>
          <w:lang w:eastAsia="pt-BR"/>
        </w:rPr>
        <w:t xml:space="preserve">Em </w:t>
      </w:r>
      <w:r w:rsidR="00DB2E90" w:rsidRPr="00E656E3">
        <w:rPr>
          <w:szCs w:val="24"/>
          <w:lang w:eastAsia="pt-BR"/>
        </w:rPr>
        <w:t>estudos</w:t>
      </w:r>
      <w:r w:rsidRPr="00E656E3">
        <w:rPr>
          <w:szCs w:val="24"/>
          <w:lang w:eastAsia="pt-BR"/>
        </w:rPr>
        <w:t xml:space="preserve"> anteriores (</w:t>
      </w:r>
      <w:r w:rsidR="0066624B" w:rsidRPr="00E656E3">
        <w:rPr>
          <w:szCs w:val="24"/>
          <w:lang w:eastAsia="pt-BR"/>
        </w:rPr>
        <w:t>MICHELSON</w:t>
      </w:r>
      <w:r w:rsidR="0066624B">
        <w:rPr>
          <w:szCs w:val="24"/>
          <w:lang w:eastAsia="pt-BR"/>
        </w:rPr>
        <w:t>;</w:t>
      </w:r>
      <w:r w:rsidR="0066624B" w:rsidRPr="00E656E3">
        <w:rPr>
          <w:szCs w:val="24"/>
          <w:lang w:eastAsia="pt-BR"/>
        </w:rPr>
        <w:t xml:space="preserve"> JORDAN-WAGNER</w:t>
      </w:r>
      <w:r w:rsidR="0066624B">
        <w:rPr>
          <w:szCs w:val="24"/>
          <w:lang w:eastAsia="pt-BR"/>
        </w:rPr>
        <w:t>;</w:t>
      </w:r>
      <w:r w:rsidR="0066624B" w:rsidRPr="00E656E3">
        <w:rPr>
          <w:szCs w:val="24"/>
          <w:lang w:eastAsia="pt-BR"/>
        </w:rPr>
        <w:t xml:space="preserve"> WOOTTON, 1995; BOOTH</w:t>
      </w:r>
      <w:r w:rsidR="0066624B">
        <w:rPr>
          <w:szCs w:val="24"/>
          <w:lang w:eastAsia="pt-BR"/>
        </w:rPr>
        <w:t>; KALLUNKI;</w:t>
      </w:r>
      <w:r w:rsidR="0066624B" w:rsidRPr="00E656E3">
        <w:rPr>
          <w:szCs w:val="24"/>
          <w:lang w:eastAsia="pt-BR"/>
        </w:rPr>
        <w:t xml:space="preserve"> MARTIKAINEN, 1996; BAO</w:t>
      </w:r>
      <w:r w:rsidR="0066624B">
        <w:rPr>
          <w:szCs w:val="24"/>
          <w:lang w:eastAsia="pt-BR"/>
        </w:rPr>
        <w:t>;</w:t>
      </w:r>
      <w:r w:rsidR="0066624B" w:rsidRPr="00E656E3">
        <w:rPr>
          <w:szCs w:val="24"/>
          <w:lang w:eastAsia="pt-BR"/>
        </w:rPr>
        <w:t xml:space="preserve"> BAO, 2004; CASTRO</w:t>
      </w:r>
      <w:r w:rsidR="0066624B">
        <w:rPr>
          <w:szCs w:val="24"/>
          <w:lang w:eastAsia="pt-BR"/>
        </w:rPr>
        <w:t>;</w:t>
      </w:r>
      <w:r w:rsidR="0066624B" w:rsidRPr="00E656E3">
        <w:rPr>
          <w:szCs w:val="24"/>
          <w:lang w:eastAsia="pt-BR"/>
        </w:rPr>
        <w:t xml:space="preserve"> MARTINEZ, 2009; TONIN, 201</w:t>
      </w:r>
      <w:r w:rsidRPr="00E656E3">
        <w:rPr>
          <w:szCs w:val="24"/>
          <w:lang w:eastAsia="pt-BR"/>
        </w:rPr>
        <w:t xml:space="preserve">2) as </w:t>
      </w:r>
      <w:r w:rsidR="00DB2E90" w:rsidRPr="00E656E3">
        <w:rPr>
          <w:szCs w:val="24"/>
          <w:lang w:eastAsia="pt-BR"/>
        </w:rPr>
        <w:t>empresas são</w:t>
      </w:r>
      <w:r w:rsidR="009822E0">
        <w:rPr>
          <w:szCs w:val="24"/>
          <w:lang w:eastAsia="pt-BR"/>
        </w:rPr>
        <w:t xml:space="preserve"> </w:t>
      </w:r>
      <w:r w:rsidRPr="00E656E3">
        <w:rPr>
          <w:szCs w:val="24"/>
          <w:lang w:eastAsia="pt-BR"/>
        </w:rPr>
        <w:t xml:space="preserve">segregadas de maneira qualitativa sendo que </w:t>
      </w:r>
      <w:r w:rsidR="009822E0">
        <w:rPr>
          <w:szCs w:val="24"/>
          <w:lang w:eastAsia="pt-BR"/>
        </w:rPr>
        <w:t xml:space="preserve">as </w:t>
      </w:r>
      <w:r w:rsidRPr="00E656E3">
        <w:rPr>
          <w:szCs w:val="24"/>
          <w:lang w:eastAsia="pt-BR"/>
        </w:rPr>
        <w:t xml:space="preserve">empresas com coeficientes abaixo de 1 (um) </w:t>
      </w:r>
      <w:r w:rsidR="00DB2E90">
        <w:rPr>
          <w:szCs w:val="24"/>
          <w:lang w:eastAsia="pt-BR"/>
        </w:rPr>
        <w:t xml:space="preserve">são </w:t>
      </w:r>
      <w:r w:rsidR="00DB2E90" w:rsidRPr="00E656E3">
        <w:rPr>
          <w:szCs w:val="24"/>
          <w:lang w:eastAsia="pt-BR"/>
        </w:rPr>
        <w:t>consideradas</w:t>
      </w:r>
      <w:r w:rsidRPr="00E656E3">
        <w:rPr>
          <w:szCs w:val="24"/>
          <w:lang w:eastAsia="pt-BR"/>
        </w:rPr>
        <w:t xml:space="preserve"> como suavizadoras e superior como não suavizadoras.  </w:t>
      </w:r>
    </w:p>
    <w:p w14:paraId="477DA7D3" w14:textId="0A26D8F5" w:rsidR="00B67784" w:rsidRDefault="009822E0" w:rsidP="00E240B6">
      <w:pPr>
        <w:spacing w:after="0"/>
        <w:ind w:firstLine="708"/>
        <w:rPr>
          <w:szCs w:val="24"/>
          <w:lang w:eastAsia="pt-BR"/>
        </w:rPr>
      </w:pPr>
      <w:r>
        <w:rPr>
          <w:szCs w:val="24"/>
          <w:lang w:eastAsia="pt-BR"/>
        </w:rPr>
        <w:lastRenderedPageBreak/>
        <w:t xml:space="preserve"> </w:t>
      </w:r>
      <w:r w:rsidR="00DB2E90">
        <w:rPr>
          <w:szCs w:val="24"/>
          <w:lang w:eastAsia="pt-BR"/>
        </w:rPr>
        <w:t xml:space="preserve">Neste </w:t>
      </w:r>
      <w:r w:rsidR="00DB2E90" w:rsidRPr="00E656E3">
        <w:rPr>
          <w:szCs w:val="24"/>
          <w:lang w:eastAsia="pt-BR"/>
        </w:rPr>
        <w:t>estudo</w:t>
      </w:r>
      <w:r w:rsidR="00B67784" w:rsidRPr="00E656E3">
        <w:rPr>
          <w:szCs w:val="24"/>
          <w:lang w:eastAsia="pt-BR"/>
        </w:rPr>
        <w:t xml:space="preserve"> </w:t>
      </w:r>
      <w:r>
        <w:rPr>
          <w:szCs w:val="24"/>
          <w:lang w:eastAsia="pt-BR"/>
        </w:rPr>
        <w:t xml:space="preserve">também </w:t>
      </w:r>
      <w:r w:rsidR="00DB2E90">
        <w:rPr>
          <w:szCs w:val="24"/>
          <w:lang w:eastAsia="pt-BR"/>
        </w:rPr>
        <w:t xml:space="preserve">se </w:t>
      </w:r>
      <w:r w:rsidR="00DB2E90" w:rsidRPr="00E656E3">
        <w:rPr>
          <w:szCs w:val="24"/>
          <w:lang w:eastAsia="pt-BR"/>
        </w:rPr>
        <w:t>utilizam</w:t>
      </w:r>
      <w:r>
        <w:rPr>
          <w:szCs w:val="24"/>
          <w:lang w:eastAsia="pt-BR"/>
        </w:rPr>
        <w:t xml:space="preserve"> </w:t>
      </w:r>
      <w:r w:rsidR="00B67784" w:rsidRPr="00E656E3">
        <w:rPr>
          <w:szCs w:val="24"/>
          <w:lang w:eastAsia="pt-BR"/>
        </w:rPr>
        <w:t>as métricas EM1 e EM3 de Leuz, Nanda e Wysocki (2003)</w:t>
      </w:r>
      <w:r w:rsidR="00DB2E90">
        <w:rPr>
          <w:szCs w:val="24"/>
          <w:lang w:eastAsia="pt-BR"/>
        </w:rPr>
        <w:t>.</w:t>
      </w:r>
      <w:r>
        <w:rPr>
          <w:szCs w:val="24"/>
          <w:lang w:eastAsia="pt-BR"/>
        </w:rPr>
        <w:t xml:space="preserve"> </w:t>
      </w:r>
      <w:r w:rsidR="00B67784" w:rsidRPr="00E656E3">
        <w:rPr>
          <w:szCs w:val="24"/>
          <w:lang w:eastAsia="pt-BR"/>
        </w:rPr>
        <w:t>A primeira métrica (EM1) tem por objetivo verificar as variações no desempenho econômico e escolhas da divulgação de informação financeira. As variações são representadas pela razão do desvio-padrão do Lucro Operacional pelo desvio-padrão do Fluxo de Caixa Operacional, ambos divididos pelos ativos totais do período anterior</w:t>
      </w:r>
      <w:r w:rsidR="009E4460" w:rsidRPr="00E656E3">
        <w:rPr>
          <w:szCs w:val="24"/>
          <w:lang w:eastAsia="pt-BR"/>
        </w:rPr>
        <w:t xml:space="preserve">. </w:t>
      </w:r>
      <w:r>
        <w:rPr>
          <w:szCs w:val="24"/>
          <w:lang w:eastAsia="pt-BR"/>
        </w:rPr>
        <w:t>E</w:t>
      </w:r>
      <w:r w:rsidRPr="00E656E3">
        <w:rPr>
          <w:szCs w:val="24"/>
          <w:lang w:eastAsia="pt-BR"/>
        </w:rPr>
        <w:t>ssa medida informa os níveis que os gestores diminuem a variabilidade dos resultados reportados com a intenção de manter níveis estáveis de desempenho.</w:t>
      </w:r>
    </w:p>
    <w:p w14:paraId="3A9C3314" w14:textId="77777777" w:rsidR="009E4460" w:rsidRPr="00E656E3" w:rsidRDefault="009E4460" w:rsidP="00E240B6">
      <w:pPr>
        <w:spacing w:after="0"/>
        <w:ind w:firstLine="708"/>
        <w:rPr>
          <w:szCs w:val="24"/>
          <w:lang w:eastAsia="pt-BR"/>
        </w:rPr>
      </w:pPr>
    </w:p>
    <w:p w14:paraId="2AD87A10" w14:textId="1ED6C6FB" w:rsidR="009E4460" w:rsidRDefault="00B67784" w:rsidP="006C63EB">
      <w:pPr>
        <w:ind w:firstLine="708"/>
        <w:jc w:val="right"/>
        <w:rPr>
          <w:szCs w:val="24"/>
          <w:lang w:eastAsia="pt-BR"/>
        </w:rPr>
      </w:pPr>
      <m:oMath>
        <m:r>
          <m:rPr>
            <m:sty m:val="p"/>
          </m:rPr>
          <w:rPr>
            <w:rFonts w:ascii="Cambria Math" w:eastAsia="Times New Roman" w:hAnsi="Cambria Math"/>
            <w:szCs w:val="24"/>
          </w:rPr>
          <m:t>EM1=</m:t>
        </m:r>
        <m:f>
          <m:fPr>
            <m:ctrlPr>
              <w:rPr>
                <w:rFonts w:ascii="Cambria Math" w:eastAsia="Times New Roman" w:hAnsi="Cambria Math"/>
                <w:iCs/>
                <w:szCs w:val="24"/>
                <w:lang w:val="en-US"/>
              </w:rPr>
            </m:ctrlPr>
          </m:fPr>
          <m:num>
            <m:r>
              <m:rPr>
                <m:sty m:val="p"/>
              </m:rPr>
              <w:rPr>
                <w:rFonts w:ascii="Cambria Math" w:eastAsia="Times New Roman" w:hAnsi="Cambria Math"/>
                <w:szCs w:val="24"/>
                <w:lang w:val="el-GR"/>
              </w:rPr>
              <m:t>σ</m:t>
            </m:r>
            <m:r>
              <m:rPr>
                <m:sty m:val="p"/>
              </m:rPr>
              <w:rPr>
                <w:rFonts w:ascii="Cambria Math" w:eastAsia="Times New Roman" w:hAnsi="Cambria Math"/>
                <w:szCs w:val="24"/>
              </w:rPr>
              <m:t>(LOp)</m:t>
            </m:r>
          </m:num>
          <m:den>
            <m:r>
              <m:rPr>
                <m:sty m:val="p"/>
              </m:rPr>
              <w:rPr>
                <w:rFonts w:ascii="Cambria Math" w:eastAsia="Times New Roman" w:hAnsi="Cambria Math"/>
                <w:szCs w:val="24"/>
                <w:lang w:val="el-GR"/>
              </w:rPr>
              <m:t>σ</m:t>
            </m:r>
            <m:r>
              <m:rPr>
                <m:sty m:val="p"/>
              </m:rPr>
              <w:rPr>
                <w:rFonts w:ascii="Cambria Math" w:eastAsia="Times New Roman" w:hAnsi="Cambria Math"/>
                <w:szCs w:val="24"/>
              </w:rPr>
              <m:t>(FCO)</m:t>
            </m:r>
          </m:den>
        </m:f>
      </m:oMath>
      <w:r w:rsidRPr="00E656E3">
        <w:rPr>
          <w:iCs/>
          <w:szCs w:val="24"/>
        </w:rPr>
        <w:t xml:space="preserve">                                                           (2)</w:t>
      </w:r>
    </w:p>
    <w:p w14:paraId="309C3AB0" w14:textId="77777777" w:rsidR="006C63EB" w:rsidRDefault="006C63EB" w:rsidP="006C63EB">
      <w:pPr>
        <w:ind w:firstLine="708"/>
        <w:jc w:val="right"/>
        <w:rPr>
          <w:szCs w:val="24"/>
          <w:lang w:eastAsia="pt-BR"/>
        </w:rPr>
      </w:pPr>
    </w:p>
    <w:p w14:paraId="0F1F5225" w14:textId="77777777" w:rsidR="00DB2E90" w:rsidRDefault="00B67784" w:rsidP="00DB2E90">
      <w:pPr>
        <w:spacing w:after="0"/>
        <w:ind w:firstLine="0"/>
        <w:jc w:val="left"/>
        <w:rPr>
          <w:szCs w:val="24"/>
          <w:lang w:eastAsia="pt-BR"/>
        </w:rPr>
      </w:pPr>
      <w:r w:rsidRPr="00E656E3">
        <w:rPr>
          <w:szCs w:val="24"/>
          <w:lang w:eastAsia="pt-BR"/>
        </w:rPr>
        <w:t>Em que,</w:t>
      </w:r>
      <w:r w:rsidR="00AC7FB8" w:rsidRPr="00AC7FB8">
        <w:rPr>
          <w:szCs w:val="24"/>
          <w:lang w:eastAsia="pt-BR"/>
        </w:rPr>
        <w:t xml:space="preserve"> </w:t>
      </w:r>
      <w:r w:rsidR="00AC7FB8" w:rsidRPr="00E656E3">
        <w:rPr>
          <w:szCs w:val="24"/>
          <w:lang w:eastAsia="pt-BR"/>
        </w:rPr>
        <w:t>EM1 = Métrica de suavização nº 1;</w:t>
      </w:r>
      <w:r w:rsidR="00AC7FB8" w:rsidRPr="00AC7FB8">
        <w:rPr>
          <w:szCs w:val="24"/>
          <w:lang w:eastAsia="pt-BR"/>
        </w:rPr>
        <w:t xml:space="preserve"> </w:t>
      </w:r>
      <w:r w:rsidR="00AC7FB8" w:rsidRPr="00E656E3">
        <w:rPr>
          <w:szCs w:val="24"/>
          <w:lang w:eastAsia="pt-BR"/>
        </w:rPr>
        <w:t>σ (LOp) = desvio-padrão do lucro operacional;</w:t>
      </w:r>
      <w:r w:rsidR="00AC7FB8" w:rsidRPr="00AC7FB8">
        <w:rPr>
          <w:szCs w:val="24"/>
          <w:lang w:eastAsia="pt-BR"/>
        </w:rPr>
        <w:t xml:space="preserve"> </w:t>
      </w:r>
      <w:r w:rsidR="00AC7FB8" w:rsidRPr="00E656E3">
        <w:rPr>
          <w:szCs w:val="24"/>
          <w:lang w:eastAsia="pt-BR"/>
        </w:rPr>
        <w:t>σ (CFO) = desvio-padrão do fluxo de caixa operacional.</w:t>
      </w:r>
    </w:p>
    <w:p w14:paraId="221E404C" w14:textId="6C3BBA1D" w:rsidR="00B67784" w:rsidRDefault="00DB2E90" w:rsidP="00DB2E90">
      <w:pPr>
        <w:spacing w:after="0"/>
        <w:ind w:firstLine="708"/>
        <w:jc w:val="left"/>
        <w:rPr>
          <w:szCs w:val="24"/>
          <w:lang w:eastAsia="pt-BR"/>
        </w:rPr>
      </w:pPr>
      <w:r>
        <w:rPr>
          <w:szCs w:val="24"/>
          <w:lang w:eastAsia="pt-BR"/>
        </w:rPr>
        <w:t>A</w:t>
      </w:r>
      <w:r w:rsidR="00B67784" w:rsidRPr="00E656E3">
        <w:rPr>
          <w:szCs w:val="24"/>
          <w:lang w:eastAsia="pt-BR"/>
        </w:rPr>
        <w:t xml:space="preserve"> métrica (EM3) tem por objetivo detectar o poder discricionário dos gestores na divulgação dos resultados, utilizando a magnitude dos </w:t>
      </w:r>
      <w:r w:rsidR="00B67784" w:rsidRPr="00E656E3">
        <w:rPr>
          <w:i/>
          <w:szCs w:val="24"/>
          <w:lang w:eastAsia="pt-BR"/>
        </w:rPr>
        <w:t xml:space="preserve">accruals </w:t>
      </w:r>
      <w:r w:rsidR="00B67784" w:rsidRPr="00E656E3">
        <w:rPr>
          <w:szCs w:val="24"/>
          <w:lang w:eastAsia="pt-BR"/>
        </w:rPr>
        <w:t>como indicativo para suavização</w:t>
      </w:r>
      <w:r w:rsidR="009822E0">
        <w:rPr>
          <w:szCs w:val="24"/>
          <w:lang w:eastAsia="pt-BR"/>
        </w:rPr>
        <w:t>.</w:t>
      </w:r>
      <w:r w:rsidR="00B67784" w:rsidRPr="00E656E3">
        <w:rPr>
          <w:szCs w:val="24"/>
          <w:lang w:eastAsia="pt-BR"/>
        </w:rPr>
        <w:t xml:space="preserve"> </w:t>
      </w:r>
      <w:r w:rsidR="009822E0" w:rsidRPr="009822E0">
        <w:rPr>
          <w:szCs w:val="24"/>
          <w:lang w:eastAsia="pt-BR"/>
        </w:rPr>
        <w:t xml:space="preserve"> </w:t>
      </w:r>
      <w:r w:rsidR="009822E0">
        <w:rPr>
          <w:szCs w:val="24"/>
          <w:lang w:eastAsia="pt-BR"/>
        </w:rPr>
        <w:t xml:space="preserve">Essa </w:t>
      </w:r>
      <w:r w:rsidR="005E6EC6" w:rsidRPr="00E656E3">
        <w:rPr>
          <w:szCs w:val="24"/>
          <w:lang w:eastAsia="pt-BR"/>
        </w:rPr>
        <w:t>métrica tem</w:t>
      </w:r>
      <w:r w:rsidR="009822E0" w:rsidRPr="00E656E3">
        <w:rPr>
          <w:szCs w:val="24"/>
          <w:lang w:eastAsia="pt-BR"/>
        </w:rPr>
        <w:t xml:space="preserve"> a capacidade de identificar a discricionariedade dos gestores com o intuito de identificar o desempenho econômico incorreto da empresa</w:t>
      </w:r>
    </w:p>
    <w:p w14:paraId="7D9568EA" w14:textId="77777777" w:rsidR="009E4460" w:rsidRPr="00E656E3" w:rsidRDefault="009E4460" w:rsidP="00E240B6">
      <w:pPr>
        <w:ind w:firstLine="708"/>
        <w:rPr>
          <w:szCs w:val="24"/>
          <w:lang w:eastAsia="pt-BR"/>
        </w:rPr>
      </w:pPr>
    </w:p>
    <w:p w14:paraId="67E6D9E2" w14:textId="77777777" w:rsidR="00B67784" w:rsidRPr="00E656E3" w:rsidRDefault="00B67784" w:rsidP="00E240B6">
      <w:pPr>
        <w:tabs>
          <w:tab w:val="left" w:pos="5835"/>
        </w:tabs>
        <w:ind w:firstLine="708"/>
        <w:jc w:val="right"/>
        <w:rPr>
          <w:szCs w:val="24"/>
          <w:lang w:eastAsia="pt-BR"/>
        </w:rPr>
      </w:pPr>
      <w:r w:rsidRPr="00E656E3">
        <w:rPr>
          <w:noProof/>
          <w:szCs w:val="24"/>
          <w:lang w:eastAsia="pt-BR"/>
        </w:rPr>
        <mc:AlternateContent>
          <mc:Choice Requires="wps">
            <w:drawing>
              <wp:anchor distT="0" distB="0" distL="114300" distR="114300" simplePos="0" relativeHeight="251658240" behindDoc="0" locked="0" layoutInCell="1" allowOverlap="1" wp14:anchorId="7C20D7E2" wp14:editId="1306FD9E">
                <wp:simplePos x="0" y="0"/>
                <wp:positionH relativeFrom="column">
                  <wp:posOffset>2152650</wp:posOffset>
                </wp:positionH>
                <wp:positionV relativeFrom="paragraph">
                  <wp:posOffset>9525</wp:posOffset>
                </wp:positionV>
                <wp:extent cx="1304290" cy="727710"/>
                <wp:effectExtent l="0" t="0" r="13335" b="7620"/>
                <wp:wrapNone/>
                <wp:docPr id="2"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4290" cy="727710"/>
                        </a:xfrm>
                        <a:prstGeom prst="rect">
                          <a:avLst/>
                        </a:prstGeom>
                        <a:noFill/>
                        <a:ln>
                          <a:noFill/>
                        </a:ln>
                        <a:effectLst/>
                      </wps:spPr>
                      <wps:txbx>
                        <w:txbxContent>
                          <w:p w14:paraId="4B6A7E3E" w14:textId="77777777" w:rsidR="001B570D" w:rsidRPr="00F42AF8" w:rsidRDefault="001B570D" w:rsidP="00B67784">
                            <w:pPr>
                              <w:spacing w:after="0"/>
                              <w:rPr>
                                <w:szCs w:val="24"/>
                              </w:rPr>
                            </w:pPr>
                            <m:oMathPara>
                              <m:oMathParaPr>
                                <m:jc m:val="centerGroup"/>
                              </m:oMathParaPr>
                              <m:oMath>
                                <m:r>
                                  <m:rPr>
                                    <m:sty m:val="p"/>
                                  </m:rPr>
                                  <w:rPr>
                                    <w:rFonts w:ascii="Cambria Math" w:hAnsi="Cambria Math"/>
                                    <w:color w:val="000000"/>
                                    <w:lang w:val="en-GB"/>
                                  </w:rPr>
                                  <m:t>EM3=</m:t>
                                </m:r>
                                <m:f>
                                  <m:fPr>
                                    <m:ctrlPr>
                                      <w:rPr>
                                        <w:rFonts w:ascii="Cambria Math" w:eastAsia="Times New Roman" w:hAnsi="Cambria Math"/>
                                        <w:iCs/>
                                        <w:color w:val="000000"/>
                                        <w:szCs w:val="24"/>
                                      </w:rPr>
                                    </m:ctrlPr>
                                  </m:fPr>
                                  <m:num>
                                    <m:r>
                                      <m:rPr>
                                        <m:sty m:val="p"/>
                                      </m:rPr>
                                      <w:rPr>
                                        <w:rFonts w:ascii="Cambria Math" w:hAnsi="Cambria Math"/>
                                        <w:color w:val="000000"/>
                                      </w:rPr>
                                      <m:t>|</m:t>
                                    </m:r>
                                    <m:r>
                                      <m:rPr>
                                        <m:sty m:val="p"/>
                                      </m:rPr>
                                      <w:rPr>
                                        <w:rFonts w:ascii="Cambria Math" w:hAnsi="Cambria Math"/>
                                        <w:color w:val="000000"/>
                                        <w:lang w:val="en-GB"/>
                                      </w:rPr>
                                      <m:t>AT</m:t>
                                    </m:r>
                                    <m:r>
                                      <m:rPr>
                                        <m:sty m:val="p"/>
                                      </m:rPr>
                                      <w:rPr>
                                        <w:rFonts w:ascii="Cambria Math" w:hAnsi="Cambria Math"/>
                                        <w:color w:val="000000"/>
                                        <w:sz w:val="22"/>
                                      </w:rPr>
                                      <m:t>|</m:t>
                                    </m:r>
                                  </m:num>
                                  <m:den>
                                    <m:r>
                                      <m:rPr>
                                        <m:sty m:val="p"/>
                                      </m:rPr>
                                      <w:rPr>
                                        <w:rFonts w:ascii="Cambria Math" w:hAnsi="Cambria Math"/>
                                        <w:color w:val="000000"/>
                                        <w:sz w:val="22"/>
                                      </w:rPr>
                                      <m:t>|</m:t>
                                    </m:r>
                                    <m:r>
                                      <m:rPr>
                                        <m:sty m:val="p"/>
                                      </m:rPr>
                                      <w:rPr>
                                        <w:rFonts w:ascii="Cambria Math" w:hAnsi="Cambria Math"/>
                                        <w:color w:val="000000"/>
                                        <w:lang w:val="en-GB"/>
                                      </w:rPr>
                                      <m:t>FCO</m:t>
                                    </m:r>
                                    <m:r>
                                      <m:rPr>
                                        <m:sty m:val="p"/>
                                      </m:rPr>
                                      <w:rPr>
                                        <w:rFonts w:ascii="Cambria Math" w:hAnsi="Cambria Math"/>
                                        <w:color w:val="000000"/>
                                        <w:sz w:val="22"/>
                                      </w:rPr>
                                      <m:t>|</m:t>
                                    </m:r>
                                  </m:den>
                                </m:f>
                              </m:oMath>
                            </m:oMathPara>
                          </w:p>
                          <w:p w14:paraId="4F79FA3F" w14:textId="77777777" w:rsidR="001B570D" w:rsidRPr="00C9494F" w:rsidRDefault="001B570D" w:rsidP="00B67784">
                            <w:pPr>
                              <w:pStyle w:val="NormalWeb"/>
                              <w:spacing w:before="0" w:beforeAutospacing="0" w:after="0" w:afterAutospacing="0"/>
                            </w:pPr>
                          </w:p>
                        </w:txbxContent>
                      </wps:txbx>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C20D7E2" id="_x0000_t202" coordsize="21600,21600" o:spt="202" path="m,l,21600r21600,l21600,xe">
                <v:stroke joinstyle="miter"/>
                <v:path gradientshapeok="t" o:connecttype="rect"/>
              </v:shapetype>
              <v:shape id="TextBox 3" o:spid="_x0000_s1026" type="#_x0000_t202" style="position:absolute;left:0;text-align:left;margin-left:169.5pt;margin-top:.75pt;width:102.7pt;height:57.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" filled="f" stroked="f">
                <v:path arrowok="t"/>
                <v:textbox style="mso-fit-shape-to-text:t" inset="0,0,0,0">
                  <w:txbxContent>
                    <w:p w14:paraId="4B6A7E3E" w14:textId="77777777" w:rsidR="001B570D" w:rsidRPr="00F42AF8" w:rsidRDefault="001B570D" w:rsidP="00B67784">
                      <w:pPr>
                        <w:spacing w:after="0"/>
                        <w:rPr>
                          <w:szCs w:val="24"/>
                        </w:rPr>
                      </w:pPr>
                      <m:oMathPara>
                        <m:oMathParaPr>
                          <m:jc m:val="centerGroup"/>
                        </m:oMathParaPr>
                        <m:oMath>
                          <m:r>
                            <m:rPr>
                              <m:sty m:val="p"/>
                            </m:rPr>
                            <w:rPr>
                              <w:rFonts w:ascii="Cambria Math" w:hAnsi="Cambria Math"/>
                              <w:color w:val="000000"/>
                              <w:lang w:val="en-GB"/>
                            </w:rPr>
                            <m:t>EM3=</m:t>
                          </m:r>
                          <m:f>
                            <m:fPr>
                              <m:ctrlPr>
                                <w:rPr>
                                  <w:rFonts w:ascii="Cambria Math" w:eastAsia="Times New Roman" w:hAnsi="Cambria Math"/>
                                  <w:iCs/>
                                  <w:color w:val="000000"/>
                                  <w:szCs w:val="24"/>
                                </w:rPr>
                              </m:ctrlPr>
                            </m:fPr>
                            <m:num>
                              <m:r>
                                <m:rPr>
                                  <m:sty m:val="p"/>
                                </m:rPr>
                                <w:rPr>
                                  <w:rFonts w:ascii="Cambria Math" w:hAnsi="Cambria Math"/>
                                  <w:color w:val="000000"/>
                                </w:rPr>
                                <m:t>|</m:t>
                              </m:r>
                              <m:r>
                                <m:rPr>
                                  <m:sty m:val="p"/>
                                </m:rPr>
                                <w:rPr>
                                  <w:rFonts w:ascii="Cambria Math" w:hAnsi="Cambria Math"/>
                                  <w:color w:val="000000"/>
                                  <w:lang w:val="en-GB"/>
                                </w:rPr>
                                <m:t>AT</m:t>
                              </m:r>
                              <m:r>
                                <m:rPr>
                                  <m:sty m:val="p"/>
                                </m:rPr>
                                <w:rPr>
                                  <w:rFonts w:ascii="Cambria Math" w:hAnsi="Cambria Math"/>
                                  <w:color w:val="000000"/>
                                  <w:sz w:val="22"/>
                                </w:rPr>
                                <m:t>|</m:t>
                              </m:r>
                            </m:num>
                            <m:den>
                              <m:r>
                                <m:rPr>
                                  <m:sty m:val="p"/>
                                </m:rPr>
                                <w:rPr>
                                  <w:rFonts w:ascii="Cambria Math" w:hAnsi="Cambria Math"/>
                                  <w:color w:val="000000"/>
                                  <w:sz w:val="22"/>
                                </w:rPr>
                                <m:t>|</m:t>
                              </m:r>
                              <m:r>
                                <m:rPr>
                                  <m:sty m:val="p"/>
                                </m:rPr>
                                <w:rPr>
                                  <w:rFonts w:ascii="Cambria Math" w:hAnsi="Cambria Math"/>
                                  <w:color w:val="000000"/>
                                  <w:lang w:val="en-GB"/>
                                </w:rPr>
                                <m:t>FCO</m:t>
                              </m:r>
                              <m:r>
                                <m:rPr>
                                  <m:sty m:val="p"/>
                                </m:rPr>
                                <w:rPr>
                                  <w:rFonts w:ascii="Cambria Math" w:hAnsi="Cambria Math"/>
                                  <w:color w:val="000000"/>
                                  <w:sz w:val="22"/>
                                </w:rPr>
                                <m:t>|</m:t>
                              </m:r>
                            </m:den>
                          </m:f>
                        </m:oMath>
                      </m:oMathPara>
                    </w:p>
                    <w:p w14:paraId="4F79FA3F" w14:textId="77777777" w:rsidR="001B570D" w:rsidRPr="00C9494F" w:rsidRDefault="001B570D" w:rsidP="00B67784">
                      <w:pPr>
                        <w:pStyle w:val="NormalWeb"/>
                        <w:spacing w:before="0" w:beforeAutospacing="0" w:after="0" w:afterAutospacing="0"/>
                      </w:pPr>
                    </w:p>
                  </w:txbxContent>
                </v:textbox>
              </v:shape>
            </w:pict>
          </mc:Fallback>
        </mc:AlternateContent>
      </w:r>
      <w:r w:rsidRPr="00E656E3">
        <w:rPr>
          <w:szCs w:val="24"/>
          <w:lang w:eastAsia="pt-BR"/>
        </w:rPr>
        <w:tab/>
        <w:t>(3)</w:t>
      </w:r>
    </w:p>
    <w:p w14:paraId="67E6DDC5" w14:textId="77777777" w:rsidR="006C63EB" w:rsidRDefault="006C63EB" w:rsidP="005E6EC6">
      <w:pPr>
        <w:spacing w:after="0"/>
        <w:ind w:firstLine="0"/>
        <w:rPr>
          <w:szCs w:val="24"/>
          <w:lang w:eastAsia="pt-BR"/>
        </w:rPr>
      </w:pPr>
    </w:p>
    <w:p w14:paraId="29F99173" w14:textId="77777777" w:rsidR="005E6EC6" w:rsidRDefault="00B67784" w:rsidP="005E6EC6">
      <w:pPr>
        <w:spacing w:after="0"/>
        <w:ind w:firstLine="0"/>
        <w:rPr>
          <w:szCs w:val="24"/>
          <w:lang w:eastAsia="pt-BR"/>
        </w:rPr>
      </w:pPr>
      <w:r w:rsidRPr="00E656E3">
        <w:rPr>
          <w:szCs w:val="24"/>
          <w:lang w:eastAsia="pt-BR"/>
        </w:rPr>
        <w:t>Em que,</w:t>
      </w:r>
      <w:r w:rsidR="00AC7FB8" w:rsidRPr="00AC7FB8">
        <w:rPr>
          <w:szCs w:val="24"/>
          <w:lang w:eastAsia="pt-BR"/>
        </w:rPr>
        <w:t xml:space="preserve"> </w:t>
      </w:r>
      <w:r w:rsidR="00AC7FB8" w:rsidRPr="00E656E3">
        <w:rPr>
          <w:szCs w:val="24"/>
          <w:lang w:eastAsia="pt-BR"/>
        </w:rPr>
        <w:t>EM3 = Métrica nº 3 de suavização de resultados;</w:t>
      </w:r>
      <w:r w:rsidR="00AC7FB8" w:rsidRPr="00AC7FB8">
        <w:rPr>
          <w:szCs w:val="24"/>
          <w:lang w:eastAsia="pt-BR"/>
        </w:rPr>
        <w:t xml:space="preserve"> </w:t>
      </w:r>
      <w:r w:rsidR="00AC7FB8" w:rsidRPr="00E656E3">
        <w:rPr>
          <w:szCs w:val="24"/>
          <w:lang w:eastAsia="pt-BR"/>
        </w:rPr>
        <w:t xml:space="preserve">AT = valor absoluto dos </w:t>
      </w:r>
      <w:r w:rsidR="00AC7FB8" w:rsidRPr="00E656E3">
        <w:rPr>
          <w:i/>
          <w:szCs w:val="24"/>
          <w:lang w:eastAsia="pt-BR"/>
        </w:rPr>
        <w:t>accruals</w:t>
      </w:r>
      <w:r w:rsidR="00AC7FB8" w:rsidRPr="00E656E3">
        <w:rPr>
          <w:szCs w:val="24"/>
          <w:lang w:eastAsia="pt-BR"/>
        </w:rPr>
        <w:t xml:space="preserve"> totais em tempo t;</w:t>
      </w:r>
      <w:r w:rsidR="00AC7FB8" w:rsidRPr="00AC7FB8">
        <w:rPr>
          <w:szCs w:val="24"/>
          <w:lang w:eastAsia="pt-BR"/>
        </w:rPr>
        <w:t xml:space="preserve"> </w:t>
      </w:r>
      <w:r w:rsidR="00AC7FB8" w:rsidRPr="00E656E3">
        <w:rPr>
          <w:szCs w:val="24"/>
          <w:lang w:eastAsia="pt-BR"/>
        </w:rPr>
        <w:t>FCO = valor absoluto do fluxo de caixa operacional em tempo t.</w:t>
      </w:r>
      <w:r w:rsidRPr="00E656E3">
        <w:rPr>
          <w:szCs w:val="24"/>
          <w:lang w:eastAsia="pt-BR"/>
        </w:rPr>
        <w:t xml:space="preserve"> </w:t>
      </w:r>
      <w:r w:rsidR="009822E0">
        <w:rPr>
          <w:szCs w:val="24"/>
          <w:lang w:eastAsia="pt-BR"/>
        </w:rPr>
        <w:t xml:space="preserve"> </w:t>
      </w:r>
      <w:r w:rsidR="006D7B41">
        <w:rPr>
          <w:szCs w:val="24"/>
          <w:lang w:eastAsia="pt-BR"/>
        </w:rPr>
        <w:t xml:space="preserve"> </w:t>
      </w:r>
      <w:bookmarkEnd w:id="10"/>
    </w:p>
    <w:p w14:paraId="350A2B29" w14:textId="77777777" w:rsidR="003D6D5D" w:rsidRDefault="0063719B" w:rsidP="003D6D5D">
      <w:pPr>
        <w:spacing w:after="0"/>
        <w:ind w:firstLine="720"/>
        <w:rPr>
          <w:szCs w:val="24"/>
        </w:rPr>
      </w:pPr>
      <w:r w:rsidRPr="00E656E3">
        <w:rPr>
          <w:szCs w:val="24"/>
        </w:rPr>
        <w:t>A população alvo da pesquisa compreende as companhias paranaenses de economia mista não financeiras, e que apresentaram as informações completas para o cálculo dos modelos de Suavização de Resultados de Eckel (1981) e Leuz, Nanda e Wysocki (2003) no período de 2010 a 2013.</w:t>
      </w:r>
      <w:r w:rsidR="002C5E86">
        <w:rPr>
          <w:szCs w:val="24"/>
        </w:rPr>
        <w:t xml:space="preserve"> O período foi selecionado com base na acessibilidade dos dados, </w:t>
      </w:r>
      <w:r w:rsidR="009822E0">
        <w:rPr>
          <w:szCs w:val="24"/>
        </w:rPr>
        <w:t xml:space="preserve">e </w:t>
      </w:r>
      <w:r w:rsidR="002C5E86">
        <w:rPr>
          <w:szCs w:val="24"/>
        </w:rPr>
        <w:t xml:space="preserve">a coleta de dados acorreu de julho </w:t>
      </w:r>
      <w:r w:rsidR="00764396">
        <w:rPr>
          <w:szCs w:val="24"/>
        </w:rPr>
        <w:t>ao dezembro de 2014</w:t>
      </w:r>
      <w:r w:rsidR="002C5E86">
        <w:rPr>
          <w:szCs w:val="24"/>
        </w:rPr>
        <w:t>.</w:t>
      </w:r>
      <w:r w:rsidR="005229F7">
        <w:rPr>
          <w:szCs w:val="24"/>
        </w:rPr>
        <w:t xml:space="preserve"> A data de início do estudo é ano de 2010</w:t>
      </w:r>
      <w:r w:rsidR="009822E0">
        <w:rPr>
          <w:szCs w:val="24"/>
        </w:rPr>
        <w:t xml:space="preserve"> </w:t>
      </w:r>
      <w:r w:rsidR="00764396">
        <w:rPr>
          <w:szCs w:val="24"/>
        </w:rPr>
        <w:t>coincide com</w:t>
      </w:r>
      <w:r w:rsidR="009822E0">
        <w:rPr>
          <w:szCs w:val="24"/>
        </w:rPr>
        <w:t xml:space="preserve"> o período em que </w:t>
      </w:r>
      <w:r w:rsidR="005229F7">
        <w:rPr>
          <w:szCs w:val="24"/>
        </w:rPr>
        <w:t>as Empresas de Economia Mista passaram a adotar plenamente as Normais Internacionais de Contabilidade.</w:t>
      </w:r>
      <w:r w:rsidRPr="00E656E3">
        <w:rPr>
          <w:szCs w:val="24"/>
        </w:rPr>
        <w:t xml:space="preserve"> A amostragem é intencional e não probabilística</w:t>
      </w:r>
      <w:r w:rsidR="002C5E86">
        <w:rPr>
          <w:szCs w:val="24"/>
        </w:rPr>
        <w:t>, pois o objetivo é analisar apenas empresas do Estado do Paraná, devido ao acesso dos pesquisadores às informações</w:t>
      </w:r>
      <w:r w:rsidRPr="00E656E3">
        <w:rPr>
          <w:szCs w:val="24"/>
        </w:rPr>
        <w:t>.</w:t>
      </w:r>
      <w:r w:rsidR="003D6D5D">
        <w:rPr>
          <w:szCs w:val="24"/>
        </w:rPr>
        <w:t xml:space="preserve"> </w:t>
      </w:r>
    </w:p>
    <w:p w14:paraId="71B8F56C" w14:textId="579DB525" w:rsidR="009822E0" w:rsidRPr="00E656E3" w:rsidRDefault="003D6D5D" w:rsidP="00B45651">
      <w:pPr>
        <w:spacing w:after="0"/>
        <w:ind w:firstLine="720"/>
        <w:rPr>
          <w:szCs w:val="24"/>
        </w:rPr>
      </w:pPr>
      <w:r>
        <w:rPr>
          <w:szCs w:val="24"/>
        </w:rPr>
        <w:t xml:space="preserve">A população total de empresas de economia mista era de 76 empresas. Desse montante foram excluídas 33 </w:t>
      </w:r>
      <w:r w:rsidR="0063719B" w:rsidRPr="00E656E3">
        <w:rPr>
          <w:szCs w:val="24"/>
        </w:rPr>
        <w:t>empresas que se apresenta</w:t>
      </w:r>
      <w:r w:rsidR="009822E0">
        <w:rPr>
          <w:szCs w:val="24"/>
        </w:rPr>
        <w:t>ra</w:t>
      </w:r>
      <w:r w:rsidR="0063719B" w:rsidRPr="00E656E3">
        <w:rPr>
          <w:szCs w:val="24"/>
        </w:rPr>
        <w:t>m como inativas, em liquidação ou extinção</w:t>
      </w:r>
      <w:r>
        <w:rPr>
          <w:szCs w:val="24"/>
        </w:rPr>
        <w:t xml:space="preserve">, </w:t>
      </w:r>
      <w:r>
        <w:rPr>
          <w:szCs w:val="24"/>
        </w:rPr>
        <w:lastRenderedPageBreak/>
        <w:t xml:space="preserve">7 empresas que não apresentaram informações completas e um </w:t>
      </w:r>
      <w:r w:rsidRPr="003D6D5D">
        <w:rPr>
          <w:i/>
          <w:szCs w:val="24"/>
        </w:rPr>
        <w:t>outlier</w:t>
      </w:r>
      <w:r>
        <w:rPr>
          <w:szCs w:val="24"/>
        </w:rPr>
        <w:t>. Uma empresa de economia mista foi caracterizada como</w:t>
      </w:r>
      <w:r w:rsidR="0063719B" w:rsidRPr="00E656E3">
        <w:rPr>
          <w:szCs w:val="24"/>
        </w:rPr>
        <w:t xml:space="preserve"> instituiç</w:t>
      </w:r>
      <w:r>
        <w:rPr>
          <w:szCs w:val="24"/>
        </w:rPr>
        <w:t>ão financeira</w:t>
      </w:r>
      <w:r w:rsidR="0063719B" w:rsidRPr="00E656E3">
        <w:rPr>
          <w:szCs w:val="24"/>
        </w:rPr>
        <w:t xml:space="preserve"> </w:t>
      </w:r>
      <w:r>
        <w:rPr>
          <w:szCs w:val="24"/>
        </w:rPr>
        <w:t>e também foi retirada da amostra</w:t>
      </w:r>
      <w:r w:rsidR="0063719B" w:rsidRPr="00E656E3">
        <w:rPr>
          <w:szCs w:val="24"/>
        </w:rPr>
        <w:t xml:space="preserve"> por apresentarem peculiaridades relacionadas </w:t>
      </w:r>
      <w:r w:rsidR="003931C6" w:rsidRPr="00E656E3">
        <w:rPr>
          <w:szCs w:val="24"/>
        </w:rPr>
        <w:t>ás práticas contábeis</w:t>
      </w:r>
      <w:r w:rsidR="0063719B" w:rsidRPr="00E656E3">
        <w:rPr>
          <w:szCs w:val="24"/>
        </w:rPr>
        <w:t>.</w:t>
      </w:r>
      <w:r w:rsidR="00B67784" w:rsidRPr="00E656E3">
        <w:rPr>
          <w:szCs w:val="24"/>
        </w:rPr>
        <w:t xml:space="preserve"> Os relatórios foram coletados por meio do canal eletrônico do Diário Oficial do Estado do Paraná. Os dados para composição do Índice de Divulgação Obrigatória e para o cálculo das variáveis de Suavização de Resultados e de controle foram obtidos diretamente </w:t>
      </w:r>
      <w:r w:rsidR="000C5A2F">
        <w:rPr>
          <w:szCs w:val="24"/>
        </w:rPr>
        <w:t xml:space="preserve">nas Demonstrações Financeiras. </w:t>
      </w:r>
    </w:p>
    <w:p w14:paraId="67DA17C0" w14:textId="77777777" w:rsidR="0063719B" w:rsidRDefault="0063719B" w:rsidP="006F0933">
      <w:pPr>
        <w:spacing w:after="0"/>
        <w:ind w:firstLine="708"/>
        <w:rPr>
          <w:szCs w:val="24"/>
        </w:rPr>
      </w:pPr>
      <w:r w:rsidRPr="00E656E3">
        <w:rPr>
          <w:szCs w:val="24"/>
        </w:rPr>
        <w:tab/>
        <w:t>Estudos sobre a divulgação de informações compulsórias</w:t>
      </w:r>
      <w:r w:rsidRPr="00E656E3" w:rsidDel="00867CB7">
        <w:rPr>
          <w:szCs w:val="24"/>
        </w:rPr>
        <w:t xml:space="preserve"> </w:t>
      </w:r>
      <w:r w:rsidRPr="00E656E3">
        <w:rPr>
          <w:szCs w:val="24"/>
        </w:rPr>
        <w:t xml:space="preserve">têm utilizado, principalmente, índices construídos pelos pesquisadores para medir os níveis de evidenciação obrigatória </w:t>
      </w:r>
      <w:r w:rsidR="00B0604A" w:rsidRPr="00E656E3">
        <w:rPr>
          <w:szCs w:val="24"/>
        </w:rPr>
        <w:t>(</w:t>
      </w:r>
      <w:r w:rsidR="000C5A2F" w:rsidRPr="00E656E3">
        <w:rPr>
          <w:szCs w:val="24"/>
        </w:rPr>
        <w:t xml:space="preserve">SOUZA ET AL., 2013, AKMAN, 2011; </w:t>
      </w:r>
      <w:r w:rsidR="000C5A2F" w:rsidRPr="00E656E3">
        <w:rPr>
          <w:szCs w:val="24"/>
          <w:lang w:eastAsia="pt-BR"/>
        </w:rPr>
        <w:t>OWUSU-ANSAH, 1998;</w:t>
      </w:r>
      <w:r w:rsidR="000C5A2F" w:rsidRPr="00E656E3">
        <w:rPr>
          <w:szCs w:val="24"/>
        </w:rPr>
        <w:t xml:space="preserve"> WALLACE; NASER,</w:t>
      </w:r>
      <w:r w:rsidR="00B0604A" w:rsidRPr="00E656E3">
        <w:rPr>
          <w:szCs w:val="24"/>
        </w:rPr>
        <w:t xml:space="preserve"> 1995). </w:t>
      </w:r>
      <w:r w:rsidR="00B67784" w:rsidRPr="00E656E3">
        <w:rPr>
          <w:szCs w:val="24"/>
        </w:rPr>
        <w:t>Um dos problemas deparados na elaboração de um Índice de Divulgação Compulsória diz respeito às alterações de determinados itens que modificaram sua posição de obrigatórios para não obrigatórios ao longo das modificações ocorridas na legislação brasileira. Por essa razão, nesse estudo optou-se por analisar a conformidade das Demonstrações Financeiras com base na Lei 6.404/76 e as alterações promovidas pelas Leis 11.638/07 e 11.941/09, to</w:t>
      </w:r>
      <w:r w:rsidR="006F0933">
        <w:rPr>
          <w:szCs w:val="24"/>
        </w:rPr>
        <w:t xml:space="preserve">talizando 54 itens de análise. </w:t>
      </w:r>
    </w:p>
    <w:p w14:paraId="14029137" w14:textId="01E7C3FB" w:rsidR="00B45651" w:rsidRPr="00783EEE" w:rsidRDefault="00B45651" w:rsidP="00B45651">
      <w:pPr>
        <w:spacing w:after="0"/>
        <w:ind w:firstLine="708"/>
        <w:rPr>
          <w:szCs w:val="24"/>
        </w:rPr>
      </w:pPr>
      <w:r w:rsidRPr="00783EEE">
        <w:rPr>
          <w:szCs w:val="24"/>
        </w:rPr>
        <w:t>Os itens de análise para composição do Índice de Divulgação Compulsória são apresentados no</w:t>
      </w:r>
      <w:r>
        <w:rPr>
          <w:szCs w:val="24"/>
        </w:rPr>
        <w:t>s</w:t>
      </w:r>
      <w:r w:rsidRPr="00783EEE">
        <w:rPr>
          <w:szCs w:val="24"/>
        </w:rPr>
        <w:t xml:space="preserve"> Quadro</w:t>
      </w:r>
      <w:r>
        <w:rPr>
          <w:szCs w:val="24"/>
        </w:rPr>
        <w:t>s</w:t>
      </w:r>
      <w:r w:rsidRPr="00783EEE">
        <w:rPr>
          <w:szCs w:val="24"/>
        </w:rPr>
        <w:t xml:space="preserve"> </w:t>
      </w:r>
      <w:r>
        <w:rPr>
          <w:szCs w:val="24"/>
        </w:rPr>
        <w:t>1</w:t>
      </w:r>
      <w:r w:rsidRPr="00783EEE">
        <w:rPr>
          <w:szCs w:val="24"/>
        </w:rPr>
        <w:t xml:space="preserve">, </w:t>
      </w:r>
      <w:r>
        <w:rPr>
          <w:szCs w:val="24"/>
        </w:rPr>
        <w:t>2</w:t>
      </w:r>
      <w:r w:rsidRPr="00783EEE">
        <w:rPr>
          <w:szCs w:val="24"/>
        </w:rPr>
        <w:t xml:space="preserve"> e </w:t>
      </w:r>
      <w:r>
        <w:rPr>
          <w:szCs w:val="24"/>
        </w:rPr>
        <w:t>3</w:t>
      </w:r>
      <w:r w:rsidRPr="00783EEE">
        <w:rPr>
          <w:szCs w:val="24"/>
        </w:rPr>
        <w:t>, sendo composto</w:t>
      </w:r>
      <w:r>
        <w:rPr>
          <w:szCs w:val="24"/>
        </w:rPr>
        <w:t>s</w:t>
      </w:r>
      <w:r w:rsidRPr="00783EEE">
        <w:rPr>
          <w:szCs w:val="24"/>
        </w:rPr>
        <w:t xml:space="preserve"> por informações que deveriam ser divulgadas nas Demonstrações Financeiras</w:t>
      </w:r>
      <w:r>
        <w:rPr>
          <w:szCs w:val="24"/>
        </w:rPr>
        <w:t xml:space="preserve"> como </w:t>
      </w:r>
      <w:r w:rsidRPr="00783EEE">
        <w:rPr>
          <w:szCs w:val="24"/>
        </w:rPr>
        <w:t>informações gerais e</w:t>
      </w:r>
      <w:r>
        <w:rPr>
          <w:szCs w:val="24"/>
        </w:rPr>
        <w:t xml:space="preserve"> informações complementares </w:t>
      </w:r>
      <w:r w:rsidRPr="00783EEE">
        <w:rPr>
          <w:szCs w:val="24"/>
        </w:rPr>
        <w:t>em Notas Explicativas.</w:t>
      </w:r>
    </w:p>
    <w:p w14:paraId="4189B0BD" w14:textId="77777777" w:rsidR="00B45651" w:rsidRDefault="00B45651" w:rsidP="00B45651">
      <w:bookmarkStart w:id="12" w:name="RANGE!K2"/>
      <w:r>
        <w:br w:type="page"/>
      </w:r>
    </w:p>
    <w:bookmarkEnd w:id="12"/>
    <w:tbl>
      <w:tblPr>
        <w:tblW w:w="4886" w:type="pct"/>
        <w:tblLayout w:type="fixed"/>
        <w:tblCellMar>
          <w:left w:w="70" w:type="dxa"/>
          <w:right w:w="70" w:type="dxa"/>
        </w:tblCellMar>
        <w:tblLook w:val="04A0" w:firstRow="1" w:lastRow="0" w:firstColumn="1" w:lastColumn="0" w:noHBand="0" w:noVBand="1"/>
      </w:tblPr>
      <w:tblGrid>
        <w:gridCol w:w="637"/>
        <w:gridCol w:w="7230"/>
        <w:gridCol w:w="1134"/>
      </w:tblGrid>
      <w:tr w:rsidR="00B45651" w:rsidRPr="00CA1160" w14:paraId="02464510" w14:textId="77777777" w:rsidTr="00A22A27">
        <w:trPr>
          <w:trHeight w:val="300"/>
        </w:trPr>
        <w:tc>
          <w:tcPr>
            <w:tcW w:w="5000" w:type="pct"/>
            <w:gridSpan w:val="3"/>
            <w:tcBorders>
              <w:top w:val="nil"/>
              <w:left w:val="nil"/>
              <w:bottom w:val="single" w:sz="4" w:space="0" w:color="auto"/>
              <w:right w:val="nil"/>
            </w:tcBorders>
            <w:shd w:val="clear" w:color="auto" w:fill="auto"/>
            <w:noWrap/>
            <w:vAlign w:val="center"/>
            <w:hideMark/>
          </w:tcPr>
          <w:p w14:paraId="5A4E209E" w14:textId="3EAD5990" w:rsidR="00B45651" w:rsidRPr="00700409" w:rsidRDefault="00B45651" w:rsidP="00B45651">
            <w:pPr>
              <w:spacing w:before="120" w:after="0" w:line="240" w:lineRule="auto"/>
              <w:ind w:firstLine="0"/>
              <w:jc w:val="center"/>
              <w:rPr>
                <w:rFonts w:eastAsia="Times New Roman"/>
                <w:sz w:val="20"/>
                <w:szCs w:val="20"/>
                <w:lang w:eastAsia="pt-BR"/>
              </w:rPr>
            </w:pPr>
            <w:r w:rsidRPr="00700409">
              <w:rPr>
                <w:sz w:val="20"/>
                <w:szCs w:val="20"/>
              </w:rPr>
              <w:lastRenderedPageBreak/>
              <w:br w:type="page"/>
            </w:r>
            <w:r w:rsidRPr="00700409">
              <w:rPr>
                <w:sz w:val="20"/>
                <w:szCs w:val="20"/>
              </w:rPr>
              <w:br w:type="page"/>
            </w:r>
            <w:r w:rsidRPr="00700409">
              <w:rPr>
                <w:sz w:val="20"/>
                <w:szCs w:val="20"/>
              </w:rPr>
              <w:br w:type="page"/>
            </w:r>
            <w:bookmarkStart w:id="13" w:name="_Toc413142525"/>
            <w:r w:rsidRPr="00700409">
              <w:rPr>
                <w:b/>
                <w:sz w:val="20"/>
                <w:szCs w:val="20"/>
              </w:rPr>
              <w:t xml:space="preserve">Quadro </w:t>
            </w:r>
            <w:r w:rsidRPr="00700409">
              <w:rPr>
                <w:b/>
                <w:iCs/>
                <w:sz w:val="20"/>
                <w:szCs w:val="20"/>
              </w:rPr>
              <w:t>1</w:t>
            </w:r>
            <w:r w:rsidRPr="00700409">
              <w:rPr>
                <w:b/>
                <w:sz w:val="20"/>
                <w:szCs w:val="20"/>
              </w:rPr>
              <w:t>:</w:t>
            </w:r>
            <w:r w:rsidRPr="00700409">
              <w:rPr>
                <w:sz w:val="20"/>
                <w:szCs w:val="20"/>
              </w:rPr>
              <w:t xml:space="preserve"> Índice de Divulgação Compulsória (IDC) – Estrutura Mínima das Demonstrações</w:t>
            </w:r>
            <w:bookmarkEnd w:id="13"/>
          </w:p>
        </w:tc>
      </w:tr>
      <w:tr w:rsidR="00B45651" w:rsidRPr="00CA1160" w14:paraId="45052FA8" w14:textId="77777777" w:rsidTr="00A22A27">
        <w:trPr>
          <w:trHeight w:val="240"/>
        </w:trPr>
        <w:tc>
          <w:tcPr>
            <w:tcW w:w="354" w:type="pct"/>
            <w:tcBorders>
              <w:top w:val="nil"/>
              <w:left w:val="single" w:sz="4" w:space="0" w:color="auto"/>
              <w:bottom w:val="single" w:sz="4" w:space="0" w:color="auto"/>
              <w:right w:val="single" w:sz="4" w:space="0" w:color="auto"/>
            </w:tcBorders>
            <w:shd w:val="clear" w:color="auto" w:fill="auto"/>
            <w:noWrap/>
            <w:vAlign w:val="bottom"/>
          </w:tcPr>
          <w:p w14:paraId="5CD42D5C" w14:textId="77777777" w:rsidR="00B45651" w:rsidRPr="00CA1160" w:rsidRDefault="00B45651" w:rsidP="00A22A27">
            <w:pPr>
              <w:spacing w:before="120" w:after="0" w:line="240" w:lineRule="auto"/>
              <w:ind w:firstLine="0"/>
              <w:jc w:val="left"/>
              <w:rPr>
                <w:rFonts w:eastAsia="Times New Roman"/>
                <w:b/>
                <w:bCs/>
                <w:sz w:val="20"/>
                <w:szCs w:val="20"/>
                <w:lang w:eastAsia="pt-BR"/>
              </w:rPr>
            </w:pPr>
          </w:p>
        </w:tc>
        <w:tc>
          <w:tcPr>
            <w:tcW w:w="4016" w:type="pct"/>
            <w:tcBorders>
              <w:top w:val="nil"/>
              <w:left w:val="nil"/>
              <w:bottom w:val="single" w:sz="4" w:space="0" w:color="auto"/>
              <w:right w:val="single" w:sz="4" w:space="0" w:color="auto"/>
            </w:tcBorders>
            <w:shd w:val="clear" w:color="auto" w:fill="auto"/>
            <w:noWrap/>
            <w:vAlign w:val="bottom"/>
            <w:hideMark/>
          </w:tcPr>
          <w:p w14:paraId="52DD0541" w14:textId="77777777" w:rsidR="00B45651" w:rsidRPr="00552870" w:rsidRDefault="00B45651" w:rsidP="00A22A27">
            <w:pPr>
              <w:spacing w:before="120" w:after="0" w:line="240" w:lineRule="auto"/>
              <w:ind w:firstLine="0"/>
              <w:jc w:val="left"/>
              <w:rPr>
                <w:rFonts w:eastAsia="Times New Roman"/>
                <w:b/>
                <w:bCs/>
                <w:sz w:val="20"/>
                <w:szCs w:val="20"/>
                <w:lang w:eastAsia="pt-BR"/>
              </w:rPr>
            </w:pPr>
            <w:r>
              <w:rPr>
                <w:rFonts w:eastAsia="Times New Roman"/>
                <w:b/>
                <w:bCs/>
                <w:sz w:val="20"/>
                <w:szCs w:val="20"/>
                <w:lang w:eastAsia="pt-BR"/>
              </w:rPr>
              <w:t>Itens</w:t>
            </w:r>
          </w:p>
        </w:tc>
        <w:tc>
          <w:tcPr>
            <w:tcW w:w="630" w:type="pct"/>
            <w:tcBorders>
              <w:top w:val="single" w:sz="4" w:space="0" w:color="auto"/>
              <w:left w:val="nil"/>
              <w:bottom w:val="single" w:sz="4" w:space="0" w:color="auto"/>
              <w:right w:val="single" w:sz="4" w:space="0" w:color="auto"/>
            </w:tcBorders>
            <w:shd w:val="clear" w:color="auto" w:fill="auto"/>
            <w:noWrap/>
            <w:vAlign w:val="bottom"/>
            <w:hideMark/>
          </w:tcPr>
          <w:p w14:paraId="041F6F80" w14:textId="77777777" w:rsidR="00B45651" w:rsidRPr="00552870" w:rsidRDefault="00B45651" w:rsidP="00A22A27">
            <w:pPr>
              <w:spacing w:before="120" w:after="0" w:line="240" w:lineRule="auto"/>
              <w:ind w:firstLine="0"/>
              <w:jc w:val="left"/>
              <w:rPr>
                <w:rFonts w:eastAsia="Times New Roman"/>
                <w:b/>
                <w:bCs/>
                <w:sz w:val="20"/>
                <w:szCs w:val="20"/>
                <w:lang w:eastAsia="pt-BR"/>
              </w:rPr>
            </w:pPr>
            <w:r>
              <w:rPr>
                <w:rFonts w:eastAsia="Times New Roman"/>
                <w:b/>
                <w:bCs/>
                <w:sz w:val="20"/>
                <w:szCs w:val="20"/>
                <w:lang w:eastAsia="pt-BR"/>
              </w:rPr>
              <w:t>Fonte</w:t>
            </w:r>
          </w:p>
        </w:tc>
      </w:tr>
      <w:tr w:rsidR="00B45651" w:rsidRPr="00CA1160" w14:paraId="478F2958" w14:textId="77777777" w:rsidTr="00A22A27">
        <w:trPr>
          <w:trHeight w:val="240"/>
        </w:trPr>
        <w:tc>
          <w:tcPr>
            <w:tcW w:w="354" w:type="pct"/>
            <w:tcBorders>
              <w:top w:val="nil"/>
              <w:left w:val="single" w:sz="4" w:space="0" w:color="auto"/>
              <w:bottom w:val="single" w:sz="4" w:space="0" w:color="auto"/>
              <w:right w:val="single" w:sz="4" w:space="0" w:color="auto"/>
            </w:tcBorders>
            <w:shd w:val="clear" w:color="auto" w:fill="auto"/>
            <w:noWrap/>
            <w:vAlign w:val="bottom"/>
          </w:tcPr>
          <w:p w14:paraId="730215AC" w14:textId="77777777" w:rsidR="00B45651" w:rsidRPr="00552870" w:rsidRDefault="00B45651" w:rsidP="00A22A27">
            <w:pPr>
              <w:spacing w:before="120" w:after="0" w:line="240" w:lineRule="auto"/>
              <w:ind w:firstLine="0"/>
              <w:jc w:val="left"/>
              <w:rPr>
                <w:rFonts w:eastAsia="Times New Roman"/>
                <w:b/>
                <w:bCs/>
                <w:sz w:val="20"/>
                <w:szCs w:val="20"/>
                <w:lang w:eastAsia="pt-BR"/>
              </w:rPr>
            </w:pPr>
          </w:p>
        </w:tc>
        <w:tc>
          <w:tcPr>
            <w:tcW w:w="4016" w:type="pct"/>
            <w:tcBorders>
              <w:top w:val="nil"/>
              <w:left w:val="nil"/>
              <w:bottom w:val="single" w:sz="4" w:space="0" w:color="auto"/>
              <w:right w:val="single" w:sz="4" w:space="0" w:color="auto"/>
            </w:tcBorders>
            <w:shd w:val="clear" w:color="auto" w:fill="auto"/>
            <w:noWrap/>
            <w:vAlign w:val="bottom"/>
            <w:hideMark/>
          </w:tcPr>
          <w:p w14:paraId="320658ED" w14:textId="77777777" w:rsidR="00B45651" w:rsidRPr="008D643C" w:rsidRDefault="00B45651" w:rsidP="00A22A27">
            <w:pPr>
              <w:spacing w:before="120" w:after="0" w:line="240" w:lineRule="auto"/>
              <w:ind w:firstLine="0"/>
              <w:jc w:val="left"/>
              <w:rPr>
                <w:rFonts w:eastAsia="Times New Roman"/>
                <w:b/>
                <w:bCs/>
                <w:sz w:val="20"/>
                <w:szCs w:val="20"/>
                <w:lang w:eastAsia="pt-BR"/>
              </w:rPr>
            </w:pPr>
            <w:r w:rsidRPr="008D643C">
              <w:rPr>
                <w:rFonts w:eastAsia="Times New Roman"/>
                <w:b/>
                <w:bCs/>
                <w:sz w:val="20"/>
                <w:szCs w:val="20"/>
                <w:lang w:eastAsia="pt-BR"/>
              </w:rPr>
              <w:t>Balanço Patrimonial</w:t>
            </w:r>
          </w:p>
        </w:tc>
        <w:tc>
          <w:tcPr>
            <w:tcW w:w="630" w:type="pct"/>
            <w:tcBorders>
              <w:top w:val="nil"/>
              <w:left w:val="nil"/>
              <w:bottom w:val="single" w:sz="4" w:space="0" w:color="auto"/>
              <w:right w:val="single" w:sz="4" w:space="0" w:color="auto"/>
            </w:tcBorders>
            <w:shd w:val="clear" w:color="auto" w:fill="auto"/>
            <w:noWrap/>
            <w:vAlign w:val="bottom"/>
            <w:hideMark/>
          </w:tcPr>
          <w:p w14:paraId="388E563D" w14:textId="77777777" w:rsidR="00B45651" w:rsidRPr="0056324D" w:rsidRDefault="00B45651" w:rsidP="00A22A27">
            <w:pPr>
              <w:spacing w:before="120" w:after="0" w:line="240" w:lineRule="auto"/>
              <w:ind w:firstLine="0"/>
              <w:jc w:val="left"/>
              <w:rPr>
                <w:rFonts w:eastAsia="Times New Roman"/>
                <w:sz w:val="20"/>
                <w:szCs w:val="20"/>
                <w:lang w:eastAsia="pt-BR"/>
              </w:rPr>
            </w:pPr>
            <w:r w:rsidRPr="0056324D">
              <w:rPr>
                <w:rFonts w:eastAsia="Times New Roman"/>
                <w:sz w:val="20"/>
                <w:szCs w:val="20"/>
                <w:lang w:eastAsia="pt-BR"/>
              </w:rPr>
              <w:t>Art. 176</w:t>
            </w:r>
          </w:p>
        </w:tc>
      </w:tr>
      <w:tr w:rsidR="00B45651" w:rsidRPr="00CA1160" w14:paraId="3AF6CFD2" w14:textId="77777777" w:rsidTr="00A22A27">
        <w:trPr>
          <w:trHeight w:val="240"/>
        </w:trPr>
        <w:tc>
          <w:tcPr>
            <w:tcW w:w="354" w:type="pct"/>
            <w:tcBorders>
              <w:top w:val="nil"/>
              <w:left w:val="single" w:sz="4" w:space="0" w:color="auto"/>
              <w:bottom w:val="single" w:sz="4" w:space="0" w:color="auto"/>
              <w:right w:val="single" w:sz="4" w:space="0" w:color="auto"/>
            </w:tcBorders>
            <w:shd w:val="clear" w:color="auto" w:fill="auto"/>
            <w:noWrap/>
            <w:vAlign w:val="bottom"/>
          </w:tcPr>
          <w:p w14:paraId="5A31DDDF" w14:textId="77777777" w:rsidR="00B45651" w:rsidRPr="00552870" w:rsidRDefault="00B45651" w:rsidP="00A22A27">
            <w:pPr>
              <w:spacing w:before="120" w:after="0" w:line="240" w:lineRule="auto"/>
              <w:ind w:firstLine="0"/>
              <w:jc w:val="left"/>
              <w:rPr>
                <w:rFonts w:eastAsia="Times New Roman"/>
                <w:sz w:val="20"/>
                <w:szCs w:val="20"/>
                <w:lang w:eastAsia="pt-BR"/>
              </w:rPr>
            </w:pPr>
            <w:r>
              <w:rPr>
                <w:rFonts w:eastAsia="Times New Roman"/>
                <w:sz w:val="20"/>
                <w:szCs w:val="20"/>
                <w:lang w:eastAsia="pt-BR"/>
              </w:rPr>
              <w:t>1</w:t>
            </w:r>
          </w:p>
        </w:tc>
        <w:tc>
          <w:tcPr>
            <w:tcW w:w="4016" w:type="pct"/>
            <w:tcBorders>
              <w:top w:val="nil"/>
              <w:left w:val="nil"/>
              <w:bottom w:val="single" w:sz="4" w:space="0" w:color="auto"/>
              <w:right w:val="single" w:sz="4" w:space="0" w:color="auto"/>
            </w:tcBorders>
            <w:shd w:val="clear" w:color="auto" w:fill="auto"/>
            <w:noWrap/>
            <w:vAlign w:val="bottom"/>
            <w:hideMark/>
          </w:tcPr>
          <w:p w14:paraId="4619AA19" w14:textId="77777777" w:rsidR="00B45651" w:rsidRPr="00681702" w:rsidRDefault="00B45651" w:rsidP="00A22A27">
            <w:pPr>
              <w:spacing w:before="120" w:after="0" w:line="240" w:lineRule="auto"/>
              <w:ind w:firstLine="0"/>
              <w:jc w:val="left"/>
              <w:rPr>
                <w:rFonts w:eastAsia="Times New Roman"/>
                <w:iCs/>
                <w:sz w:val="20"/>
                <w:szCs w:val="20"/>
                <w:lang w:eastAsia="pt-BR"/>
              </w:rPr>
            </w:pPr>
            <w:r w:rsidRPr="00681702">
              <w:rPr>
                <w:rFonts w:eastAsia="Times New Roman"/>
                <w:iCs/>
                <w:sz w:val="20"/>
                <w:szCs w:val="20"/>
                <w:lang w:eastAsia="pt-BR"/>
              </w:rPr>
              <w:t>Ativo Circulante</w:t>
            </w:r>
          </w:p>
        </w:tc>
        <w:tc>
          <w:tcPr>
            <w:tcW w:w="630" w:type="pct"/>
            <w:tcBorders>
              <w:top w:val="nil"/>
              <w:left w:val="nil"/>
              <w:bottom w:val="single" w:sz="4" w:space="0" w:color="auto"/>
              <w:right w:val="single" w:sz="4" w:space="0" w:color="auto"/>
            </w:tcBorders>
            <w:shd w:val="clear" w:color="auto" w:fill="auto"/>
            <w:noWrap/>
            <w:vAlign w:val="bottom"/>
            <w:hideMark/>
          </w:tcPr>
          <w:p w14:paraId="619F651C" w14:textId="77777777" w:rsidR="00B45651" w:rsidRPr="00CA1160" w:rsidRDefault="00B45651" w:rsidP="00A22A27">
            <w:pPr>
              <w:spacing w:before="120" w:after="0" w:line="240" w:lineRule="auto"/>
              <w:ind w:firstLine="0"/>
              <w:jc w:val="left"/>
              <w:rPr>
                <w:rFonts w:eastAsia="Times New Roman"/>
                <w:sz w:val="20"/>
                <w:szCs w:val="20"/>
                <w:lang w:eastAsia="pt-BR"/>
              </w:rPr>
            </w:pPr>
            <w:r w:rsidRPr="00CA1160">
              <w:rPr>
                <w:rFonts w:eastAsia="Times New Roman"/>
                <w:sz w:val="20"/>
                <w:szCs w:val="20"/>
                <w:lang w:eastAsia="pt-BR"/>
              </w:rPr>
              <w:t>Art. 178</w:t>
            </w:r>
          </w:p>
        </w:tc>
      </w:tr>
      <w:tr w:rsidR="00B45651" w:rsidRPr="00CA1160" w14:paraId="7363FCD6" w14:textId="77777777" w:rsidTr="00A22A27">
        <w:trPr>
          <w:trHeight w:val="240"/>
        </w:trPr>
        <w:tc>
          <w:tcPr>
            <w:tcW w:w="354" w:type="pct"/>
            <w:tcBorders>
              <w:top w:val="nil"/>
              <w:left w:val="single" w:sz="4" w:space="0" w:color="auto"/>
              <w:bottom w:val="single" w:sz="4" w:space="0" w:color="auto"/>
              <w:right w:val="single" w:sz="4" w:space="0" w:color="auto"/>
            </w:tcBorders>
            <w:shd w:val="clear" w:color="auto" w:fill="auto"/>
            <w:noWrap/>
            <w:vAlign w:val="bottom"/>
          </w:tcPr>
          <w:p w14:paraId="298F6D4D" w14:textId="77777777" w:rsidR="00B45651" w:rsidRPr="00CA1160" w:rsidRDefault="00B45651" w:rsidP="00A22A27">
            <w:pPr>
              <w:spacing w:before="120" w:after="0" w:line="240" w:lineRule="auto"/>
              <w:ind w:firstLine="0"/>
              <w:jc w:val="left"/>
              <w:rPr>
                <w:rFonts w:eastAsia="Times New Roman"/>
                <w:sz w:val="20"/>
                <w:szCs w:val="20"/>
                <w:lang w:eastAsia="pt-BR"/>
              </w:rPr>
            </w:pPr>
            <w:r>
              <w:rPr>
                <w:rFonts w:eastAsia="Times New Roman"/>
                <w:sz w:val="20"/>
                <w:szCs w:val="20"/>
                <w:lang w:eastAsia="pt-BR"/>
              </w:rPr>
              <w:t>2</w:t>
            </w:r>
          </w:p>
        </w:tc>
        <w:tc>
          <w:tcPr>
            <w:tcW w:w="4016" w:type="pct"/>
            <w:tcBorders>
              <w:top w:val="nil"/>
              <w:left w:val="nil"/>
              <w:bottom w:val="single" w:sz="4" w:space="0" w:color="auto"/>
              <w:right w:val="single" w:sz="4" w:space="0" w:color="auto"/>
            </w:tcBorders>
            <w:shd w:val="clear" w:color="auto" w:fill="auto"/>
            <w:noWrap/>
            <w:vAlign w:val="bottom"/>
            <w:hideMark/>
          </w:tcPr>
          <w:p w14:paraId="7E60FDC8" w14:textId="77777777" w:rsidR="00B45651" w:rsidRPr="00681702" w:rsidRDefault="00B45651" w:rsidP="00A22A27">
            <w:pPr>
              <w:spacing w:before="120" w:after="0" w:line="240" w:lineRule="auto"/>
              <w:ind w:firstLine="0"/>
              <w:jc w:val="left"/>
              <w:rPr>
                <w:rFonts w:eastAsia="Times New Roman"/>
                <w:iCs/>
                <w:sz w:val="20"/>
                <w:szCs w:val="20"/>
                <w:lang w:eastAsia="pt-BR"/>
              </w:rPr>
            </w:pPr>
            <w:r w:rsidRPr="00681702">
              <w:rPr>
                <w:rFonts w:eastAsia="Times New Roman"/>
                <w:iCs/>
                <w:sz w:val="20"/>
                <w:szCs w:val="20"/>
                <w:lang w:eastAsia="pt-BR"/>
              </w:rPr>
              <w:t>Ativo Não Circulante composto por RLP, Investimentos, Imobilizado e Intangível</w:t>
            </w:r>
          </w:p>
        </w:tc>
        <w:tc>
          <w:tcPr>
            <w:tcW w:w="630" w:type="pct"/>
            <w:tcBorders>
              <w:top w:val="nil"/>
              <w:left w:val="nil"/>
              <w:bottom w:val="single" w:sz="4" w:space="0" w:color="auto"/>
              <w:right w:val="single" w:sz="4" w:space="0" w:color="auto"/>
            </w:tcBorders>
            <w:shd w:val="clear" w:color="auto" w:fill="auto"/>
            <w:noWrap/>
            <w:vAlign w:val="bottom"/>
            <w:hideMark/>
          </w:tcPr>
          <w:p w14:paraId="69F4E78D" w14:textId="77777777" w:rsidR="00B45651" w:rsidRPr="00CA1160" w:rsidRDefault="00B45651" w:rsidP="00A22A27">
            <w:pPr>
              <w:spacing w:before="120" w:after="0" w:line="240" w:lineRule="auto"/>
              <w:ind w:firstLine="0"/>
              <w:jc w:val="left"/>
              <w:rPr>
                <w:rFonts w:eastAsia="Times New Roman"/>
                <w:sz w:val="20"/>
                <w:szCs w:val="20"/>
                <w:lang w:eastAsia="pt-BR"/>
              </w:rPr>
            </w:pPr>
            <w:r w:rsidRPr="00CA1160">
              <w:rPr>
                <w:rFonts w:eastAsia="Times New Roman"/>
                <w:sz w:val="20"/>
                <w:szCs w:val="20"/>
                <w:lang w:eastAsia="pt-BR"/>
              </w:rPr>
              <w:t>Art. 178</w:t>
            </w:r>
          </w:p>
        </w:tc>
      </w:tr>
      <w:tr w:rsidR="00B45651" w:rsidRPr="00CA1160" w14:paraId="0C0025B8" w14:textId="77777777" w:rsidTr="00A22A27">
        <w:trPr>
          <w:trHeight w:val="240"/>
        </w:trPr>
        <w:tc>
          <w:tcPr>
            <w:tcW w:w="354" w:type="pct"/>
            <w:tcBorders>
              <w:top w:val="nil"/>
              <w:left w:val="single" w:sz="4" w:space="0" w:color="auto"/>
              <w:bottom w:val="single" w:sz="4" w:space="0" w:color="auto"/>
              <w:right w:val="single" w:sz="4" w:space="0" w:color="auto"/>
            </w:tcBorders>
            <w:shd w:val="clear" w:color="auto" w:fill="auto"/>
            <w:noWrap/>
            <w:vAlign w:val="bottom"/>
          </w:tcPr>
          <w:p w14:paraId="5DE79E2B" w14:textId="77777777" w:rsidR="00B45651" w:rsidRPr="00CA1160" w:rsidRDefault="00B45651" w:rsidP="00A22A27">
            <w:pPr>
              <w:spacing w:before="120" w:after="0" w:line="240" w:lineRule="auto"/>
              <w:ind w:firstLine="0"/>
              <w:jc w:val="left"/>
              <w:rPr>
                <w:rFonts w:eastAsia="Times New Roman"/>
                <w:sz w:val="20"/>
                <w:szCs w:val="20"/>
                <w:lang w:eastAsia="pt-BR"/>
              </w:rPr>
            </w:pPr>
            <w:r>
              <w:rPr>
                <w:rFonts w:eastAsia="Times New Roman"/>
                <w:sz w:val="20"/>
                <w:szCs w:val="20"/>
                <w:lang w:eastAsia="pt-BR"/>
              </w:rPr>
              <w:t>3</w:t>
            </w:r>
          </w:p>
        </w:tc>
        <w:tc>
          <w:tcPr>
            <w:tcW w:w="4016" w:type="pct"/>
            <w:tcBorders>
              <w:top w:val="nil"/>
              <w:left w:val="nil"/>
              <w:bottom w:val="single" w:sz="4" w:space="0" w:color="auto"/>
              <w:right w:val="single" w:sz="4" w:space="0" w:color="auto"/>
            </w:tcBorders>
            <w:shd w:val="clear" w:color="auto" w:fill="auto"/>
            <w:noWrap/>
            <w:vAlign w:val="bottom"/>
            <w:hideMark/>
          </w:tcPr>
          <w:p w14:paraId="19ABBE5A" w14:textId="77777777" w:rsidR="00B45651" w:rsidRPr="00681702" w:rsidRDefault="00B45651" w:rsidP="00A22A27">
            <w:pPr>
              <w:spacing w:before="120" w:after="0" w:line="240" w:lineRule="auto"/>
              <w:ind w:firstLine="0"/>
              <w:jc w:val="left"/>
              <w:rPr>
                <w:rFonts w:eastAsia="Times New Roman"/>
                <w:iCs/>
                <w:sz w:val="20"/>
                <w:szCs w:val="20"/>
                <w:lang w:eastAsia="pt-BR"/>
              </w:rPr>
            </w:pPr>
            <w:r w:rsidRPr="00681702">
              <w:rPr>
                <w:rFonts w:eastAsia="Times New Roman"/>
                <w:iCs/>
                <w:sz w:val="20"/>
                <w:szCs w:val="20"/>
                <w:lang w:eastAsia="pt-BR"/>
              </w:rPr>
              <w:t>Passivo Circulante</w:t>
            </w:r>
          </w:p>
        </w:tc>
        <w:tc>
          <w:tcPr>
            <w:tcW w:w="630" w:type="pct"/>
            <w:tcBorders>
              <w:top w:val="nil"/>
              <w:left w:val="nil"/>
              <w:bottom w:val="single" w:sz="4" w:space="0" w:color="auto"/>
              <w:right w:val="single" w:sz="4" w:space="0" w:color="auto"/>
            </w:tcBorders>
            <w:shd w:val="clear" w:color="auto" w:fill="auto"/>
            <w:noWrap/>
            <w:vAlign w:val="bottom"/>
            <w:hideMark/>
          </w:tcPr>
          <w:p w14:paraId="6CB2374B" w14:textId="77777777" w:rsidR="00B45651" w:rsidRPr="00CA1160" w:rsidRDefault="00B45651" w:rsidP="00A22A27">
            <w:pPr>
              <w:spacing w:before="120" w:after="0" w:line="240" w:lineRule="auto"/>
              <w:ind w:firstLine="0"/>
              <w:jc w:val="left"/>
              <w:rPr>
                <w:rFonts w:eastAsia="Times New Roman"/>
                <w:sz w:val="20"/>
                <w:szCs w:val="20"/>
                <w:lang w:eastAsia="pt-BR"/>
              </w:rPr>
            </w:pPr>
            <w:r w:rsidRPr="00CA1160">
              <w:rPr>
                <w:rFonts w:eastAsia="Times New Roman"/>
                <w:sz w:val="20"/>
                <w:szCs w:val="20"/>
                <w:lang w:eastAsia="pt-BR"/>
              </w:rPr>
              <w:t>Art. 178</w:t>
            </w:r>
          </w:p>
        </w:tc>
      </w:tr>
      <w:tr w:rsidR="00B45651" w:rsidRPr="00CA1160" w14:paraId="1D52A78A" w14:textId="77777777" w:rsidTr="00A22A27">
        <w:trPr>
          <w:trHeight w:val="240"/>
        </w:trPr>
        <w:tc>
          <w:tcPr>
            <w:tcW w:w="354" w:type="pct"/>
            <w:tcBorders>
              <w:top w:val="nil"/>
              <w:left w:val="single" w:sz="4" w:space="0" w:color="auto"/>
              <w:bottom w:val="single" w:sz="4" w:space="0" w:color="auto"/>
              <w:right w:val="single" w:sz="4" w:space="0" w:color="auto"/>
            </w:tcBorders>
            <w:shd w:val="clear" w:color="auto" w:fill="auto"/>
            <w:noWrap/>
            <w:vAlign w:val="bottom"/>
          </w:tcPr>
          <w:p w14:paraId="7CB3C5DA" w14:textId="77777777" w:rsidR="00B45651" w:rsidRPr="00CA1160" w:rsidRDefault="00B45651" w:rsidP="00A22A27">
            <w:pPr>
              <w:spacing w:before="120" w:after="0" w:line="240" w:lineRule="auto"/>
              <w:ind w:firstLine="0"/>
              <w:jc w:val="left"/>
              <w:rPr>
                <w:rFonts w:eastAsia="Times New Roman"/>
                <w:sz w:val="20"/>
                <w:szCs w:val="20"/>
                <w:lang w:eastAsia="pt-BR"/>
              </w:rPr>
            </w:pPr>
            <w:r>
              <w:rPr>
                <w:rFonts w:eastAsia="Times New Roman"/>
                <w:sz w:val="20"/>
                <w:szCs w:val="20"/>
                <w:lang w:eastAsia="pt-BR"/>
              </w:rPr>
              <w:t>4</w:t>
            </w:r>
          </w:p>
        </w:tc>
        <w:tc>
          <w:tcPr>
            <w:tcW w:w="4016" w:type="pct"/>
            <w:tcBorders>
              <w:top w:val="nil"/>
              <w:left w:val="nil"/>
              <w:bottom w:val="single" w:sz="4" w:space="0" w:color="auto"/>
              <w:right w:val="single" w:sz="4" w:space="0" w:color="auto"/>
            </w:tcBorders>
            <w:shd w:val="clear" w:color="auto" w:fill="auto"/>
            <w:noWrap/>
            <w:vAlign w:val="bottom"/>
            <w:hideMark/>
          </w:tcPr>
          <w:p w14:paraId="17BA3D60" w14:textId="77777777" w:rsidR="00B45651" w:rsidRPr="00681702" w:rsidRDefault="00B45651" w:rsidP="00A22A27">
            <w:pPr>
              <w:spacing w:before="120" w:after="0" w:line="240" w:lineRule="auto"/>
              <w:ind w:firstLine="0"/>
              <w:jc w:val="left"/>
              <w:rPr>
                <w:rFonts w:eastAsia="Times New Roman"/>
                <w:iCs/>
                <w:sz w:val="20"/>
                <w:szCs w:val="20"/>
                <w:lang w:eastAsia="pt-BR"/>
              </w:rPr>
            </w:pPr>
            <w:r w:rsidRPr="00681702">
              <w:rPr>
                <w:rFonts w:eastAsia="Times New Roman"/>
                <w:iCs/>
                <w:sz w:val="20"/>
                <w:szCs w:val="20"/>
                <w:lang w:eastAsia="pt-BR"/>
              </w:rPr>
              <w:t>Passivo Não Circulante</w:t>
            </w:r>
          </w:p>
        </w:tc>
        <w:tc>
          <w:tcPr>
            <w:tcW w:w="630" w:type="pct"/>
            <w:tcBorders>
              <w:top w:val="nil"/>
              <w:left w:val="nil"/>
              <w:bottom w:val="single" w:sz="4" w:space="0" w:color="auto"/>
              <w:right w:val="single" w:sz="4" w:space="0" w:color="auto"/>
            </w:tcBorders>
            <w:shd w:val="clear" w:color="auto" w:fill="auto"/>
            <w:noWrap/>
            <w:vAlign w:val="bottom"/>
            <w:hideMark/>
          </w:tcPr>
          <w:p w14:paraId="5ED1450B" w14:textId="77777777" w:rsidR="00B45651" w:rsidRPr="00CA1160" w:rsidRDefault="00B45651" w:rsidP="00A22A27">
            <w:pPr>
              <w:spacing w:before="120" w:after="0" w:line="240" w:lineRule="auto"/>
              <w:ind w:firstLine="0"/>
              <w:jc w:val="left"/>
              <w:rPr>
                <w:rFonts w:eastAsia="Times New Roman"/>
                <w:sz w:val="20"/>
                <w:szCs w:val="20"/>
                <w:lang w:eastAsia="pt-BR"/>
              </w:rPr>
            </w:pPr>
            <w:r w:rsidRPr="00CA1160">
              <w:rPr>
                <w:rFonts w:eastAsia="Times New Roman"/>
                <w:sz w:val="20"/>
                <w:szCs w:val="20"/>
                <w:lang w:eastAsia="pt-BR"/>
              </w:rPr>
              <w:t>Art. 178</w:t>
            </w:r>
          </w:p>
        </w:tc>
      </w:tr>
      <w:tr w:rsidR="00B45651" w:rsidRPr="00CA1160" w14:paraId="37219037" w14:textId="77777777" w:rsidTr="00A22A27">
        <w:trPr>
          <w:trHeight w:val="240"/>
        </w:trPr>
        <w:tc>
          <w:tcPr>
            <w:tcW w:w="354" w:type="pct"/>
            <w:tcBorders>
              <w:top w:val="nil"/>
              <w:left w:val="single" w:sz="4" w:space="0" w:color="auto"/>
              <w:bottom w:val="single" w:sz="4" w:space="0" w:color="auto"/>
              <w:right w:val="single" w:sz="4" w:space="0" w:color="auto"/>
            </w:tcBorders>
            <w:shd w:val="clear" w:color="auto" w:fill="auto"/>
            <w:noWrap/>
            <w:vAlign w:val="bottom"/>
          </w:tcPr>
          <w:p w14:paraId="06F22C3B" w14:textId="77777777" w:rsidR="00B45651" w:rsidRPr="00CA1160" w:rsidRDefault="00B45651" w:rsidP="00A22A27">
            <w:pPr>
              <w:spacing w:before="120" w:after="0" w:line="240" w:lineRule="auto"/>
              <w:ind w:firstLine="0"/>
              <w:jc w:val="left"/>
              <w:rPr>
                <w:rFonts w:eastAsia="Times New Roman"/>
                <w:sz w:val="20"/>
                <w:szCs w:val="20"/>
                <w:lang w:eastAsia="pt-BR"/>
              </w:rPr>
            </w:pPr>
            <w:r>
              <w:rPr>
                <w:rFonts w:eastAsia="Times New Roman"/>
                <w:sz w:val="20"/>
                <w:szCs w:val="20"/>
                <w:lang w:eastAsia="pt-BR"/>
              </w:rPr>
              <w:t>5</w:t>
            </w:r>
          </w:p>
        </w:tc>
        <w:tc>
          <w:tcPr>
            <w:tcW w:w="4016" w:type="pct"/>
            <w:tcBorders>
              <w:top w:val="nil"/>
              <w:left w:val="nil"/>
              <w:bottom w:val="single" w:sz="4" w:space="0" w:color="auto"/>
              <w:right w:val="single" w:sz="4" w:space="0" w:color="auto"/>
            </w:tcBorders>
            <w:shd w:val="clear" w:color="auto" w:fill="auto"/>
            <w:noWrap/>
            <w:vAlign w:val="bottom"/>
            <w:hideMark/>
          </w:tcPr>
          <w:p w14:paraId="139797C5" w14:textId="77777777" w:rsidR="00B45651" w:rsidRPr="00681702" w:rsidRDefault="00B45651" w:rsidP="00A22A27">
            <w:pPr>
              <w:spacing w:before="120" w:after="0" w:line="240" w:lineRule="auto"/>
              <w:ind w:firstLine="0"/>
              <w:jc w:val="left"/>
              <w:rPr>
                <w:rFonts w:eastAsia="Times New Roman"/>
                <w:iCs/>
                <w:sz w:val="20"/>
                <w:szCs w:val="20"/>
                <w:lang w:eastAsia="pt-BR"/>
              </w:rPr>
            </w:pPr>
            <w:r w:rsidRPr="00681702">
              <w:rPr>
                <w:rFonts w:eastAsia="Times New Roman"/>
                <w:iCs/>
                <w:sz w:val="20"/>
                <w:szCs w:val="20"/>
                <w:lang w:eastAsia="pt-BR"/>
              </w:rPr>
              <w:t>PL Composto por CS, Reservas de Capital, Ajustes de Avaliação Patrimonial, Reservas de Lucros, Ações em Tesouraria e Prejuízos Acum</w:t>
            </w:r>
            <w:r w:rsidRPr="00CA1160">
              <w:rPr>
                <w:rFonts w:eastAsia="Times New Roman"/>
                <w:iCs/>
                <w:sz w:val="20"/>
                <w:szCs w:val="20"/>
                <w:lang w:eastAsia="pt-BR"/>
              </w:rPr>
              <w:t>ulados</w:t>
            </w:r>
          </w:p>
        </w:tc>
        <w:tc>
          <w:tcPr>
            <w:tcW w:w="630" w:type="pct"/>
            <w:tcBorders>
              <w:top w:val="nil"/>
              <w:left w:val="nil"/>
              <w:bottom w:val="single" w:sz="4" w:space="0" w:color="auto"/>
              <w:right w:val="single" w:sz="4" w:space="0" w:color="auto"/>
            </w:tcBorders>
            <w:shd w:val="clear" w:color="auto" w:fill="auto"/>
            <w:noWrap/>
            <w:vAlign w:val="bottom"/>
            <w:hideMark/>
          </w:tcPr>
          <w:p w14:paraId="39A62D38" w14:textId="77777777" w:rsidR="00B45651" w:rsidRPr="00CA1160" w:rsidRDefault="00B45651" w:rsidP="00A22A27">
            <w:pPr>
              <w:spacing w:before="120" w:after="0" w:line="240" w:lineRule="auto"/>
              <w:ind w:firstLine="0"/>
              <w:jc w:val="left"/>
              <w:rPr>
                <w:rFonts w:eastAsia="Times New Roman"/>
                <w:sz w:val="20"/>
                <w:szCs w:val="20"/>
                <w:lang w:eastAsia="pt-BR"/>
              </w:rPr>
            </w:pPr>
            <w:r w:rsidRPr="00CA1160">
              <w:rPr>
                <w:rFonts w:eastAsia="Times New Roman"/>
                <w:sz w:val="20"/>
                <w:szCs w:val="20"/>
                <w:lang w:eastAsia="pt-BR"/>
              </w:rPr>
              <w:t>Art. 178</w:t>
            </w:r>
          </w:p>
        </w:tc>
      </w:tr>
      <w:tr w:rsidR="00B45651" w:rsidRPr="00CA1160" w14:paraId="238667C1" w14:textId="77777777" w:rsidTr="00A22A27">
        <w:trPr>
          <w:trHeight w:val="240"/>
        </w:trPr>
        <w:tc>
          <w:tcPr>
            <w:tcW w:w="354" w:type="pct"/>
            <w:tcBorders>
              <w:top w:val="nil"/>
              <w:left w:val="single" w:sz="4" w:space="0" w:color="auto"/>
              <w:bottom w:val="single" w:sz="4" w:space="0" w:color="auto"/>
              <w:right w:val="single" w:sz="4" w:space="0" w:color="auto"/>
            </w:tcBorders>
            <w:shd w:val="clear" w:color="auto" w:fill="auto"/>
            <w:noWrap/>
            <w:vAlign w:val="bottom"/>
          </w:tcPr>
          <w:p w14:paraId="1DA663C7" w14:textId="77777777" w:rsidR="00B45651" w:rsidRPr="00552870" w:rsidRDefault="00B45651" w:rsidP="00A22A27">
            <w:pPr>
              <w:spacing w:before="120" w:after="0" w:line="240" w:lineRule="auto"/>
              <w:ind w:firstLine="0"/>
              <w:jc w:val="left"/>
              <w:rPr>
                <w:rFonts w:eastAsia="Times New Roman"/>
                <w:b/>
                <w:bCs/>
                <w:sz w:val="20"/>
                <w:szCs w:val="20"/>
                <w:lang w:eastAsia="pt-BR"/>
              </w:rPr>
            </w:pPr>
          </w:p>
        </w:tc>
        <w:tc>
          <w:tcPr>
            <w:tcW w:w="4016" w:type="pct"/>
            <w:tcBorders>
              <w:top w:val="nil"/>
              <w:left w:val="nil"/>
              <w:bottom w:val="single" w:sz="4" w:space="0" w:color="auto"/>
              <w:right w:val="single" w:sz="4" w:space="0" w:color="auto"/>
            </w:tcBorders>
            <w:shd w:val="clear" w:color="auto" w:fill="auto"/>
            <w:noWrap/>
            <w:vAlign w:val="bottom"/>
            <w:hideMark/>
          </w:tcPr>
          <w:p w14:paraId="134E7BF3" w14:textId="77777777" w:rsidR="00B45651" w:rsidRPr="008D643C" w:rsidRDefault="00B45651" w:rsidP="00A22A27">
            <w:pPr>
              <w:spacing w:before="120" w:after="0" w:line="240" w:lineRule="auto"/>
              <w:ind w:firstLine="0"/>
              <w:jc w:val="left"/>
              <w:rPr>
                <w:rFonts w:eastAsia="Times New Roman"/>
                <w:b/>
                <w:bCs/>
                <w:sz w:val="20"/>
                <w:szCs w:val="20"/>
                <w:lang w:eastAsia="pt-BR"/>
              </w:rPr>
            </w:pPr>
            <w:r w:rsidRPr="008D643C">
              <w:rPr>
                <w:rFonts w:eastAsia="Times New Roman"/>
                <w:b/>
                <w:bCs/>
                <w:sz w:val="20"/>
                <w:szCs w:val="20"/>
                <w:lang w:eastAsia="pt-BR"/>
              </w:rPr>
              <w:t>Demonstração dos Lucros e Prejuízos Acumulados (poderá estar elaborada com a DMPL (art. 186 § 2º)</w:t>
            </w:r>
          </w:p>
        </w:tc>
        <w:tc>
          <w:tcPr>
            <w:tcW w:w="630" w:type="pct"/>
            <w:tcBorders>
              <w:top w:val="nil"/>
              <w:left w:val="nil"/>
              <w:bottom w:val="single" w:sz="4" w:space="0" w:color="auto"/>
              <w:right w:val="single" w:sz="4" w:space="0" w:color="auto"/>
            </w:tcBorders>
            <w:shd w:val="clear" w:color="auto" w:fill="auto"/>
            <w:noWrap/>
            <w:vAlign w:val="bottom"/>
            <w:hideMark/>
          </w:tcPr>
          <w:p w14:paraId="44F5C4A9" w14:textId="77777777" w:rsidR="00B45651" w:rsidRPr="0056324D" w:rsidRDefault="00B45651" w:rsidP="00A22A27">
            <w:pPr>
              <w:spacing w:before="120" w:after="0" w:line="240" w:lineRule="auto"/>
              <w:ind w:firstLine="0"/>
              <w:jc w:val="left"/>
              <w:rPr>
                <w:rFonts w:eastAsia="Times New Roman"/>
                <w:sz w:val="20"/>
                <w:szCs w:val="20"/>
                <w:lang w:eastAsia="pt-BR"/>
              </w:rPr>
            </w:pPr>
            <w:r w:rsidRPr="0056324D">
              <w:rPr>
                <w:rFonts w:eastAsia="Times New Roman"/>
                <w:sz w:val="20"/>
                <w:szCs w:val="20"/>
                <w:lang w:eastAsia="pt-BR"/>
              </w:rPr>
              <w:t>Art. 176</w:t>
            </w:r>
          </w:p>
        </w:tc>
      </w:tr>
      <w:tr w:rsidR="00B45651" w:rsidRPr="00CA1160" w14:paraId="585205C9" w14:textId="77777777" w:rsidTr="00A22A27">
        <w:trPr>
          <w:trHeight w:val="240"/>
        </w:trPr>
        <w:tc>
          <w:tcPr>
            <w:tcW w:w="354" w:type="pct"/>
            <w:tcBorders>
              <w:top w:val="nil"/>
              <w:left w:val="single" w:sz="4" w:space="0" w:color="auto"/>
              <w:bottom w:val="single" w:sz="4" w:space="0" w:color="auto"/>
              <w:right w:val="single" w:sz="4" w:space="0" w:color="auto"/>
            </w:tcBorders>
            <w:shd w:val="clear" w:color="auto" w:fill="auto"/>
            <w:noWrap/>
            <w:vAlign w:val="bottom"/>
          </w:tcPr>
          <w:p w14:paraId="76472137" w14:textId="77777777" w:rsidR="00B45651" w:rsidRPr="00552870" w:rsidRDefault="00B45651" w:rsidP="00A22A27">
            <w:pPr>
              <w:spacing w:before="120" w:after="0" w:line="240" w:lineRule="auto"/>
              <w:ind w:firstLine="0"/>
              <w:jc w:val="left"/>
              <w:rPr>
                <w:rFonts w:eastAsia="Times New Roman"/>
                <w:sz w:val="20"/>
                <w:szCs w:val="20"/>
                <w:lang w:eastAsia="pt-BR"/>
              </w:rPr>
            </w:pPr>
            <w:r>
              <w:rPr>
                <w:rFonts w:eastAsia="Times New Roman"/>
                <w:sz w:val="20"/>
                <w:szCs w:val="20"/>
                <w:lang w:eastAsia="pt-BR"/>
              </w:rPr>
              <w:t>6</w:t>
            </w:r>
          </w:p>
        </w:tc>
        <w:tc>
          <w:tcPr>
            <w:tcW w:w="4016" w:type="pct"/>
            <w:tcBorders>
              <w:top w:val="nil"/>
              <w:left w:val="nil"/>
              <w:bottom w:val="single" w:sz="4" w:space="0" w:color="auto"/>
              <w:right w:val="single" w:sz="4" w:space="0" w:color="auto"/>
            </w:tcBorders>
            <w:shd w:val="clear" w:color="auto" w:fill="auto"/>
            <w:noWrap/>
            <w:vAlign w:val="bottom"/>
            <w:hideMark/>
          </w:tcPr>
          <w:p w14:paraId="21D22D79" w14:textId="40FAD39E" w:rsidR="00B45651" w:rsidRPr="00681702" w:rsidRDefault="00B45651" w:rsidP="00A22A27">
            <w:pPr>
              <w:spacing w:before="120" w:after="0" w:line="240" w:lineRule="auto"/>
              <w:ind w:firstLine="0"/>
              <w:jc w:val="left"/>
              <w:rPr>
                <w:rFonts w:eastAsia="Times New Roman"/>
                <w:iCs/>
                <w:sz w:val="20"/>
                <w:szCs w:val="20"/>
                <w:lang w:eastAsia="pt-BR"/>
              </w:rPr>
            </w:pPr>
            <w:r w:rsidRPr="00681702">
              <w:rPr>
                <w:rFonts w:eastAsia="Times New Roman"/>
                <w:iCs/>
                <w:sz w:val="20"/>
                <w:szCs w:val="20"/>
                <w:lang w:eastAsia="pt-BR"/>
              </w:rPr>
              <w:t xml:space="preserve">Saldo do </w:t>
            </w:r>
            <w:r w:rsidR="00D4367A" w:rsidRPr="00681702">
              <w:rPr>
                <w:rFonts w:eastAsia="Times New Roman"/>
                <w:iCs/>
                <w:sz w:val="20"/>
                <w:szCs w:val="20"/>
                <w:lang w:eastAsia="pt-BR"/>
              </w:rPr>
              <w:t>Início</w:t>
            </w:r>
            <w:r w:rsidRPr="00681702">
              <w:rPr>
                <w:rFonts w:eastAsia="Times New Roman"/>
                <w:iCs/>
                <w:sz w:val="20"/>
                <w:szCs w:val="20"/>
                <w:lang w:eastAsia="pt-BR"/>
              </w:rPr>
              <w:t xml:space="preserve"> do Período, ajustes de exercícios anteriores e a correção monetária do saldo inicial</w:t>
            </w:r>
          </w:p>
        </w:tc>
        <w:tc>
          <w:tcPr>
            <w:tcW w:w="630" w:type="pct"/>
            <w:tcBorders>
              <w:top w:val="nil"/>
              <w:left w:val="nil"/>
              <w:bottom w:val="single" w:sz="4" w:space="0" w:color="auto"/>
              <w:right w:val="single" w:sz="4" w:space="0" w:color="auto"/>
            </w:tcBorders>
            <w:shd w:val="clear" w:color="auto" w:fill="auto"/>
            <w:noWrap/>
            <w:vAlign w:val="bottom"/>
            <w:hideMark/>
          </w:tcPr>
          <w:p w14:paraId="1727436A" w14:textId="77777777" w:rsidR="00B45651" w:rsidRPr="00CA1160" w:rsidRDefault="00B45651" w:rsidP="00A22A27">
            <w:pPr>
              <w:spacing w:before="120" w:after="0" w:line="240" w:lineRule="auto"/>
              <w:ind w:firstLine="0"/>
              <w:jc w:val="left"/>
              <w:rPr>
                <w:rFonts w:eastAsia="Times New Roman"/>
                <w:sz w:val="20"/>
                <w:szCs w:val="20"/>
                <w:lang w:eastAsia="pt-BR"/>
              </w:rPr>
            </w:pPr>
            <w:r w:rsidRPr="00CA1160">
              <w:rPr>
                <w:rFonts w:eastAsia="Times New Roman"/>
                <w:sz w:val="20"/>
                <w:szCs w:val="20"/>
                <w:lang w:eastAsia="pt-BR"/>
              </w:rPr>
              <w:t>Art. 186</w:t>
            </w:r>
          </w:p>
        </w:tc>
      </w:tr>
      <w:tr w:rsidR="00B45651" w:rsidRPr="00CA1160" w14:paraId="0106A3A6" w14:textId="77777777" w:rsidTr="00A22A27">
        <w:trPr>
          <w:trHeight w:val="240"/>
        </w:trPr>
        <w:tc>
          <w:tcPr>
            <w:tcW w:w="354" w:type="pct"/>
            <w:tcBorders>
              <w:top w:val="nil"/>
              <w:left w:val="single" w:sz="4" w:space="0" w:color="auto"/>
              <w:bottom w:val="single" w:sz="4" w:space="0" w:color="auto"/>
              <w:right w:val="single" w:sz="4" w:space="0" w:color="auto"/>
            </w:tcBorders>
            <w:shd w:val="clear" w:color="auto" w:fill="auto"/>
            <w:noWrap/>
            <w:vAlign w:val="bottom"/>
          </w:tcPr>
          <w:p w14:paraId="5DB4C669" w14:textId="77777777" w:rsidR="00B45651" w:rsidRPr="00CA1160" w:rsidRDefault="00B45651" w:rsidP="00A22A27">
            <w:pPr>
              <w:spacing w:before="120" w:after="0" w:line="240" w:lineRule="auto"/>
              <w:ind w:firstLine="0"/>
              <w:jc w:val="left"/>
              <w:rPr>
                <w:rFonts w:eastAsia="Times New Roman"/>
                <w:sz w:val="20"/>
                <w:szCs w:val="20"/>
                <w:lang w:eastAsia="pt-BR"/>
              </w:rPr>
            </w:pPr>
            <w:r>
              <w:rPr>
                <w:rFonts w:eastAsia="Times New Roman"/>
                <w:sz w:val="20"/>
                <w:szCs w:val="20"/>
                <w:lang w:eastAsia="pt-BR"/>
              </w:rPr>
              <w:t>7</w:t>
            </w:r>
          </w:p>
        </w:tc>
        <w:tc>
          <w:tcPr>
            <w:tcW w:w="4016" w:type="pct"/>
            <w:tcBorders>
              <w:top w:val="nil"/>
              <w:left w:val="nil"/>
              <w:bottom w:val="single" w:sz="4" w:space="0" w:color="auto"/>
              <w:right w:val="single" w:sz="4" w:space="0" w:color="auto"/>
            </w:tcBorders>
            <w:shd w:val="clear" w:color="auto" w:fill="auto"/>
            <w:noWrap/>
            <w:vAlign w:val="bottom"/>
            <w:hideMark/>
          </w:tcPr>
          <w:p w14:paraId="7B2C948A" w14:textId="77777777" w:rsidR="00B45651" w:rsidRPr="00681702" w:rsidRDefault="00B45651" w:rsidP="00A22A27">
            <w:pPr>
              <w:spacing w:before="120" w:after="0" w:line="240" w:lineRule="auto"/>
              <w:ind w:firstLine="0"/>
              <w:jc w:val="left"/>
              <w:rPr>
                <w:rFonts w:eastAsia="Times New Roman"/>
                <w:iCs/>
                <w:sz w:val="20"/>
                <w:szCs w:val="20"/>
                <w:lang w:eastAsia="pt-BR"/>
              </w:rPr>
            </w:pPr>
            <w:r w:rsidRPr="00681702">
              <w:rPr>
                <w:rFonts w:eastAsia="Times New Roman"/>
                <w:iCs/>
                <w:sz w:val="20"/>
                <w:szCs w:val="20"/>
                <w:lang w:eastAsia="pt-BR"/>
              </w:rPr>
              <w:t>Reversões de reservas e o lucro líquido do exercício</w:t>
            </w:r>
          </w:p>
        </w:tc>
        <w:tc>
          <w:tcPr>
            <w:tcW w:w="630" w:type="pct"/>
            <w:tcBorders>
              <w:top w:val="nil"/>
              <w:left w:val="nil"/>
              <w:bottom w:val="single" w:sz="4" w:space="0" w:color="auto"/>
              <w:right w:val="single" w:sz="4" w:space="0" w:color="auto"/>
            </w:tcBorders>
            <w:shd w:val="clear" w:color="auto" w:fill="auto"/>
            <w:noWrap/>
            <w:vAlign w:val="bottom"/>
            <w:hideMark/>
          </w:tcPr>
          <w:p w14:paraId="784B6FA2" w14:textId="77777777" w:rsidR="00B45651" w:rsidRPr="00CA1160" w:rsidRDefault="00B45651" w:rsidP="00A22A27">
            <w:pPr>
              <w:spacing w:before="120" w:after="0" w:line="240" w:lineRule="auto"/>
              <w:ind w:firstLine="0"/>
              <w:jc w:val="left"/>
              <w:rPr>
                <w:rFonts w:eastAsia="Times New Roman"/>
                <w:sz w:val="20"/>
                <w:szCs w:val="20"/>
                <w:lang w:eastAsia="pt-BR"/>
              </w:rPr>
            </w:pPr>
            <w:r w:rsidRPr="00CA1160">
              <w:rPr>
                <w:rFonts w:eastAsia="Times New Roman"/>
                <w:sz w:val="20"/>
                <w:szCs w:val="20"/>
                <w:lang w:eastAsia="pt-BR"/>
              </w:rPr>
              <w:t>Art. 186</w:t>
            </w:r>
          </w:p>
        </w:tc>
      </w:tr>
      <w:tr w:rsidR="00B45651" w:rsidRPr="00CA1160" w14:paraId="0CE661A6" w14:textId="77777777" w:rsidTr="00A22A27">
        <w:trPr>
          <w:trHeight w:val="240"/>
        </w:trPr>
        <w:tc>
          <w:tcPr>
            <w:tcW w:w="354" w:type="pct"/>
            <w:tcBorders>
              <w:top w:val="nil"/>
              <w:left w:val="single" w:sz="4" w:space="0" w:color="auto"/>
              <w:bottom w:val="single" w:sz="4" w:space="0" w:color="auto"/>
              <w:right w:val="single" w:sz="4" w:space="0" w:color="auto"/>
            </w:tcBorders>
            <w:shd w:val="clear" w:color="auto" w:fill="auto"/>
            <w:noWrap/>
            <w:vAlign w:val="bottom"/>
          </w:tcPr>
          <w:p w14:paraId="76C0CC47" w14:textId="77777777" w:rsidR="00B45651" w:rsidRPr="00CA1160" w:rsidRDefault="00B45651" w:rsidP="00A22A27">
            <w:pPr>
              <w:spacing w:before="120" w:after="0" w:line="240" w:lineRule="auto"/>
              <w:ind w:firstLine="0"/>
              <w:jc w:val="left"/>
              <w:rPr>
                <w:rFonts w:eastAsia="Times New Roman"/>
                <w:sz w:val="20"/>
                <w:szCs w:val="20"/>
                <w:lang w:eastAsia="pt-BR"/>
              </w:rPr>
            </w:pPr>
            <w:r>
              <w:rPr>
                <w:rFonts w:eastAsia="Times New Roman"/>
                <w:sz w:val="20"/>
                <w:szCs w:val="20"/>
                <w:lang w:eastAsia="pt-BR"/>
              </w:rPr>
              <w:t>8</w:t>
            </w:r>
          </w:p>
        </w:tc>
        <w:tc>
          <w:tcPr>
            <w:tcW w:w="4016" w:type="pct"/>
            <w:tcBorders>
              <w:top w:val="nil"/>
              <w:left w:val="nil"/>
              <w:bottom w:val="single" w:sz="4" w:space="0" w:color="auto"/>
              <w:right w:val="single" w:sz="4" w:space="0" w:color="auto"/>
            </w:tcBorders>
            <w:shd w:val="clear" w:color="auto" w:fill="auto"/>
            <w:noWrap/>
            <w:vAlign w:val="bottom"/>
            <w:hideMark/>
          </w:tcPr>
          <w:p w14:paraId="5D69A9BE" w14:textId="77777777" w:rsidR="00B45651" w:rsidRPr="00681702" w:rsidRDefault="00B45651" w:rsidP="00A22A27">
            <w:pPr>
              <w:spacing w:before="120" w:after="0" w:line="240" w:lineRule="auto"/>
              <w:ind w:firstLine="0"/>
              <w:jc w:val="left"/>
              <w:rPr>
                <w:rFonts w:eastAsia="Times New Roman"/>
                <w:iCs/>
                <w:sz w:val="20"/>
                <w:szCs w:val="20"/>
                <w:lang w:eastAsia="pt-BR"/>
              </w:rPr>
            </w:pPr>
            <w:r w:rsidRPr="00681702">
              <w:rPr>
                <w:rFonts w:eastAsia="Times New Roman"/>
                <w:iCs/>
                <w:sz w:val="20"/>
                <w:szCs w:val="20"/>
                <w:lang w:eastAsia="pt-BR"/>
              </w:rPr>
              <w:t>Transferências para reservas, os dividendos, a parcela dos lucros incorporada ao capital e o saldo ao fim do período</w:t>
            </w:r>
          </w:p>
        </w:tc>
        <w:tc>
          <w:tcPr>
            <w:tcW w:w="630" w:type="pct"/>
            <w:tcBorders>
              <w:top w:val="nil"/>
              <w:left w:val="nil"/>
              <w:bottom w:val="single" w:sz="4" w:space="0" w:color="auto"/>
              <w:right w:val="single" w:sz="4" w:space="0" w:color="auto"/>
            </w:tcBorders>
            <w:shd w:val="clear" w:color="auto" w:fill="auto"/>
            <w:noWrap/>
            <w:vAlign w:val="bottom"/>
            <w:hideMark/>
          </w:tcPr>
          <w:p w14:paraId="39A1BD42" w14:textId="77777777" w:rsidR="00B45651" w:rsidRPr="00CA1160" w:rsidRDefault="00B45651" w:rsidP="00A22A27">
            <w:pPr>
              <w:spacing w:before="120" w:after="0" w:line="240" w:lineRule="auto"/>
              <w:ind w:firstLine="0"/>
              <w:jc w:val="left"/>
              <w:rPr>
                <w:rFonts w:eastAsia="Times New Roman"/>
                <w:sz w:val="20"/>
                <w:szCs w:val="20"/>
                <w:lang w:eastAsia="pt-BR"/>
              </w:rPr>
            </w:pPr>
            <w:r w:rsidRPr="00CA1160">
              <w:rPr>
                <w:rFonts w:eastAsia="Times New Roman"/>
                <w:sz w:val="20"/>
                <w:szCs w:val="20"/>
                <w:lang w:eastAsia="pt-BR"/>
              </w:rPr>
              <w:t>Art. 186</w:t>
            </w:r>
          </w:p>
        </w:tc>
      </w:tr>
      <w:tr w:rsidR="00B45651" w:rsidRPr="00CA1160" w14:paraId="6D1249DD" w14:textId="77777777" w:rsidTr="00A22A27">
        <w:trPr>
          <w:trHeight w:val="240"/>
        </w:trPr>
        <w:tc>
          <w:tcPr>
            <w:tcW w:w="354" w:type="pct"/>
            <w:tcBorders>
              <w:top w:val="nil"/>
              <w:left w:val="single" w:sz="4" w:space="0" w:color="auto"/>
              <w:bottom w:val="single" w:sz="4" w:space="0" w:color="auto"/>
              <w:right w:val="single" w:sz="4" w:space="0" w:color="auto"/>
            </w:tcBorders>
            <w:shd w:val="clear" w:color="auto" w:fill="auto"/>
            <w:noWrap/>
            <w:vAlign w:val="bottom"/>
          </w:tcPr>
          <w:p w14:paraId="7D3CDA85" w14:textId="77777777" w:rsidR="00B45651" w:rsidRPr="00552870" w:rsidRDefault="00B45651" w:rsidP="00A22A27">
            <w:pPr>
              <w:spacing w:before="120" w:after="0" w:line="240" w:lineRule="auto"/>
              <w:ind w:firstLine="0"/>
              <w:jc w:val="left"/>
              <w:rPr>
                <w:rFonts w:eastAsia="Times New Roman"/>
                <w:b/>
                <w:bCs/>
                <w:sz w:val="20"/>
                <w:szCs w:val="20"/>
                <w:lang w:eastAsia="pt-BR"/>
              </w:rPr>
            </w:pPr>
          </w:p>
        </w:tc>
        <w:tc>
          <w:tcPr>
            <w:tcW w:w="4016" w:type="pct"/>
            <w:tcBorders>
              <w:top w:val="nil"/>
              <w:left w:val="nil"/>
              <w:bottom w:val="single" w:sz="4" w:space="0" w:color="auto"/>
              <w:right w:val="single" w:sz="4" w:space="0" w:color="auto"/>
            </w:tcBorders>
            <w:shd w:val="clear" w:color="auto" w:fill="auto"/>
            <w:noWrap/>
            <w:vAlign w:val="bottom"/>
            <w:hideMark/>
          </w:tcPr>
          <w:p w14:paraId="22980985" w14:textId="77777777" w:rsidR="00B45651" w:rsidRPr="008D643C" w:rsidRDefault="00B45651" w:rsidP="00A22A27">
            <w:pPr>
              <w:spacing w:before="120" w:after="0" w:line="240" w:lineRule="auto"/>
              <w:ind w:firstLine="0"/>
              <w:jc w:val="left"/>
              <w:rPr>
                <w:rFonts w:eastAsia="Times New Roman"/>
                <w:b/>
                <w:bCs/>
                <w:sz w:val="20"/>
                <w:szCs w:val="20"/>
                <w:lang w:eastAsia="pt-BR"/>
              </w:rPr>
            </w:pPr>
            <w:r w:rsidRPr="008D643C">
              <w:rPr>
                <w:rFonts w:eastAsia="Times New Roman"/>
                <w:b/>
                <w:bCs/>
                <w:sz w:val="20"/>
                <w:szCs w:val="20"/>
                <w:lang w:eastAsia="pt-BR"/>
              </w:rPr>
              <w:t>Demonstração do Resultado do Exercício</w:t>
            </w:r>
          </w:p>
        </w:tc>
        <w:tc>
          <w:tcPr>
            <w:tcW w:w="630" w:type="pct"/>
            <w:tcBorders>
              <w:top w:val="nil"/>
              <w:left w:val="nil"/>
              <w:bottom w:val="single" w:sz="4" w:space="0" w:color="auto"/>
              <w:right w:val="single" w:sz="4" w:space="0" w:color="auto"/>
            </w:tcBorders>
            <w:shd w:val="clear" w:color="auto" w:fill="auto"/>
            <w:noWrap/>
            <w:vAlign w:val="bottom"/>
            <w:hideMark/>
          </w:tcPr>
          <w:p w14:paraId="3DB1E7B1" w14:textId="77777777" w:rsidR="00B45651" w:rsidRPr="0056324D" w:rsidRDefault="00B45651" w:rsidP="00A22A27">
            <w:pPr>
              <w:spacing w:before="120" w:after="0" w:line="240" w:lineRule="auto"/>
              <w:ind w:firstLine="0"/>
              <w:jc w:val="left"/>
              <w:rPr>
                <w:rFonts w:eastAsia="Times New Roman"/>
                <w:sz w:val="20"/>
                <w:szCs w:val="20"/>
                <w:lang w:eastAsia="pt-BR"/>
              </w:rPr>
            </w:pPr>
            <w:r w:rsidRPr="0056324D">
              <w:rPr>
                <w:rFonts w:eastAsia="Times New Roman"/>
                <w:sz w:val="20"/>
                <w:szCs w:val="20"/>
                <w:lang w:eastAsia="pt-BR"/>
              </w:rPr>
              <w:t>Art. 176</w:t>
            </w:r>
          </w:p>
        </w:tc>
      </w:tr>
      <w:tr w:rsidR="00B45651" w:rsidRPr="00CA1160" w14:paraId="5C9A1FA6" w14:textId="77777777" w:rsidTr="00A22A27">
        <w:trPr>
          <w:trHeight w:val="240"/>
        </w:trPr>
        <w:tc>
          <w:tcPr>
            <w:tcW w:w="354" w:type="pct"/>
            <w:tcBorders>
              <w:top w:val="nil"/>
              <w:left w:val="single" w:sz="4" w:space="0" w:color="auto"/>
              <w:bottom w:val="single" w:sz="4" w:space="0" w:color="auto"/>
              <w:right w:val="single" w:sz="4" w:space="0" w:color="auto"/>
            </w:tcBorders>
            <w:shd w:val="clear" w:color="auto" w:fill="auto"/>
            <w:noWrap/>
            <w:vAlign w:val="bottom"/>
          </w:tcPr>
          <w:p w14:paraId="71A897F2" w14:textId="77777777" w:rsidR="00B45651" w:rsidRPr="00552870" w:rsidRDefault="00B45651" w:rsidP="00A22A27">
            <w:pPr>
              <w:spacing w:before="120" w:after="0" w:line="240" w:lineRule="auto"/>
              <w:ind w:firstLine="0"/>
              <w:jc w:val="left"/>
              <w:rPr>
                <w:rFonts w:eastAsia="Times New Roman"/>
                <w:sz w:val="20"/>
                <w:szCs w:val="20"/>
                <w:lang w:eastAsia="pt-BR"/>
              </w:rPr>
            </w:pPr>
            <w:r>
              <w:rPr>
                <w:rFonts w:eastAsia="Times New Roman"/>
                <w:sz w:val="20"/>
                <w:szCs w:val="20"/>
                <w:lang w:eastAsia="pt-BR"/>
              </w:rPr>
              <w:t>9</w:t>
            </w:r>
          </w:p>
        </w:tc>
        <w:tc>
          <w:tcPr>
            <w:tcW w:w="4016" w:type="pct"/>
            <w:tcBorders>
              <w:top w:val="nil"/>
              <w:left w:val="nil"/>
              <w:bottom w:val="single" w:sz="4" w:space="0" w:color="auto"/>
              <w:right w:val="single" w:sz="4" w:space="0" w:color="auto"/>
            </w:tcBorders>
            <w:shd w:val="clear" w:color="auto" w:fill="auto"/>
            <w:noWrap/>
            <w:vAlign w:val="bottom"/>
            <w:hideMark/>
          </w:tcPr>
          <w:p w14:paraId="6BDA1812" w14:textId="77777777" w:rsidR="00B45651" w:rsidRPr="00681702" w:rsidRDefault="00B45651" w:rsidP="00A22A27">
            <w:pPr>
              <w:spacing w:before="120" w:after="0" w:line="240" w:lineRule="auto"/>
              <w:ind w:firstLine="0"/>
              <w:jc w:val="left"/>
              <w:rPr>
                <w:rFonts w:eastAsia="Times New Roman"/>
                <w:iCs/>
                <w:sz w:val="20"/>
                <w:szCs w:val="20"/>
                <w:lang w:eastAsia="pt-BR"/>
              </w:rPr>
            </w:pPr>
            <w:r w:rsidRPr="00681702">
              <w:rPr>
                <w:rFonts w:eastAsia="Times New Roman"/>
                <w:iCs/>
                <w:sz w:val="20"/>
                <w:szCs w:val="20"/>
                <w:lang w:eastAsia="pt-BR"/>
              </w:rPr>
              <w:t>Receita bruta das vendas e serviços, as deduções das vendas, os abatimentos e os impostos</w:t>
            </w:r>
          </w:p>
        </w:tc>
        <w:tc>
          <w:tcPr>
            <w:tcW w:w="630" w:type="pct"/>
            <w:tcBorders>
              <w:top w:val="nil"/>
              <w:left w:val="nil"/>
              <w:bottom w:val="single" w:sz="4" w:space="0" w:color="auto"/>
              <w:right w:val="single" w:sz="4" w:space="0" w:color="auto"/>
            </w:tcBorders>
            <w:shd w:val="clear" w:color="auto" w:fill="auto"/>
            <w:noWrap/>
            <w:vAlign w:val="bottom"/>
            <w:hideMark/>
          </w:tcPr>
          <w:p w14:paraId="28DA5FCE" w14:textId="77777777" w:rsidR="00B45651" w:rsidRPr="00CA1160" w:rsidRDefault="00B45651" w:rsidP="00A22A27">
            <w:pPr>
              <w:spacing w:before="120" w:after="0" w:line="240" w:lineRule="auto"/>
              <w:ind w:firstLine="0"/>
              <w:jc w:val="left"/>
              <w:rPr>
                <w:rFonts w:eastAsia="Times New Roman"/>
                <w:sz w:val="20"/>
                <w:szCs w:val="20"/>
                <w:lang w:eastAsia="pt-BR"/>
              </w:rPr>
            </w:pPr>
            <w:r w:rsidRPr="00CA1160">
              <w:rPr>
                <w:rFonts w:eastAsia="Times New Roman"/>
                <w:sz w:val="20"/>
                <w:szCs w:val="20"/>
                <w:lang w:eastAsia="pt-BR"/>
              </w:rPr>
              <w:t>Art. 187</w:t>
            </w:r>
          </w:p>
        </w:tc>
      </w:tr>
      <w:tr w:rsidR="00B45651" w:rsidRPr="00CA1160" w14:paraId="1D66FDEF" w14:textId="77777777" w:rsidTr="00A22A27">
        <w:trPr>
          <w:trHeight w:val="240"/>
        </w:trPr>
        <w:tc>
          <w:tcPr>
            <w:tcW w:w="354" w:type="pct"/>
            <w:tcBorders>
              <w:top w:val="nil"/>
              <w:left w:val="single" w:sz="4" w:space="0" w:color="auto"/>
              <w:bottom w:val="single" w:sz="4" w:space="0" w:color="auto"/>
              <w:right w:val="single" w:sz="4" w:space="0" w:color="auto"/>
            </w:tcBorders>
            <w:shd w:val="clear" w:color="auto" w:fill="auto"/>
            <w:noWrap/>
            <w:vAlign w:val="bottom"/>
          </w:tcPr>
          <w:p w14:paraId="1FBD1DE4" w14:textId="77777777" w:rsidR="00B45651" w:rsidRPr="00CA1160" w:rsidRDefault="00B45651" w:rsidP="00A22A27">
            <w:pPr>
              <w:spacing w:before="120" w:after="0" w:line="240" w:lineRule="auto"/>
              <w:ind w:firstLine="0"/>
              <w:jc w:val="left"/>
              <w:rPr>
                <w:rFonts w:eastAsia="Times New Roman"/>
                <w:sz w:val="20"/>
                <w:szCs w:val="20"/>
                <w:lang w:eastAsia="pt-BR"/>
              </w:rPr>
            </w:pPr>
            <w:r>
              <w:rPr>
                <w:rFonts w:eastAsia="Times New Roman"/>
                <w:sz w:val="20"/>
                <w:szCs w:val="20"/>
                <w:lang w:eastAsia="pt-BR"/>
              </w:rPr>
              <w:t>10</w:t>
            </w:r>
          </w:p>
        </w:tc>
        <w:tc>
          <w:tcPr>
            <w:tcW w:w="4016" w:type="pct"/>
            <w:tcBorders>
              <w:top w:val="nil"/>
              <w:left w:val="nil"/>
              <w:bottom w:val="single" w:sz="4" w:space="0" w:color="auto"/>
              <w:right w:val="single" w:sz="4" w:space="0" w:color="auto"/>
            </w:tcBorders>
            <w:shd w:val="clear" w:color="auto" w:fill="auto"/>
            <w:noWrap/>
            <w:vAlign w:val="bottom"/>
            <w:hideMark/>
          </w:tcPr>
          <w:p w14:paraId="35306D99" w14:textId="77777777" w:rsidR="00B45651" w:rsidRPr="00681702" w:rsidRDefault="00B45651" w:rsidP="00A22A27">
            <w:pPr>
              <w:spacing w:before="120" w:after="0" w:line="240" w:lineRule="auto"/>
              <w:ind w:firstLine="0"/>
              <w:jc w:val="left"/>
              <w:rPr>
                <w:rFonts w:eastAsia="Times New Roman"/>
                <w:iCs/>
                <w:sz w:val="20"/>
                <w:szCs w:val="20"/>
                <w:lang w:eastAsia="pt-BR"/>
              </w:rPr>
            </w:pPr>
            <w:r w:rsidRPr="00681702">
              <w:rPr>
                <w:rFonts w:eastAsia="Times New Roman"/>
                <w:iCs/>
                <w:sz w:val="20"/>
                <w:szCs w:val="20"/>
                <w:lang w:eastAsia="pt-BR"/>
              </w:rPr>
              <w:t>Receita líquida das vendas e serviços, o custo das mercadorias e serviços vendidos e o lucro bruto</w:t>
            </w:r>
          </w:p>
        </w:tc>
        <w:tc>
          <w:tcPr>
            <w:tcW w:w="630" w:type="pct"/>
            <w:tcBorders>
              <w:top w:val="nil"/>
              <w:left w:val="nil"/>
              <w:bottom w:val="single" w:sz="4" w:space="0" w:color="auto"/>
              <w:right w:val="single" w:sz="4" w:space="0" w:color="auto"/>
            </w:tcBorders>
            <w:shd w:val="clear" w:color="auto" w:fill="auto"/>
            <w:noWrap/>
            <w:vAlign w:val="bottom"/>
            <w:hideMark/>
          </w:tcPr>
          <w:p w14:paraId="1DE96226" w14:textId="77777777" w:rsidR="00B45651" w:rsidRPr="00CA1160" w:rsidRDefault="00B45651" w:rsidP="00A22A27">
            <w:pPr>
              <w:spacing w:before="120" w:after="0" w:line="240" w:lineRule="auto"/>
              <w:ind w:firstLine="0"/>
              <w:jc w:val="left"/>
              <w:rPr>
                <w:rFonts w:eastAsia="Times New Roman"/>
                <w:sz w:val="20"/>
                <w:szCs w:val="20"/>
                <w:lang w:eastAsia="pt-BR"/>
              </w:rPr>
            </w:pPr>
            <w:r w:rsidRPr="00CA1160">
              <w:rPr>
                <w:rFonts w:eastAsia="Times New Roman"/>
                <w:sz w:val="20"/>
                <w:szCs w:val="20"/>
                <w:lang w:eastAsia="pt-BR"/>
              </w:rPr>
              <w:t>Art. 187</w:t>
            </w:r>
          </w:p>
        </w:tc>
      </w:tr>
      <w:tr w:rsidR="00B45651" w:rsidRPr="00CA1160" w14:paraId="67D18BD6" w14:textId="77777777" w:rsidTr="00A22A27">
        <w:trPr>
          <w:trHeight w:val="240"/>
        </w:trPr>
        <w:tc>
          <w:tcPr>
            <w:tcW w:w="354" w:type="pct"/>
            <w:tcBorders>
              <w:top w:val="nil"/>
              <w:left w:val="single" w:sz="4" w:space="0" w:color="auto"/>
              <w:bottom w:val="single" w:sz="4" w:space="0" w:color="auto"/>
              <w:right w:val="single" w:sz="4" w:space="0" w:color="auto"/>
            </w:tcBorders>
            <w:shd w:val="clear" w:color="auto" w:fill="auto"/>
            <w:noWrap/>
            <w:vAlign w:val="bottom"/>
          </w:tcPr>
          <w:p w14:paraId="13288129" w14:textId="77777777" w:rsidR="00B45651" w:rsidRPr="00CA1160" w:rsidRDefault="00B45651" w:rsidP="00A22A27">
            <w:pPr>
              <w:spacing w:before="120" w:after="0" w:line="240" w:lineRule="auto"/>
              <w:ind w:firstLine="0"/>
              <w:jc w:val="left"/>
              <w:rPr>
                <w:rFonts w:eastAsia="Times New Roman"/>
                <w:sz w:val="20"/>
                <w:szCs w:val="20"/>
                <w:lang w:eastAsia="pt-BR"/>
              </w:rPr>
            </w:pPr>
            <w:r>
              <w:rPr>
                <w:rFonts w:eastAsia="Times New Roman"/>
                <w:sz w:val="20"/>
                <w:szCs w:val="20"/>
                <w:lang w:eastAsia="pt-BR"/>
              </w:rPr>
              <w:t>11</w:t>
            </w:r>
          </w:p>
        </w:tc>
        <w:tc>
          <w:tcPr>
            <w:tcW w:w="4016" w:type="pct"/>
            <w:tcBorders>
              <w:top w:val="nil"/>
              <w:left w:val="nil"/>
              <w:bottom w:val="single" w:sz="4" w:space="0" w:color="auto"/>
              <w:right w:val="single" w:sz="4" w:space="0" w:color="auto"/>
            </w:tcBorders>
            <w:shd w:val="clear" w:color="auto" w:fill="auto"/>
            <w:noWrap/>
            <w:vAlign w:val="bottom"/>
            <w:hideMark/>
          </w:tcPr>
          <w:p w14:paraId="13EFB260" w14:textId="77777777" w:rsidR="00B45651" w:rsidRPr="00681702" w:rsidRDefault="00B45651" w:rsidP="00A22A27">
            <w:pPr>
              <w:spacing w:before="120" w:after="0" w:line="240" w:lineRule="auto"/>
              <w:ind w:firstLine="0"/>
              <w:jc w:val="left"/>
              <w:rPr>
                <w:rFonts w:eastAsia="Times New Roman"/>
                <w:iCs/>
                <w:sz w:val="20"/>
                <w:szCs w:val="20"/>
                <w:lang w:eastAsia="pt-BR"/>
              </w:rPr>
            </w:pPr>
            <w:r w:rsidRPr="00681702">
              <w:rPr>
                <w:rFonts w:eastAsia="Times New Roman"/>
                <w:iCs/>
                <w:sz w:val="20"/>
                <w:szCs w:val="20"/>
                <w:lang w:eastAsia="pt-BR"/>
              </w:rPr>
              <w:t>Despesas com as vendas, as despesas financeiras, deduzidas das receitas, as despesas gerais e administrativas, e outras despesas operacionais</w:t>
            </w:r>
          </w:p>
        </w:tc>
        <w:tc>
          <w:tcPr>
            <w:tcW w:w="630" w:type="pct"/>
            <w:tcBorders>
              <w:top w:val="nil"/>
              <w:left w:val="nil"/>
              <w:bottom w:val="single" w:sz="4" w:space="0" w:color="auto"/>
              <w:right w:val="single" w:sz="4" w:space="0" w:color="auto"/>
            </w:tcBorders>
            <w:shd w:val="clear" w:color="auto" w:fill="auto"/>
            <w:noWrap/>
            <w:vAlign w:val="bottom"/>
            <w:hideMark/>
          </w:tcPr>
          <w:p w14:paraId="6D9AD45B" w14:textId="77777777" w:rsidR="00B45651" w:rsidRPr="00CA1160" w:rsidRDefault="00B45651" w:rsidP="00A22A27">
            <w:pPr>
              <w:spacing w:before="120" w:after="0" w:line="240" w:lineRule="auto"/>
              <w:ind w:firstLine="0"/>
              <w:jc w:val="left"/>
              <w:rPr>
                <w:rFonts w:eastAsia="Times New Roman"/>
                <w:sz w:val="20"/>
                <w:szCs w:val="20"/>
                <w:lang w:eastAsia="pt-BR"/>
              </w:rPr>
            </w:pPr>
            <w:r w:rsidRPr="00CA1160">
              <w:rPr>
                <w:rFonts w:eastAsia="Times New Roman"/>
                <w:sz w:val="20"/>
                <w:szCs w:val="20"/>
                <w:lang w:eastAsia="pt-BR"/>
              </w:rPr>
              <w:t>Art. 187</w:t>
            </w:r>
          </w:p>
        </w:tc>
      </w:tr>
      <w:tr w:rsidR="00B45651" w:rsidRPr="00CA1160" w14:paraId="1802388D" w14:textId="77777777" w:rsidTr="00A22A27">
        <w:trPr>
          <w:trHeight w:val="240"/>
        </w:trPr>
        <w:tc>
          <w:tcPr>
            <w:tcW w:w="354" w:type="pct"/>
            <w:tcBorders>
              <w:top w:val="nil"/>
              <w:left w:val="single" w:sz="4" w:space="0" w:color="auto"/>
              <w:bottom w:val="single" w:sz="4" w:space="0" w:color="auto"/>
              <w:right w:val="single" w:sz="4" w:space="0" w:color="auto"/>
            </w:tcBorders>
            <w:shd w:val="clear" w:color="auto" w:fill="auto"/>
            <w:noWrap/>
            <w:vAlign w:val="bottom"/>
          </w:tcPr>
          <w:p w14:paraId="6CEE766B" w14:textId="77777777" w:rsidR="00B45651" w:rsidRPr="00CA1160" w:rsidRDefault="00B45651" w:rsidP="00A22A27">
            <w:pPr>
              <w:spacing w:before="120" w:after="0" w:line="240" w:lineRule="auto"/>
              <w:ind w:firstLine="0"/>
              <w:jc w:val="left"/>
              <w:rPr>
                <w:rFonts w:eastAsia="Times New Roman"/>
                <w:sz w:val="20"/>
                <w:szCs w:val="20"/>
                <w:lang w:eastAsia="pt-BR"/>
              </w:rPr>
            </w:pPr>
            <w:r>
              <w:rPr>
                <w:rFonts w:eastAsia="Times New Roman"/>
                <w:sz w:val="20"/>
                <w:szCs w:val="20"/>
                <w:lang w:eastAsia="pt-BR"/>
              </w:rPr>
              <w:t>12</w:t>
            </w:r>
          </w:p>
        </w:tc>
        <w:tc>
          <w:tcPr>
            <w:tcW w:w="4016" w:type="pct"/>
            <w:tcBorders>
              <w:top w:val="nil"/>
              <w:left w:val="nil"/>
              <w:bottom w:val="single" w:sz="4" w:space="0" w:color="auto"/>
              <w:right w:val="single" w:sz="4" w:space="0" w:color="auto"/>
            </w:tcBorders>
            <w:shd w:val="clear" w:color="auto" w:fill="auto"/>
            <w:noWrap/>
            <w:vAlign w:val="bottom"/>
            <w:hideMark/>
          </w:tcPr>
          <w:p w14:paraId="1341D35F" w14:textId="77777777" w:rsidR="00B45651" w:rsidRPr="00681702" w:rsidRDefault="00B45651" w:rsidP="00A22A27">
            <w:pPr>
              <w:spacing w:before="120" w:after="0" w:line="240" w:lineRule="auto"/>
              <w:ind w:firstLine="0"/>
              <w:jc w:val="left"/>
              <w:rPr>
                <w:rFonts w:eastAsia="Times New Roman"/>
                <w:iCs/>
                <w:sz w:val="20"/>
                <w:szCs w:val="20"/>
                <w:lang w:eastAsia="pt-BR"/>
              </w:rPr>
            </w:pPr>
            <w:r w:rsidRPr="00681702">
              <w:rPr>
                <w:rFonts w:eastAsia="Times New Roman"/>
                <w:iCs/>
                <w:sz w:val="20"/>
                <w:szCs w:val="20"/>
                <w:lang w:eastAsia="pt-BR"/>
              </w:rPr>
              <w:t>Lucro ou prejuízo operacional, as outras receitas e as outras despesas</w:t>
            </w:r>
          </w:p>
        </w:tc>
        <w:tc>
          <w:tcPr>
            <w:tcW w:w="630" w:type="pct"/>
            <w:tcBorders>
              <w:top w:val="nil"/>
              <w:left w:val="nil"/>
              <w:bottom w:val="single" w:sz="4" w:space="0" w:color="auto"/>
              <w:right w:val="single" w:sz="4" w:space="0" w:color="auto"/>
            </w:tcBorders>
            <w:shd w:val="clear" w:color="auto" w:fill="auto"/>
            <w:noWrap/>
            <w:vAlign w:val="bottom"/>
            <w:hideMark/>
          </w:tcPr>
          <w:p w14:paraId="5F569796" w14:textId="77777777" w:rsidR="00B45651" w:rsidRPr="00CA1160" w:rsidRDefault="00B45651" w:rsidP="00A22A27">
            <w:pPr>
              <w:spacing w:before="120" w:after="0" w:line="240" w:lineRule="auto"/>
              <w:ind w:firstLine="0"/>
              <w:jc w:val="left"/>
              <w:rPr>
                <w:rFonts w:eastAsia="Times New Roman"/>
                <w:sz w:val="20"/>
                <w:szCs w:val="20"/>
                <w:lang w:eastAsia="pt-BR"/>
              </w:rPr>
            </w:pPr>
            <w:r w:rsidRPr="00CA1160">
              <w:rPr>
                <w:rFonts w:eastAsia="Times New Roman"/>
                <w:sz w:val="20"/>
                <w:szCs w:val="20"/>
                <w:lang w:eastAsia="pt-BR"/>
              </w:rPr>
              <w:t>Art. 187</w:t>
            </w:r>
          </w:p>
        </w:tc>
      </w:tr>
      <w:tr w:rsidR="00B45651" w:rsidRPr="00CA1160" w14:paraId="578FA07A" w14:textId="77777777" w:rsidTr="00A22A27">
        <w:trPr>
          <w:trHeight w:val="240"/>
        </w:trPr>
        <w:tc>
          <w:tcPr>
            <w:tcW w:w="354" w:type="pct"/>
            <w:tcBorders>
              <w:top w:val="nil"/>
              <w:left w:val="single" w:sz="4" w:space="0" w:color="auto"/>
              <w:bottom w:val="single" w:sz="4" w:space="0" w:color="auto"/>
              <w:right w:val="single" w:sz="4" w:space="0" w:color="auto"/>
            </w:tcBorders>
            <w:shd w:val="clear" w:color="auto" w:fill="auto"/>
            <w:noWrap/>
            <w:vAlign w:val="bottom"/>
          </w:tcPr>
          <w:p w14:paraId="284031A5" w14:textId="77777777" w:rsidR="00B45651" w:rsidRPr="00CA1160" w:rsidRDefault="00B45651" w:rsidP="00A22A27">
            <w:pPr>
              <w:spacing w:before="120" w:after="0" w:line="240" w:lineRule="auto"/>
              <w:ind w:firstLine="0"/>
              <w:jc w:val="left"/>
              <w:rPr>
                <w:rFonts w:eastAsia="Times New Roman"/>
                <w:sz w:val="20"/>
                <w:szCs w:val="20"/>
                <w:lang w:eastAsia="pt-BR"/>
              </w:rPr>
            </w:pPr>
            <w:r>
              <w:rPr>
                <w:rFonts w:eastAsia="Times New Roman"/>
                <w:sz w:val="20"/>
                <w:szCs w:val="20"/>
                <w:lang w:eastAsia="pt-BR"/>
              </w:rPr>
              <w:t>13</w:t>
            </w:r>
          </w:p>
        </w:tc>
        <w:tc>
          <w:tcPr>
            <w:tcW w:w="4016" w:type="pct"/>
            <w:tcBorders>
              <w:top w:val="nil"/>
              <w:left w:val="nil"/>
              <w:bottom w:val="single" w:sz="4" w:space="0" w:color="auto"/>
              <w:right w:val="single" w:sz="4" w:space="0" w:color="auto"/>
            </w:tcBorders>
            <w:shd w:val="clear" w:color="auto" w:fill="auto"/>
            <w:noWrap/>
            <w:vAlign w:val="bottom"/>
            <w:hideMark/>
          </w:tcPr>
          <w:p w14:paraId="41BD582A" w14:textId="77777777" w:rsidR="00B45651" w:rsidRPr="00681702" w:rsidRDefault="00B45651" w:rsidP="00A22A27">
            <w:pPr>
              <w:spacing w:before="120" w:after="0" w:line="240" w:lineRule="auto"/>
              <w:ind w:firstLine="0"/>
              <w:jc w:val="left"/>
              <w:rPr>
                <w:rFonts w:eastAsia="Times New Roman"/>
                <w:iCs/>
                <w:sz w:val="20"/>
                <w:szCs w:val="20"/>
                <w:lang w:eastAsia="pt-BR"/>
              </w:rPr>
            </w:pPr>
            <w:r w:rsidRPr="00681702">
              <w:rPr>
                <w:rFonts w:eastAsia="Times New Roman"/>
                <w:iCs/>
                <w:sz w:val="20"/>
                <w:szCs w:val="20"/>
                <w:lang w:eastAsia="pt-BR"/>
              </w:rPr>
              <w:t>Resultado do exercício antes do Imposto sobre a Renda e a provisão para o imposto</w:t>
            </w:r>
          </w:p>
        </w:tc>
        <w:tc>
          <w:tcPr>
            <w:tcW w:w="630" w:type="pct"/>
            <w:tcBorders>
              <w:top w:val="nil"/>
              <w:left w:val="nil"/>
              <w:bottom w:val="single" w:sz="4" w:space="0" w:color="auto"/>
              <w:right w:val="single" w:sz="4" w:space="0" w:color="auto"/>
            </w:tcBorders>
            <w:shd w:val="clear" w:color="auto" w:fill="auto"/>
            <w:noWrap/>
            <w:vAlign w:val="bottom"/>
            <w:hideMark/>
          </w:tcPr>
          <w:p w14:paraId="17EC1934" w14:textId="77777777" w:rsidR="00B45651" w:rsidRPr="00CA1160" w:rsidRDefault="00B45651" w:rsidP="00A22A27">
            <w:pPr>
              <w:spacing w:before="120" w:after="0" w:line="240" w:lineRule="auto"/>
              <w:ind w:firstLine="0"/>
              <w:jc w:val="left"/>
              <w:rPr>
                <w:rFonts w:eastAsia="Times New Roman"/>
                <w:sz w:val="20"/>
                <w:szCs w:val="20"/>
                <w:lang w:eastAsia="pt-BR"/>
              </w:rPr>
            </w:pPr>
            <w:r w:rsidRPr="00CA1160">
              <w:rPr>
                <w:rFonts w:eastAsia="Times New Roman"/>
                <w:sz w:val="20"/>
                <w:szCs w:val="20"/>
                <w:lang w:eastAsia="pt-BR"/>
              </w:rPr>
              <w:t>Art. 187</w:t>
            </w:r>
          </w:p>
        </w:tc>
      </w:tr>
      <w:tr w:rsidR="00B45651" w:rsidRPr="00CA1160" w14:paraId="5389AA03" w14:textId="77777777" w:rsidTr="00A22A27">
        <w:trPr>
          <w:trHeight w:val="240"/>
        </w:trPr>
        <w:tc>
          <w:tcPr>
            <w:tcW w:w="354" w:type="pct"/>
            <w:tcBorders>
              <w:top w:val="nil"/>
              <w:left w:val="single" w:sz="4" w:space="0" w:color="auto"/>
              <w:bottom w:val="single" w:sz="4" w:space="0" w:color="auto"/>
              <w:right w:val="single" w:sz="4" w:space="0" w:color="auto"/>
            </w:tcBorders>
            <w:shd w:val="clear" w:color="auto" w:fill="auto"/>
            <w:noWrap/>
            <w:vAlign w:val="bottom"/>
          </w:tcPr>
          <w:p w14:paraId="3C0C5830" w14:textId="77777777" w:rsidR="00B45651" w:rsidRPr="00CA1160" w:rsidRDefault="00B45651" w:rsidP="00A22A27">
            <w:pPr>
              <w:spacing w:before="120" w:after="0" w:line="240" w:lineRule="auto"/>
              <w:ind w:firstLine="0"/>
              <w:jc w:val="left"/>
              <w:rPr>
                <w:rFonts w:eastAsia="Times New Roman"/>
                <w:sz w:val="20"/>
                <w:szCs w:val="20"/>
                <w:lang w:eastAsia="pt-BR"/>
              </w:rPr>
            </w:pPr>
            <w:r>
              <w:rPr>
                <w:rFonts w:eastAsia="Times New Roman"/>
                <w:sz w:val="20"/>
                <w:szCs w:val="20"/>
                <w:lang w:eastAsia="pt-BR"/>
              </w:rPr>
              <w:t>14</w:t>
            </w:r>
          </w:p>
        </w:tc>
        <w:tc>
          <w:tcPr>
            <w:tcW w:w="4016" w:type="pct"/>
            <w:tcBorders>
              <w:top w:val="nil"/>
              <w:left w:val="nil"/>
              <w:bottom w:val="single" w:sz="4" w:space="0" w:color="auto"/>
              <w:right w:val="single" w:sz="4" w:space="0" w:color="auto"/>
            </w:tcBorders>
            <w:shd w:val="clear" w:color="auto" w:fill="auto"/>
            <w:noWrap/>
            <w:vAlign w:val="bottom"/>
            <w:hideMark/>
          </w:tcPr>
          <w:p w14:paraId="40A00A8B" w14:textId="77777777" w:rsidR="00B45651" w:rsidRPr="00681702" w:rsidRDefault="00B45651" w:rsidP="00A22A27">
            <w:pPr>
              <w:spacing w:before="120" w:after="0" w:line="240" w:lineRule="auto"/>
              <w:ind w:firstLine="0"/>
              <w:jc w:val="left"/>
              <w:rPr>
                <w:rFonts w:eastAsia="Times New Roman"/>
                <w:iCs/>
                <w:sz w:val="20"/>
                <w:szCs w:val="20"/>
                <w:lang w:eastAsia="pt-BR"/>
              </w:rPr>
            </w:pPr>
            <w:r w:rsidRPr="00681702">
              <w:rPr>
                <w:rFonts w:eastAsia="Times New Roman"/>
                <w:iCs/>
                <w:sz w:val="20"/>
                <w:szCs w:val="20"/>
                <w:lang w:eastAsia="pt-BR"/>
              </w:rPr>
              <w:t>Participações de debêntures, empregados, administradores e partes beneficiárias</w:t>
            </w:r>
          </w:p>
        </w:tc>
        <w:tc>
          <w:tcPr>
            <w:tcW w:w="630" w:type="pct"/>
            <w:tcBorders>
              <w:top w:val="nil"/>
              <w:left w:val="nil"/>
              <w:bottom w:val="single" w:sz="4" w:space="0" w:color="auto"/>
              <w:right w:val="single" w:sz="4" w:space="0" w:color="auto"/>
            </w:tcBorders>
            <w:shd w:val="clear" w:color="auto" w:fill="auto"/>
            <w:noWrap/>
            <w:vAlign w:val="bottom"/>
            <w:hideMark/>
          </w:tcPr>
          <w:p w14:paraId="56C15FEB" w14:textId="77777777" w:rsidR="00B45651" w:rsidRPr="00CA1160" w:rsidRDefault="00B45651" w:rsidP="00A22A27">
            <w:pPr>
              <w:spacing w:before="120" w:after="0" w:line="240" w:lineRule="auto"/>
              <w:ind w:firstLine="0"/>
              <w:jc w:val="left"/>
              <w:rPr>
                <w:rFonts w:eastAsia="Times New Roman"/>
                <w:sz w:val="20"/>
                <w:szCs w:val="20"/>
                <w:lang w:eastAsia="pt-BR"/>
              </w:rPr>
            </w:pPr>
            <w:r w:rsidRPr="00CA1160">
              <w:rPr>
                <w:rFonts w:eastAsia="Times New Roman"/>
                <w:sz w:val="20"/>
                <w:szCs w:val="20"/>
                <w:lang w:eastAsia="pt-BR"/>
              </w:rPr>
              <w:t>Art. 187</w:t>
            </w:r>
          </w:p>
        </w:tc>
      </w:tr>
      <w:tr w:rsidR="00B45651" w:rsidRPr="00CA1160" w14:paraId="68DCD93C" w14:textId="77777777" w:rsidTr="00A22A27">
        <w:trPr>
          <w:trHeight w:val="240"/>
        </w:trPr>
        <w:tc>
          <w:tcPr>
            <w:tcW w:w="354" w:type="pct"/>
            <w:tcBorders>
              <w:top w:val="nil"/>
              <w:left w:val="single" w:sz="4" w:space="0" w:color="auto"/>
              <w:bottom w:val="single" w:sz="4" w:space="0" w:color="auto"/>
              <w:right w:val="single" w:sz="4" w:space="0" w:color="auto"/>
            </w:tcBorders>
            <w:shd w:val="clear" w:color="auto" w:fill="auto"/>
            <w:noWrap/>
            <w:vAlign w:val="bottom"/>
          </w:tcPr>
          <w:p w14:paraId="634C27A7" w14:textId="77777777" w:rsidR="00B45651" w:rsidRPr="00CA1160" w:rsidRDefault="00B45651" w:rsidP="00A22A27">
            <w:pPr>
              <w:spacing w:before="120" w:after="0" w:line="240" w:lineRule="auto"/>
              <w:ind w:firstLine="0"/>
              <w:jc w:val="left"/>
              <w:rPr>
                <w:rFonts w:eastAsia="Times New Roman"/>
                <w:sz w:val="20"/>
                <w:szCs w:val="20"/>
                <w:lang w:eastAsia="pt-BR"/>
              </w:rPr>
            </w:pPr>
            <w:r>
              <w:rPr>
                <w:rFonts w:eastAsia="Times New Roman"/>
                <w:sz w:val="20"/>
                <w:szCs w:val="20"/>
                <w:lang w:eastAsia="pt-BR"/>
              </w:rPr>
              <w:t>15</w:t>
            </w:r>
          </w:p>
        </w:tc>
        <w:tc>
          <w:tcPr>
            <w:tcW w:w="4016" w:type="pct"/>
            <w:tcBorders>
              <w:top w:val="nil"/>
              <w:left w:val="nil"/>
              <w:bottom w:val="single" w:sz="4" w:space="0" w:color="auto"/>
              <w:right w:val="single" w:sz="4" w:space="0" w:color="auto"/>
            </w:tcBorders>
            <w:shd w:val="clear" w:color="auto" w:fill="auto"/>
            <w:noWrap/>
            <w:vAlign w:val="bottom"/>
            <w:hideMark/>
          </w:tcPr>
          <w:p w14:paraId="7B9A2774" w14:textId="77777777" w:rsidR="00B45651" w:rsidRPr="00681702" w:rsidRDefault="00B45651" w:rsidP="00A22A27">
            <w:pPr>
              <w:spacing w:before="120" w:after="0" w:line="240" w:lineRule="auto"/>
              <w:ind w:firstLine="0"/>
              <w:jc w:val="left"/>
              <w:rPr>
                <w:rFonts w:eastAsia="Times New Roman"/>
                <w:iCs/>
                <w:sz w:val="20"/>
                <w:szCs w:val="20"/>
                <w:lang w:eastAsia="pt-BR"/>
              </w:rPr>
            </w:pPr>
            <w:r w:rsidRPr="00681702">
              <w:rPr>
                <w:rFonts w:eastAsia="Times New Roman"/>
                <w:iCs/>
                <w:sz w:val="20"/>
                <w:szCs w:val="20"/>
                <w:lang w:eastAsia="pt-BR"/>
              </w:rPr>
              <w:t>Lucro ou prejuízo líquido do exercício</w:t>
            </w:r>
          </w:p>
        </w:tc>
        <w:tc>
          <w:tcPr>
            <w:tcW w:w="630" w:type="pct"/>
            <w:tcBorders>
              <w:top w:val="nil"/>
              <w:left w:val="nil"/>
              <w:bottom w:val="single" w:sz="4" w:space="0" w:color="auto"/>
              <w:right w:val="single" w:sz="4" w:space="0" w:color="auto"/>
            </w:tcBorders>
            <w:shd w:val="clear" w:color="auto" w:fill="auto"/>
            <w:noWrap/>
            <w:vAlign w:val="bottom"/>
            <w:hideMark/>
          </w:tcPr>
          <w:p w14:paraId="63E87BA8" w14:textId="77777777" w:rsidR="00B45651" w:rsidRPr="00CA1160" w:rsidRDefault="00B45651" w:rsidP="00A22A27">
            <w:pPr>
              <w:spacing w:before="120" w:after="0" w:line="240" w:lineRule="auto"/>
              <w:ind w:firstLine="0"/>
              <w:jc w:val="left"/>
              <w:rPr>
                <w:rFonts w:eastAsia="Times New Roman"/>
                <w:sz w:val="20"/>
                <w:szCs w:val="20"/>
                <w:lang w:eastAsia="pt-BR"/>
              </w:rPr>
            </w:pPr>
            <w:r w:rsidRPr="00CA1160">
              <w:rPr>
                <w:rFonts w:eastAsia="Times New Roman"/>
                <w:sz w:val="20"/>
                <w:szCs w:val="20"/>
                <w:lang w:eastAsia="pt-BR"/>
              </w:rPr>
              <w:t>Art. 187</w:t>
            </w:r>
          </w:p>
        </w:tc>
      </w:tr>
      <w:tr w:rsidR="00B45651" w:rsidRPr="00CA1160" w14:paraId="55A178DE" w14:textId="77777777" w:rsidTr="00A22A27">
        <w:trPr>
          <w:trHeight w:val="240"/>
        </w:trPr>
        <w:tc>
          <w:tcPr>
            <w:tcW w:w="354" w:type="pct"/>
            <w:tcBorders>
              <w:top w:val="nil"/>
              <w:left w:val="single" w:sz="4" w:space="0" w:color="auto"/>
              <w:bottom w:val="single" w:sz="4" w:space="0" w:color="auto"/>
              <w:right w:val="single" w:sz="4" w:space="0" w:color="auto"/>
            </w:tcBorders>
            <w:shd w:val="clear" w:color="auto" w:fill="auto"/>
            <w:noWrap/>
            <w:vAlign w:val="bottom"/>
          </w:tcPr>
          <w:p w14:paraId="7B86C0A3" w14:textId="77777777" w:rsidR="00B45651" w:rsidRPr="00CA1160" w:rsidRDefault="00B45651" w:rsidP="00A22A27">
            <w:pPr>
              <w:spacing w:before="120" w:after="0" w:line="240" w:lineRule="auto"/>
              <w:ind w:firstLine="0"/>
              <w:jc w:val="left"/>
              <w:rPr>
                <w:rFonts w:eastAsia="Times New Roman"/>
                <w:sz w:val="20"/>
                <w:szCs w:val="20"/>
                <w:lang w:eastAsia="pt-BR"/>
              </w:rPr>
            </w:pPr>
            <w:r>
              <w:rPr>
                <w:rFonts w:eastAsia="Times New Roman"/>
                <w:sz w:val="20"/>
                <w:szCs w:val="20"/>
                <w:lang w:eastAsia="pt-BR"/>
              </w:rPr>
              <w:t>16</w:t>
            </w:r>
          </w:p>
        </w:tc>
        <w:tc>
          <w:tcPr>
            <w:tcW w:w="4016" w:type="pct"/>
            <w:tcBorders>
              <w:top w:val="nil"/>
              <w:left w:val="nil"/>
              <w:bottom w:val="single" w:sz="4" w:space="0" w:color="auto"/>
              <w:right w:val="single" w:sz="4" w:space="0" w:color="auto"/>
            </w:tcBorders>
            <w:shd w:val="clear" w:color="auto" w:fill="auto"/>
            <w:noWrap/>
            <w:vAlign w:val="bottom"/>
            <w:hideMark/>
          </w:tcPr>
          <w:p w14:paraId="7B99385A" w14:textId="77777777" w:rsidR="00B45651" w:rsidRPr="00681702" w:rsidRDefault="00B45651" w:rsidP="00A22A27">
            <w:pPr>
              <w:spacing w:before="120" w:after="0" w:line="240" w:lineRule="auto"/>
              <w:ind w:firstLine="0"/>
              <w:jc w:val="left"/>
              <w:rPr>
                <w:rFonts w:eastAsia="Times New Roman"/>
                <w:iCs/>
                <w:sz w:val="20"/>
                <w:szCs w:val="20"/>
                <w:lang w:eastAsia="pt-BR"/>
              </w:rPr>
            </w:pPr>
            <w:r w:rsidRPr="00681702">
              <w:rPr>
                <w:rFonts w:eastAsia="Times New Roman"/>
                <w:iCs/>
                <w:sz w:val="20"/>
                <w:szCs w:val="20"/>
                <w:lang w:eastAsia="pt-BR"/>
              </w:rPr>
              <w:t>Resultado por ação</w:t>
            </w:r>
          </w:p>
        </w:tc>
        <w:tc>
          <w:tcPr>
            <w:tcW w:w="630" w:type="pct"/>
            <w:tcBorders>
              <w:top w:val="nil"/>
              <w:left w:val="nil"/>
              <w:bottom w:val="single" w:sz="4" w:space="0" w:color="auto"/>
              <w:right w:val="single" w:sz="4" w:space="0" w:color="auto"/>
            </w:tcBorders>
            <w:shd w:val="clear" w:color="auto" w:fill="auto"/>
            <w:noWrap/>
            <w:vAlign w:val="bottom"/>
            <w:hideMark/>
          </w:tcPr>
          <w:p w14:paraId="4013E0BD" w14:textId="77777777" w:rsidR="00B45651" w:rsidRPr="00CA1160" w:rsidRDefault="00B45651" w:rsidP="00A22A27">
            <w:pPr>
              <w:spacing w:before="120" w:after="0" w:line="240" w:lineRule="auto"/>
              <w:ind w:firstLine="0"/>
              <w:jc w:val="left"/>
              <w:rPr>
                <w:rFonts w:eastAsia="Times New Roman"/>
                <w:sz w:val="20"/>
                <w:szCs w:val="20"/>
                <w:lang w:eastAsia="pt-BR"/>
              </w:rPr>
            </w:pPr>
            <w:r w:rsidRPr="00CA1160">
              <w:rPr>
                <w:rFonts w:eastAsia="Times New Roman"/>
                <w:sz w:val="20"/>
                <w:szCs w:val="20"/>
                <w:lang w:eastAsia="pt-BR"/>
              </w:rPr>
              <w:t>Art. 187</w:t>
            </w:r>
          </w:p>
        </w:tc>
      </w:tr>
      <w:tr w:rsidR="00B45651" w:rsidRPr="00CA1160" w14:paraId="10231886" w14:textId="77777777" w:rsidTr="00A22A27">
        <w:trPr>
          <w:trHeight w:val="240"/>
        </w:trPr>
        <w:tc>
          <w:tcPr>
            <w:tcW w:w="354" w:type="pct"/>
            <w:tcBorders>
              <w:top w:val="nil"/>
              <w:left w:val="single" w:sz="4" w:space="0" w:color="auto"/>
              <w:bottom w:val="single" w:sz="4" w:space="0" w:color="auto"/>
              <w:right w:val="single" w:sz="4" w:space="0" w:color="auto"/>
            </w:tcBorders>
            <w:shd w:val="clear" w:color="auto" w:fill="auto"/>
            <w:noWrap/>
            <w:vAlign w:val="bottom"/>
          </w:tcPr>
          <w:p w14:paraId="2EA6BE0E" w14:textId="77777777" w:rsidR="00B45651" w:rsidRPr="00552870" w:rsidRDefault="00B45651" w:rsidP="00A22A27">
            <w:pPr>
              <w:spacing w:before="120" w:after="0" w:line="240" w:lineRule="auto"/>
              <w:ind w:firstLine="0"/>
              <w:jc w:val="left"/>
              <w:rPr>
                <w:rFonts w:eastAsia="Times New Roman"/>
                <w:b/>
                <w:bCs/>
                <w:sz w:val="20"/>
                <w:szCs w:val="20"/>
                <w:lang w:eastAsia="pt-BR"/>
              </w:rPr>
            </w:pPr>
          </w:p>
        </w:tc>
        <w:tc>
          <w:tcPr>
            <w:tcW w:w="4016" w:type="pct"/>
            <w:tcBorders>
              <w:top w:val="nil"/>
              <w:left w:val="nil"/>
              <w:bottom w:val="single" w:sz="4" w:space="0" w:color="auto"/>
              <w:right w:val="single" w:sz="4" w:space="0" w:color="auto"/>
            </w:tcBorders>
            <w:shd w:val="clear" w:color="auto" w:fill="auto"/>
            <w:noWrap/>
            <w:vAlign w:val="bottom"/>
            <w:hideMark/>
          </w:tcPr>
          <w:p w14:paraId="4DD5FE05" w14:textId="77777777" w:rsidR="00B45651" w:rsidRPr="0056324D" w:rsidRDefault="00B45651" w:rsidP="00A22A27">
            <w:pPr>
              <w:spacing w:before="120" w:after="0" w:line="240" w:lineRule="auto"/>
              <w:ind w:firstLine="0"/>
              <w:jc w:val="left"/>
              <w:rPr>
                <w:rFonts w:eastAsia="Times New Roman"/>
                <w:b/>
                <w:bCs/>
                <w:sz w:val="20"/>
                <w:szCs w:val="20"/>
                <w:lang w:eastAsia="pt-BR"/>
              </w:rPr>
            </w:pPr>
            <w:r w:rsidRPr="008D643C">
              <w:rPr>
                <w:rFonts w:eastAsia="Times New Roman"/>
                <w:b/>
                <w:bCs/>
                <w:sz w:val="20"/>
                <w:szCs w:val="20"/>
                <w:lang w:eastAsia="pt-BR"/>
              </w:rPr>
              <w:t>Demonstração dos Fl</w:t>
            </w:r>
            <w:r w:rsidRPr="0056324D">
              <w:rPr>
                <w:rFonts w:eastAsia="Times New Roman"/>
                <w:b/>
                <w:bCs/>
                <w:sz w:val="20"/>
                <w:szCs w:val="20"/>
                <w:lang w:eastAsia="pt-BR"/>
              </w:rPr>
              <w:t>uxos de Caixa (PL&gt;2 milhões)</w:t>
            </w:r>
          </w:p>
        </w:tc>
        <w:tc>
          <w:tcPr>
            <w:tcW w:w="630" w:type="pct"/>
            <w:tcBorders>
              <w:top w:val="nil"/>
              <w:left w:val="nil"/>
              <w:bottom w:val="single" w:sz="4" w:space="0" w:color="auto"/>
              <w:right w:val="single" w:sz="4" w:space="0" w:color="auto"/>
            </w:tcBorders>
            <w:shd w:val="clear" w:color="auto" w:fill="auto"/>
            <w:noWrap/>
            <w:vAlign w:val="bottom"/>
            <w:hideMark/>
          </w:tcPr>
          <w:p w14:paraId="257EE4FA" w14:textId="77777777" w:rsidR="00B45651" w:rsidRPr="006E2760" w:rsidRDefault="00B45651" w:rsidP="00A22A27">
            <w:pPr>
              <w:spacing w:before="120" w:after="0" w:line="240" w:lineRule="auto"/>
              <w:ind w:firstLine="0"/>
              <w:jc w:val="left"/>
              <w:rPr>
                <w:rFonts w:eastAsia="Times New Roman"/>
                <w:sz w:val="20"/>
                <w:szCs w:val="20"/>
                <w:lang w:eastAsia="pt-BR"/>
              </w:rPr>
            </w:pPr>
            <w:r w:rsidRPr="006E2760">
              <w:rPr>
                <w:rFonts w:eastAsia="Times New Roman"/>
                <w:sz w:val="20"/>
                <w:szCs w:val="20"/>
                <w:lang w:eastAsia="pt-BR"/>
              </w:rPr>
              <w:t>Art. 176</w:t>
            </w:r>
          </w:p>
        </w:tc>
      </w:tr>
      <w:tr w:rsidR="00B45651" w:rsidRPr="00CA1160" w14:paraId="009CF1E6" w14:textId="77777777" w:rsidTr="00A22A27">
        <w:trPr>
          <w:trHeight w:val="240"/>
        </w:trPr>
        <w:tc>
          <w:tcPr>
            <w:tcW w:w="354" w:type="pct"/>
            <w:tcBorders>
              <w:top w:val="nil"/>
              <w:left w:val="single" w:sz="4" w:space="0" w:color="auto"/>
              <w:bottom w:val="single" w:sz="4" w:space="0" w:color="auto"/>
              <w:right w:val="single" w:sz="4" w:space="0" w:color="auto"/>
            </w:tcBorders>
            <w:shd w:val="clear" w:color="auto" w:fill="auto"/>
            <w:noWrap/>
            <w:vAlign w:val="bottom"/>
          </w:tcPr>
          <w:p w14:paraId="2D708E05" w14:textId="77777777" w:rsidR="00B45651" w:rsidRPr="00552870" w:rsidRDefault="00B45651" w:rsidP="00A22A27">
            <w:pPr>
              <w:spacing w:before="120" w:after="0" w:line="240" w:lineRule="auto"/>
              <w:ind w:firstLine="0"/>
              <w:jc w:val="left"/>
              <w:rPr>
                <w:rFonts w:eastAsia="Times New Roman"/>
                <w:sz w:val="20"/>
                <w:szCs w:val="20"/>
                <w:lang w:eastAsia="pt-BR"/>
              </w:rPr>
            </w:pPr>
            <w:r>
              <w:rPr>
                <w:rFonts w:eastAsia="Times New Roman"/>
                <w:sz w:val="20"/>
                <w:szCs w:val="20"/>
                <w:lang w:eastAsia="pt-BR"/>
              </w:rPr>
              <w:t>17</w:t>
            </w:r>
          </w:p>
        </w:tc>
        <w:tc>
          <w:tcPr>
            <w:tcW w:w="4016" w:type="pct"/>
            <w:tcBorders>
              <w:top w:val="nil"/>
              <w:left w:val="nil"/>
              <w:bottom w:val="single" w:sz="4" w:space="0" w:color="auto"/>
              <w:right w:val="single" w:sz="4" w:space="0" w:color="auto"/>
            </w:tcBorders>
            <w:shd w:val="clear" w:color="auto" w:fill="auto"/>
            <w:noWrap/>
            <w:vAlign w:val="bottom"/>
            <w:hideMark/>
          </w:tcPr>
          <w:p w14:paraId="52051847" w14:textId="77777777" w:rsidR="00B45651" w:rsidRPr="00681702" w:rsidRDefault="00B45651" w:rsidP="00A22A27">
            <w:pPr>
              <w:spacing w:before="120" w:after="0" w:line="240" w:lineRule="auto"/>
              <w:ind w:firstLine="0"/>
              <w:jc w:val="left"/>
              <w:rPr>
                <w:rFonts w:eastAsia="Times New Roman"/>
                <w:iCs/>
                <w:sz w:val="20"/>
                <w:szCs w:val="20"/>
                <w:lang w:eastAsia="pt-BR"/>
              </w:rPr>
            </w:pPr>
            <w:r w:rsidRPr="00681702">
              <w:rPr>
                <w:rFonts w:eastAsia="Times New Roman"/>
                <w:iCs/>
                <w:sz w:val="20"/>
                <w:szCs w:val="20"/>
                <w:lang w:eastAsia="pt-BR"/>
              </w:rPr>
              <w:t>Fluxo Operacional</w:t>
            </w:r>
          </w:p>
        </w:tc>
        <w:tc>
          <w:tcPr>
            <w:tcW w:w="630" w:type="pct"/>
            <w:tcBorders>
              <w:top w:val="nil"/>
              <w:left w:val="nil"/>
              <w:bottom w:val="single" w:sz="4" w:space="0" w:color="auto"/>
              <w:right w:val="single" w:sz="4" w:space="0" w:color="auto"/>
            </w:tcBorders>
            <w:shd w:val="clear" w:color="auto" w:fill="auto"/>
            <w:noWrap/>
            <w:vAlign w:val="bottom"/>
            <w:hideMark/>
          </w:tcPr>
          <w:p w14:paraId="28813A0E" w14:textId="77777777" w:rsidR="00B45651" w:rsidRPr="00CA1160" w:rsidRDefault="00B45651" w:rsidP="00A22A27">
            <w:pPr>
              <w:spacing w:before="120" w:after="0" w:line="240" w:lineRule="auto"/>
              <w:ind w:firstLine="0"/>
              <w:jc w:val="left"/>
              <w:rPr>
                <w:rFonts w:eastAsia="Times New Roman"/>
                <w:sz w:val="20"/>
                <w:szCs w:val="20"/>
                <w:lang w:eastAsia="pt-BR"/>
              </w:rPr>
            </w:pPr>
            <w:r w:rsidRPr="00CA1160">
              <w:rPr>
                <w:rFonts w:eastAsia="Times New Roman"/>
                <w:sz w:val="20"/>
                <w:szCs w:val="20"/>
                <w:lang w:eastAsia="pt-BR"/>
              </w:rPr>
              <w:t>Art. 188</w:t>
            </w:r>
          </w:p>
        </w:tc>
      </w:tr>
      <w:tr w:rsidR="00B45651" w:rsidRPr="00CA1160" w14:paraId="07C43B9D" w14:textId="77777777" w:rsidTr="00A22A27">
        <w:trPr>
          <w:trHeight w:val="240"/>
        </w:trPr>
        <w:tc>
          <w:tcPr>
            <w:tcW w:w="354" w:type="pct"/>
            <w:tcBorders>
              <w:top w:val="nil"/>
              <w:left w:val="single" w:sz="4" w:space="0" w:color="auto"/>
              <w:bottom w:val="single" w:sz="4" w:space="0" w:color="auto"/>
              <w:right w:val="single" w:sz="4" w:space="0" w:color="auto"/>
            </w:tcBorders>
            <w:shd w:val="clear" w:color="auto" w:fill="auto"/>
            <w:noWrap/>
            <w:vAlign w:val="bottom"/>
          </w:tcPr>
          <w:p w14:paraId="1FF8AA9F" w14:textId="77777777" w:rsidR="00B45651" w:rsidRPr="00552870" w:rsidRDefault="00B45651" w:rsidP="00A22A27">
            <w:pPr>
              <w:spacing w:before="120" w:after="0" w:line="240" w:lineRule="auto"/>
              <w:ind w:firstLine="0"/>
              <w:jc w:val="left"/>
              <w:rPr>
                <w:rFonts w:eastAsia="Times New Roman"/>
                <w:sz w:val="20"/>
                <w:szCs w:val="20"/>
                <w:lang w:eastAsia="pt-BR"/>
              </w:rPr>
            </w:pPr>
            <w:r>
              <w:rPr>
                <w:rFonts w:eastAsia="Times New Roman"/>
                <w:sz w:val="20"/>
                <w:szCs w:val="20"/>
                <w:lang w:eastAsia="pt-BR"/>
              </w:rPr>
              <w:t>18</w:t>
            </w:r>
          </w:p>
        </w:tc>
        <w:tc>
          <w:tcPr>
            <w:tcW w:w="4016" w:type="pct"/>
            <w:tcBorders>
              <w:top w:val="nil"/>
              <w:left w:val="nil"/>
              <w:bottom w:val="single" w:sz="4" w:space="0" w:color="auto"/>
              <w:right w:val="single" w:sz="4" w:space="0" w:color="auto"/>
            </w:tcBorders>
            <w:shd w:val="clear" w:color="auto" w:fill="auto"/>
            <w:noWrap/>
            <w:vAlign w:val="bottom"/>
            <w:hideMark/>
          </w:tcPr>
          <w:p w14:paraId="21B653BB" w14:textId="77777777" w:rsidR="00B45651" w:rsidRPr="00681702" w:rsidRDefault="00B45651" w:rsidP="00A22A27">
            <w:pPr>
              <w:spacing w:before="120" w:after="0" w:line="240" w:lineRule="auto"/>
              <w:ind w:firstLine="0"/>
              <w:jc w:val="left"/>
              <w:rPr>
                <w:rFonts w:eastAsia="Times New Roman"/>
                <w:iCs/>
                <w:sz w:val="20"/>
                <w:szCs w:val="20"/>
                <w:lang w:eastAsia="pt-BR"/>
              </w:rPr>
            </w:pPr>
            <w:r w:rsidRPr="00681702">
              <w:rPr>
                <w:rFonts w:eastAsia="Times New Roman"/>
                <w:iCs/>
                <w:sz w:val="20"/>
                <w:szCs w:val="20"/>
                <w:lang w:eastAsia="pt-BR"/>
              </w:rPr>
              <w:t>Fluxo Financiamentos</w:t>
            </w:r>
          </w:p>
        </w:tc>
        <w:tc>
          <w:tcPr>
            <w:tcW w:w="630" w:type="pct"/>
            <w:tcBorders>
              <w:top w:val="nil"/>
              <w:left w:val="nil"/>
              <w:bottom w:val="single" w:sz="4" w:space="0" w:color="auto"/>
              <w:right w:val="single" w:sz="4" w:space="0" w:color="auto"/>
            </w:tcBorders>
            <w:shd w:val="clear" w:color="auto" w:fill="auto"/>
            <w:noWrap/>
            <w:vAlign w:val="bottom"/>
            <w:hideMark/>
          </w:tcPr>
          <w:p w14:paraId="6AB6F43A" w14:textId="77777777" w:rsidR="00B45651" w:rsidRPr="00CA1160" w:rsidRDefault="00B45651" w:rsidP="00A22A27">
            <w:pPr>
              <w:spacing w:before="120" w:after="0" w:line="240" w:lineRule="auto"/>
              <w:ind w:firstLine="0"/>
              <w:jc w:val="left"/>
              <w:rPr>
                <w:rFonts w:eastAsia="Times New Roman"/>
                <w:sz w:val="20"/>
                <w:szCs w:val="20"/>
                <w:lang w:eastAsia="pt-BR"/>
              </w:rPr>
            </w:pPr>
            <w:r w:rsidRPr="00CA1160">
              <w:rPr>
                <w:rFonts w:eastAsia="Times New Roman"/>
                <w:sz w:val="20"/>
                <w:szCs w:val="20"/>
                <w:lang w:eastAsia="pt-BR"/>
              </w:rPr>
              <w:t>Art. 188</w:t>
            </w:r>
          </w:p>
        </w:tc>
      </w:tr>
      <w:tr w:rsidR="00B45651" w:rsidRPr="00CA1160" w14:paraId="35231B11" w14:textId="77777777" w:rsidTr="00A22A27">
        <w:trPr>
          <w:trHeight w:val="240"/>
        </w:trPr>
        <w:tc>
          <w:tcPr>
            <w:tcW w:w="354" w:type="pct"/>
            <w:tcBorders>
              <w:top w:val="nil"/>
              <w:left w:val="single" w:sz="4" w:space="0" w:color="auto"/>
              <w:bottom w:val="single" w:sz="4" w:space="0" w:color="auto"/>
              <w:right w:val="single" w:sz="4" w:space="0" w:color="auto"/>
            </w:tcBorders>
            <w:shd w:val="clear" w:color="auto" w:fill="auto"/>
            <w:noWrap/>
            <w:vAlign w:val="bottom"/>
          </w:tcPr>
          <w:p w14:paraId="0E2FAC70" w14:textId="77777777" w:rsidR="00B45651" w:rsidRPr="00CA1160" w:rsidRDefault="00B45651" w:rsidP="00A22A27">
            <w:pPr>
              <w:spacing w:before="120" w:after="0" w:line="240" w:lineRule="auto"/>
              <w:ind w:firstLine="0"/>
              <w:jc w:val="left"/>
              <w:rPr>
                <w:rFonts w:eastAsia="Times New Roman"/>
                <w:sz w:val="20"/>
                <w:szCs w:val="20"/>
                <w:lang w:eastAsia="pt-BR"/>
              </w:rPr>
            </w:pPr>
            <w:r>
              <w:rPr>
                <w:rFonts w:eastAsia="Times New Roman"/>
                <w:sz w:val="20"/>
                <w:szCs w:val="20"/>
                <w:lang w:eastAsia="pt-BR"/>
              </w:rPr>
              <w:t>19</w:t>
            </w:r>
          </w:p>
        </w:tc>
        <w:tc>
          <w:tcPr>
            <w:tcW w:w="4016" w:type="pct"/>
            <w:tcBorders>
              <w:top w:val="nil"/>
              <w:left w:val="nil"/>
              <w:bottom w:val="single" w:sz="4" w:space="0" w:color="auto"/>
              <w:right w:val="single" w:sz="4" w:space="0" w:color="auto"/>
            </w:tcBorders>
            <w:shd w:val="clear" w:color="auto" w:fill="auto"/>
            <w:noWrap/>
            <w:vAlign w:val="bottom"/>
            <w:hideMark/>
          </w:tcPr>
          <w:p w14:paraId="55F6F338" w14:textId="77777777" w:rsidR="00B45651" w:rsidRPr="00681702" w:rsidRDefault="00B45651" w:rsidP="00A22A27">
            <w:pPr>
              <w:spacing w:before="120" w:after="0" w:line="240" w:lineRule="auto"/>
              <w:ind w:firstLine="0"/>
              <w:jc w:val="left"/>
              <w:rPr>
                <w:rFonts w:eastAsia="Times New Roman"/>
                <w:iCs/>
                <w:sz w:val="20"/>
                <w:szCs w:val="20"/>
                <w:lang w:eastAsia="pt-BR"/>
              </w:rPr>
            </w:pPr>
            <w:r w:rsidRPr="00681702">
              <w:rPr>
                <w:rFonts w:eastAsia="Times New Roman"/>
                <w:iCs/>
                <w:sz w:val="20"/>
                <w:szCs w:val="20"/>
                <w:lang w:eastAsia="pt-BR"/>
              </w:rPr>
              <w:t>Fluxo Investimentos</w:t>
            </w:r>
          </w:p>
        </w:tc>
        <w:tc>
          <w:tcPr>
            <w:tcW w:w="630" w:type="pct"/>
            <w:tcBorders>
              <w:top w:val="nil"/>
              <w:left w:val="nil"/>
              <w:bottom w:val="single" w:sz="4" w:space="0" w:color="auto"/>
              <w:right w:val="single" w:sz="4" w:space="0" w:color="auto"/>
            </w:tcBorders>
            <w:shd w:val="clear" w:color="auto" w:fill="auto"/>
            <w:noWrap/>
            <w:vAlign w:val="bottom"/>
            <w:hideMark/>
          </w:tcPr>
          <w:p w14:paraId="7DDD7D76" w14:textId="77777777" w:rsidR="00B45651" w:rsidRPr="00CA1160" w:rsidRDefault="00B45651" w:rsidP="00A22A27">
            <w:pPr>
              <w:spacing w:before="120" w:after="0" w:line="240" w:lineRule="auto"/>
              <w:ind w:firstLine="0"/>
              <w:jc w:val="left"/>
              <w:rPr>
                <w:rFonts w:eastAsia="Times New Roman"/>
                <w:sz w:val="20"/>
                <w:szCs w:val="20"/>
                <w:lang w:eastAsia="pt-BR"/>
              </w:rPr>
            </w:pPr>
            <w:r w:rsidRPr="00CA1160">
              <w:rPr>
                <w:rFonts w:eastAsia="Times New Roman"/>
                <w:sz w:val="20"/>
                <w:szCs w:val="20"/>
                <w:lang w:eastAsia="pt-BR"/>
              </w:rPr>
              <w:t>Art. 188</w:t>
            </w:r>
          </w:p>
        </w:tc>
      </w:tr>
      <w:tr w:rsidR="00B45651" w:rsidRPr="00CA1160" w14:paraId="68582A5B" w14:textId="77777777" w:rsidTr="00A22A27">
        <w:trPr>
          <w:trHeight w:val="315"/>
        </w:trPr>
        <w:tc>
          <w:tcPr>
            <w:tcW w:w="354" w:type="pct"/>
            <w:tcBorders>
              <w:top w:val="nil"/>
              <w:left w:val="single" w:sz="4" w:space="0" w:color="auto"/>
              <w:bottom w:val="single" w:sz="4" w:space="0" w:color="auto"/>
              <w:right w:val="single" w:sz="4" w:space="0" w:color="auto"/>
            </w:tcBorders>
            <w:shd w:val="clear" w:color="auto" w:fill="auto"/>
            <w:noWrap/>
            <w:vAlign w:val="bottom"/>
          </w:tcPr>
          <w:p w14:paraId="1ED2371D" w14:textId="77777777" w:rsidR="00B45651" w:rsidRPr="00CA1160" w:rsidRDefault="00B45651" w:rsidP="00A22A27">
            <w:pPr>
              <w:spacing w:before="120" w:after="0" w:line="240" w:lineRule="auto"/>
              <w:ind w:firstLine="0"/>
              <w:jc w:val="left"/>
              <w:rPr>
                <w:rFonts w:eastAsia="Times New Roman"/>
                <w:sz w:val="20"/>
                <w:szCs w:val="20"/>
                <w:lang w:eastAsia="pt-BR"/>
              </w:rPr>
            </w:pPr>
            <w:r>
              <w:rPr>
                <w:rFonts w:eastAsia="Times New Roman"/>
                <w:sz w:val="20"/>
                <w:szCs w:val="20"/>
                <w:lang w:eastAsia="pt-BR"/>
              </w:rPr>
              <w:t>20</w:t>
            </w:r>
          </w:p>
        </w:tc>
        <w:tc>
          <w:tcPr>
            <w:tcW w:w="4016" w:type="pct"/>
            <w:tcBorders>
              <w:top w:val="nil"/>
              <w:left w:val="nil"/>
              <w:bottom w:val="single" w:sz="4" w:space="0" w:color="auto"/>
              <w:right w:val="single" w:sz="4" w:space="0" w:color="auto"/>
            </w:tcBorders>
            <w:shd w:val="clear" w:color="auto" w:fill="auto"/>
            <w:noWrap/>
            <w:vAlign w:val="bottom"/>
            <w:hideMark/>
          </w:tcPr>
          <w:p w14:paraId="01992882" w14:textId="77777777" w:rsidR="00B45651" w:rsidRPr="00681702" w:rsidRDefault="00B45651" w:rsidP="00A22A27">
            <w:pPr>
              <w:spacing w:before="120" w:after="0" w:line="240" w:lineRule="auto"/>
              <w:ind w:firstLine="0"/>
              <w:jc w:val="left"/>
              <w:rPr>
                <w:rFonts w:eastAsia="Times New Roman"/>
                <w:iCs/>
                <w:sz w:val="20"/>
                <w:szCs w:val="20"/>
                <w:lang w:eastAsia="pt-BR"/>
              </w:rPr>
            </w:pPr>
            <w:r w:rsidRPr="00681702">
              <w:rPr>
                <w:rFonts w:eastAsia="Times New Roman"/>
                <w:iCs/>
                <w:sz w:val="20"/>
                <w:szCs w:val="20"/>
                <w:lang w:eastAsia="pt-BR"/>
              </w:rPr>
              <w:t>Saldo Inicial e Final de Caixa</w:t>
            </w:r>
          </w:p>
        </w:tc>
        <w:tc>
          <w:tcPr>
            <w:tcW w:w="630" w:type="pct"/>
            <w:tcBorders>
              <w:top w:val="nil"/>
              <w:left w:val="nil"/>
              <w:bottom w:val="single" w:sz="4" w:space="0" w:color="auto"/>
              <w:right w:val="single" w:sz="4" w:space="0" w:color="auto"/>
            </w:tcBorders>
            <w:shd w:val="clear" w:color="auto" w:fill="auto"/>
            <w:noWrap/>
            <w:vAlign w:val="bottom"/>
            <w:hideMark/>
          </w:tcPr>
          <w:p w14:paraId="6BB3B5F3" w14:textId="77777777" w:rsidR="00B45651" w:rsidRPr="00CA1160" w:rsidRDefault="00B45651" w:rsidP="00A22A27">
            <w:pPr>
              <w:spacing w:before="120" w:after="0" w:line="240" w:lineRule="auto"/>
              <w:ind w:firstLine="0"/>
              <w:jc w:val="left"/>
              <w:rPr>
                <w:rFonts w:eastAsia="Times New Roman"/>
                <w:sz w:val="20"/>
                <w:szCs w:val="20"/>
                <w:lang w:eastAsia="pt-BR"/>
              </w:rPr>
            </w:pPr>
            <w:r w:rsidRPr="00CA1160">
              <w:rPr>
                <w:rFonts w:eastAsia="Times New Roman"/>
                <w:sz w:val="20"/>
                <w:szCs w:val="20"/>
                <w:lang w:eastAsia="pt-BR"/>
              </w:rPr>
              <w:t>Art. 188</w:t>
            </w:r>
          </w:p>
        </w:tc>
      </w:tr>
      <w:tr w:rsidR="00B45651" w:rsidRPr="00CA1160" w14:paraId="1729EBCF" w14:textId="77777777" w:rsidTr="00A22A27">
        <w:trPr>
          <w:trHeight w:val="255"/>
        </w:trPr>
        <w:tc>
          <w:tcPr>
            <w:tcW w:w="354" w:type="pct"/>
            <w:tcBorders>
              <w:top w:val="nil"/>
              <w:left w:val="single" w:sz="4" w:space="0" w:color="auto"/>
              <w:bottom w:val="single" w:sz="4" w:space="0" w:color="auto"/>
              <w:right w:val="single" w:sz="4" w:space="0" w:color="auto"/>
            </w:tcBorders>
            <w:shd w:val="clear" w:color="auto" w:fill="auto"/>
            <w:noWrap/>
            <w:vAlign w:val="bottom"/>
          </w:tcPr>
          <w:p w14:paraId="195DCCD6" w14:textId="77777777" w:rsidR="00B45651" w:rsidRPr="00552870" w:rsidRDefault="00B45651" w:rsidP="00A22A27">
            <w:pPr>
              <w:spacing w:before="120" w:after="0" w:line="240" w:lineRule="auto"/>
              <w:ind w:firstLine="0"/>
              <w:jc w:val="left"/>
              <w:rPr>
                <w:rFonts w:eastAsia="Times New Roman"/>
                <w:b/>
                <w:bCs/>
                <w:sz w:val="20"/>
                <w:szCs w:val="20"/>
                <w:lang w:eastAsia="pt-BR"/>
              </w:rPr>
            </w:pPr>
          </w:p>
        </w:tc>
        <w:tc>
          <w:tcPr>
            <w:tcW w:w="4016" w:type="pct"/>
            <w:tcBorders>
              <w:top w:val="nil"/>
              <w:left w:val="nil"/>
              <w:bottom w:val="single" w:sz="4" w:space="0" w:color="auto"/>
              <w:right w:val="single" w:sz="4" w:space="0" w:color="auto"/>
            </w:tcBorders>
            <w:shd w:val="clear" w:color="auto" w:fill="auto"/>
            <w:noWrap/>
            <w:vAlign w:val="bottom"/>
            <w:hideMark/>
          </w:tcPr>
          <w:p w14:paraId="3E87F72C" w14:textId="77777777" w:rsidR="00B45651" w:rsidRPr="008D643C" w:rsidRDefault="00B45651" w:rsidP="00A22A27">
            <w:pPr>
              <w:spacing w:before="120" w:after="0" w:line="240" w:lineRule="auto"/>
              <w:ind w:firstLine="0"/>
              <w:jc w:val="left"/>
              <w:rPr>
                <w:rFonts w:eastAsia="Times New Roman"/>
                <w:b/>
                <w:bCs/>
                <w:sz w:val="20"/>
                <w:szCs w:val="20"/>
                <w:lang w:eastAsia="pt-BR"/>
              </w:rPr>
            </w:pPr>
            <w:r w:rsidRPr="008D643C">
              <w:rPr>
                <w:rFonts w:eastAsia="Times New Roman"/>
                <w:b/>
                <w:bCs/>
                <w:sz w:val="20"/>
                <w:szCs w:val="20"/>
                <w:lang w:eastAsia="pt-BR"/>
              </w:rPr>
              <w:t>Demonstração do Valor Adicionado (Se Companhia Aberta)</w:t>
            </w:r>
          </w:p>
        </w:tc>
        <w:tc>
          <w:tcPr>
            <w:tcW w:w="630" w:type="pct"/>
            <w:tcBorders>
              <w:top w:val="nil"/>
              <w:left w:val="nil"/>
              <w:bottom w:val="single" w:sz="4" w:space="0" w:color="auto"/>
              <w:right w:val="single" w:sz="4" w:space="0" w:color="auto"/>
            </w:tcBorders>
            <w:shd w:val="clear" w:color="auto" w:fill="auto"/>
            <w:noWrap/>
            <w:vAlign w:val="bottom"/>
            <w:hideMark/>
          </w:tcPr>
          <w:p w14:paraId="01222D21" w14:textId="77777777" w:rsidR="00B45651" w:rsidRPr="006E2760" w:rsidRDefault="00B45651" w:rsidP="00A22A27">
            <w:pPr>
              <w:spacing w:before="120" w:after="0" w:line="240" w:lineRule="auto"/>
              <w:ind w:firstLine="0"/>
              <w:jc w:val="left"/>
              <w:rPr>
                <w:rFonts w:eastAsia="Times New Roman"/>
                <w:sz w:val="20"/>
                <w:szCs w:val="20"/>
                <w:lang w:eastAsia="pt-BR"/>
              </w:rPr>
            </w:pPr>
            <w:r w:rsidRPr="0056324D">
              <w:rPr>
                <w:rFonts w:eastAsia="Times New Roman"/>
                <w:sz w:val="20"/>
                <w:szCs w:val="20"/>
                <w:lang w:eastAsia="pt-BR"/>
              </w:rPr>
              <w:t>Art.</w:t>
            </w:r>
            <w:r w:rsidRPr="006E2760">
              <w:rPr>
                <w:rFonts w:eastAsia="Times New Roman"/>
                <w:sz w:val="20"/>
                <w:szCs w:val="20"/>
                <w:lang w:eastAsia="pt-BR"/>
              </w:rPr>
              <w:t xml:space="preserve"> 176</w:t>
            </w:r>
          </w:p>
        </w:tc>
      </w:tr>
      <w:tr w:rsidR="00B45651" w:rsidRPr="00CA1160" w14:paraId="4E248267" w14:textId="77777777" w:rsidTr="00A22A27">
        <w:trPr>
          <w:trHeight w:val="255"/>
        </w:trPr>
        <w:tc>
          <w:tcPr>
            <w:tcW w:w="354" w:type="pct"/>
            <w:tcBorders>
              <w:top w:val="nil"/>
              <w:left w:val="single" w:sz="4" w:space="0" w:color="auto"/>
              <w:bottom w:val="single" w:sz="4" w:space="0" w:color="auto"/>
              <w:right w:val="single" w:sz="4" w:space="0" w:color="auto"/>
            </w:tcBorders>
            <w:shd w:val="clear" w:color="auto" w:fill="auto"/>
            <w:noWrap/>
            <w:vAlign w:val="bottom"/>
          </w:tcPr>
          <w:p w14:paraId="3E482D1B" w14:textId="77777777" w:rsidR="00B45651" w:rsidRPr="00CA1160" w:rsidRDefault="00B45651" w:rsidP="00A22A27">
            <w:pPr>
              <w:spacing w:before="120" w:after="0" w:line="240" w:lineRule="auto"/>
              <w:ind w:firstLine="0"/>
              <w:jc w:val="left"/>
              <w:rPr>
                <w:rFonts w:eastAsia="Times New Roman"/>
                <w:sz w:val="20"/>
                <w:szCs w:val="20"/>
                <w:lang w:eastAsia="pt-BR"/>
              </w:rPr>
            </w:pPr>
            <w:r>
              <w:rPr>
                <w:rFonts w:eastAsia="Times New Roman"/>
                <w:sz w:val="20"/>
                <w:szCs w:val="20"/>
                <w:lang w:eastAsia="pt-BR"/>
              </w:rPr>
              <w:t>21</w:t>
            </w:r>
          </w:p>
        </w:tc>
        <w:tc>
          <w:tcPr>
            <w:tcW w:w="4016" w:type="pct"/>
            <w:tcBorders>
              <w:top w:val="nil"/>
              <w:left w:val="nil"/>
              <w:bottom w:val="single" w:sz="4" w:space="0" w:color="auto"/>
              <w:right w:val="single" w:sz="4" w:space="0" w:color="auto"/>
            </w:tcBorders>
            <w:shd w:val="clear" w:color="auto" w:fill="auto"/>
            <w:noWrap/>
            <w:vAlign w:val="bottom"/>
            <w:hideMark/>
          </w:tcPr>
          <w:p w14:paraId="71F74008" w14:textId="77777777" w:rsidR="00B45651" w:rsidRPr="00681702" w:rsidRDefault="00B45651" w:rsidP="00A22A27">
            <w:pPr>
              <w:spacing w:before="120" w:after="0" w:line="240" w:lineRule="auto"/>
              <w:ind w:firstLine="0"/>
              <w:jc w:val="left"/>
              <w:rPr>
                <w:rFonts w:eastAsia="Times New Roman"/>
                <w:iCs/>
                <w:sz w:val="20"/>
                <w:szCs w:val="20"/>
                <w:lang w:eastAsia="pt-BR"/>
              </w:rPr>
            </w:pPr>
            <w:r w:rsidRPr="00681702">
              <w:rPr>
                <w:rFonts w:eastAsia="Times New Roman"/>
                <w:iCs/>
                <w:sz w:val="20"/>
                <w:szCs w:val="20"/>
                <w:lang w:eastAsia="pt-BR"/>
              </w:rPr>
              <w:t>Valor da Riqueza Gerada pela Companhia</w:t>
            </w:r>
          </w:p>
        </w:tc>
        <w:tc>
          <w:tcPr>
            <w:tcW w:w="630" w:type="pct"/>
            <w:tcBorders>
              <w:top w:val="nil"/>
              <w:left w:val="nil"/>
              <w:bottom w:val="single" w:sz="4" w:space="0" w:color="auto"/>
              <w:right w:val="single" w:sz="4" w:space="0" w:color="auto"/>
            </w:tcBorders>
            <w:shd w:val="clear" w:color="auto" w:fill="auto"/>
            <w:noWrap/>
            <w:vAlign w:val="bottom"/>
            <w:hideMark/>
          </w:tcPr>
          <w:p w14:paraId="3560658C" w14:textId="77777777" w:rsidR="00B45651" w:rsidRPr="00CA1160" w:rsidRDefault="00B45651" w:rsidP="00A22A27">
            <w:pPr>
              <w:spacing w:before="120" w:after="0" w:line="240" w:lineRule="auto"/>
              <w:ind w:firstLine="0"/>
              <w:jc w:val="left"/>
              <w:rPr>
                <w:rFonts w:eastAsia="Times New Roman"/>
                <w:sz w:val="20"/>
                <w:szCs w:val="20"/>
                <w:lang w:eastAsia="pt-BR"/>
              </w:rPr>
            </w:pPr>
            <w:r w:rsidRPr="00CA1160">
              <w:rPr>
                <w:rFonts w:eastAsia="Times New Roman"/>
                <w:sz w:val="20"/>
                <w:szCs w:val="20"/>
                <w:lang w:eastAsia="pt-BR"/>
              </w:rPr>
              <w:t>Art. 188</w:t>
            </w:r>
          </w:p>
        </w:tc>
      </w:tr>
      <w:tr w:rsidR="00B45651" w:rsidRPr="00CA1160" w14:paraId="522B7699" w14:textId="77777777" w:rsidTr="00A22A27">
        <w:trPr>
          <w:trHeight w:val="255"/>
        </w:trPr>
        <w:tc>
          <w:tcPr>
            <w:tcW w:w="354" w:type="pct"/>
            <w:tcBorders>
              <w:top w:val="nil"/>
              <w:left w:val="single" w:sz="4" w:space="0" w:color="auto"/>
              <w:bottom w:val="single" w:sz="4" w:space="0" w:color="auto"/>
              <w:right w:val="single" w:sz="4" w:space="0" w:color="auto"/>
            </w:tcBorders>
            <w:shd w:val="clear" w:color="auto" w:fill="auto"/>
            <w:noWrap/>
            <w:vAlign w:val="bottom"/>
          </w:tcPr>
          <w:p w14:paraId="69AB7B63" w14:textId="77777777" w:rsidR="00B45651" w:rsidRPr="00CA1160" w:rsidRDefault="00B45651" w:rsidP="00A22A27">
            <w:pPr>
              <w:spacing w:before="120" w:after="0" w:line="240" w:lineRule="auto"/>
              <w:ind w:firstLine="0"/>
              <w:jc w:val="left"/>
              <w:rPr>
                <w:rFonts w:eastAsia="Times New Roman"/>
                <w:sz w:val="20"/>
                <w:szCs w:val="20"/>
                <w:lang w:eastAsia="pt-BR"/>
              </w:rPr>
            </w:pPr>
            <w:r>
              <w:rPr>
                <w:rFonts w:eastAsia="Times New Roman"/>
                <w:sz w:val="20"/>
                <w:szCs w:val="20"/>
                <w:lang w:eastAsia="pt-BR"/>
              </w:rPr>
              <w:t>22</w:t>
            </w:r>
          </w:p>
        </w:tc>
        <w:tc>
          <w:tcPr>
            <w:tcW w:w="4016" w:type="pct"/>
            <w:tcBorders>
              <w:top w:val="nil"/>
              <w:left w:val="nil"/>
              <w:bottom w:val="single" w:sz="4" w:space="0" w:color="auto"/>
              <w:right w:val="single" w:sz="4" w:space="0" w:color="auto"/>
            </w:tcBorders>
            <w:shd w:val="clear" w:color="auto" w:fill="auto"/>
            <w:noWrap/>
            <w:vAlign w:val="bottom"/>
            <w:hideMark/>
          </w:tcPr>
          <w:p w14:paraId="72A97A3A" w14:textId="77777777" w:rsidR="00B45651" w:rsidRPr="00681702" w:rsidRDefault="00B45651" w:rsidP="00A22A27">
            <w:pPr>
              <w:spacing w:before="120" w:after="0" w:line="240" w:lineRule="auto"/>
              <w:ind w:firstLine="0"/>
              <w:jc w:val="left"/>
              <w:rPr>
                <w:rFonts w:eastAsia="Times New Roman"/>
                <w:iCs/>
                <w:sz w:val="20"/>
                <w:szCs w:val="20"/>
                <w:lang w:eastAsia="pt-BR"/>
              </w:rPr>
            </w:pPr>
            <w:r w:rsidRPr="00681702">
              <w:rPr>
                <w:rFonts w:eastAsia="Times New Roman"/>
                <w:iCs/>
                <w:sz w:val="20"/>
                <w:szCs w:val="20"/>
                <w:lang w:eastAsia="pt-BR"/>
              </w:rPr>
              <w:t>Distribuição entre empregados, financiadores, acionistas, governo e a parcela não distribuída</w:t>
            </w:r>
          </w:p>
        </w:tc>
        <w:tc>
          <w:tcPr>
            <w:tcW w:w="630" w:type="pct"/>
            <w:tcBorders>
              <w:top w:val="nil"/>
              <w:left w:val="nil"/>
              <w:bottom w:val="single" w:sz="4" w:space="0" w:color="auto"/>
              <w:right w:val="single" w:sz="4" w:space="0" w:color="auto"/>
            </w:tcBorders>
            <w:shd w:val="clear" w:color="auto" w:fill="auto"/>
            <w:noWrap/>
            <w:vAlign w:val="bottom"/>
            <w:hideMark/>
          </w:tcPr>
          <w:p w14:paraId="6AC2E72C" w14:textId="77777777" w:rsidR="00B45651" w:rsidRPr="00CA1160" w:rsidRDefault="00B45651" w:rsidP="00A22A27">
            <w:pPr>
              <w:spacing w:before="120" w:after="0" w:line="240" w:lineRule="auto"/>
              <w:ind w:firstLine="0"/>
              <w:jc w:val="left"/>
              <w:rPr>
                <w:rFonts w:eastAsia="Times New Roman"/>
                <w:sz w:val="20"/>
                <w:szCs w:val="20"/>
                <w:lang w:eastAsia="pt-BR"/>
              </w:rPr>
            </w:pPr>
            <w:r w:rsidRPr="00CA1160">
              <w:rPr>
                <w:rFonts w:eastAsia="Times New Roman"/>
                <w:sz w:val="20"/>
                <w:szCs w:val="20"/>
                <w:lang w:eastAsia="pt-BR"/>
              </w:rPr>
              <w:t>Art. 188</w:t>
            </w:r>
          </w:p>
        </w:tc>
      </w:tr>
      <w:tr w:rsidR="00B45651" w:rsidRPr="00CA1160" w14:paraId="25FFA97A" w14:textId="77777777" w:rsidTr="00A22A27">
        <w:trPr>
          <w:trHeight w:val="255"/>
        </w:trPr>
        <w:tc>
          <w:tcPr>
            <w:tcW w:w="4370" w:type="pct"/>
            <w:gridSpan w:val="2"/>
            <w:tcBorders>
              <w:top w:val="nil"/>
              <w:left w:val="nil"/>
              <w:bottom w:val="nil"/>
              <w:right w:val="nil"/>
            </w:tcBorders>
            <w:shd w:val="clear" w:color="auto" w:fill="auto"/>
            <w:noWrap/>
            <w:vAlign w:val="center"/>
            <w:hideMark/>
          </w:tcPr>
          <w:p w14:paraId="6871AFD5" w14:textId="77777777" w:rsidR="00B45651" w:rsidRPr="00CA1160" w:rsidRDefault="00B45651" w:rsidP="00A22A27">
            <w:pPr>
              <w:spacing w:line="240" w:lineRule="auto"/>
              <w:ind w:firstLine="0"/>
              <w:jc w:val="left"/>
              <w:rPr>
                <w:rFonts w:eastAsia="Times New Roman"/>
                <w:sz w:val="20"/>
                <w:szCs w:val="20"/>
                <w:lang w:eastAsia="pt-BR"/>
              </w:rPr>
            </w:pPr>
            <w:r w:rsidRPr="00CA1160">
              <w:rPr>
                <w:rFonts w:eastAsia="Times New Roman"/>
                <w:sz w:val="22"/>
                <w:szCs w:val="20"/>
                <w:lang w:eastAsia="pt-BR"/>
              </w:rPr>
              <w:t>Fonte: Lei 6.404/76 e Alterações.</w:t>
            </w:r>
          </w:p>
        </w:tc>
        <w:tc>
          <w:tcPr>
            <w:tcW w:w="630" w:type="pct"/>
            <w:tcBorders>
              <w:top w:val="nil"/>
              <w:left w:val="nil"/>
              <w:bottom w:val="nil"/>
              <w:right w:val="nil"/>
            </w:tcBorders>
            <w:shd w:val="clear" w:color="auto" w:fill="auto"/>
            <w:noWrap/>
            <w:vAlign w:val="bottom"/>
            <w:hideMark/>
          </w:tcPr>
          <w:p w14:paraId="6C737FED" w14:textId="77777777" w:rsidR="00B45651" w:rsidRPr="00CA1160" w:rsidRDefault="00B45651" w:rsidP="00A22A27">
            <w:pPr>
              <w:keepNext/>
              <w:spacing w:line="240" w:lineRule="auto"/>
              <w:ind w:firstLine="0"/>
              <w:jc w:val="left"/>
              <w:rPr>
                <w:rFonts w:eastAsia="Times New Roman"/>
                <w:sz w:val="20"/>
                <w:szCs w:val="20"/>
                <w:lang w:eastAsia="pt-BR"/>
              </w:rPr>
            </w:pPr>
          </w:p>
        </w:tc>
      </w:tr>
    </w:tbl>
    <w:p w14:paraId="5C1562E5" w14:textId="2AFA9DDE" w:rsidR="00B45651" w:rsidRPr="00783EEE" w:rsidRDefault="00B45651" w:rsidP="00B45651">
      <w:pPr>
        <w:ind w:firstLine="0"/>
        <w:rPr>
          <w:szCs w:val="24"/>
          <w:shd w:val="clear" w:color="auto" w:fill="FFFFFF"/>
        </w:rPr>
      </w:pPr>
      <w:r w:rsidRPr="00783EEE">
        <w:rPr>
          <w:sz w:val="22"/>
          <w:shd w:val="clear" w:color="auto" w:fill="FFFFFF"/>
        </w:rPr>
        <w:tab/>
      </w:r>
      <w:r w:rsidRPr="00783EEE">
        <w:rPr>
          <w:szCs w:val="24"/>
          <w:shd w:val="clear" w:color="auto" w:fill="FFFFFF"/>
        </w:rPr>
        <w:t xml:space="preserve">No Quadro </w:t>
      </w:r>
      <w:r>
        <w:rPr>
          <w:szCs w:val="24"/>
          <w:shd w:val="clear" w:color="auto" w:fill="FFFFFF"/>
        </w:rPr>
        <w:t>1</w:t>
      </w:r>
      <w:r w:rsidRPr="00783EEE">
        <w:rPr>
          <w:szCs w:val="24"/>
          <w:shd w:val="clear" w:color="auto" w:fill="FFFFFF"/>
        </w:rPr>
        <w:t>, estão contidas todas as informações relativas as estruturas das demonstrações financeiras como o Balanço Patrimonial, Demonstração do Resultado do Exercício, Demonstração dos Fluxos de Caixa e Demonstração do Valor Adicionado.</w:t>
      </w:r>
    </w:p>
    <w:tbl>
      <w:tblPr>
        <w:tblW w:w="5000" w:type="pct"/>
        <w:tblCellMar>
          <w:left w:w="70" w:type="dxa"/>
          <w:right w:w="70" w:type="dxa"/>
        </w:tblCellMar>
        <w:tblLook w:val="04A0" w:firstRow="1" w:lastRow="0" w:firstColumn="1" w:lastColumn="0" w:noHBand="0" w:noVBand="1"/>
      </w:tblPr>
      <w:tblGrid>
        <w:gridCol w:w="571"/>
        <w:gridCol w:w="7205"/>
        <w:gridCol w:w="1435"/>
      </w:tblGrid>
      <w:tr w:rsidR="00B45651" w:rsidRPr="00783EEE" w14:paraId="2EFBBDFC" w14:textId="77777777" w:rsidTr="00A22A27">
        <w:trPr>
          <w:trHeight w:val="255"/>
        </w:trPr>
        <w:tc>
          <w:tcPr>
            <w:tcW w:w="5000" w:type="pct"/>
            <w:gridSpan w:val="3"/>
            <w:tcBorders>
              <w:top w:val="nil"/>
              <w:left w:val="nil"/>
              <w:bottom w:val="nil"/>
              <w:right w:val="nil"/>
            </w:tcBorders>
            <w:shd w:val="clear" w:color="auto" w:fill="auto"/>
            <w:noWrap/>
            <w:vAlign w:val="bottom"/>
            <w:hideMark/>
          </w:tcPr>
          <w:p w14:paraId="3B7FC029" w14:textId="39C5747F" w:rsidR="00B45651" w:rsidRPr="00700409" w:rsidRDefault="00B45651" w:rsidP="00B45651">
            <w:pPr>
              <w:spacing w:after="0" w:line="240" w:lineRule="auto"/>
              <w:ind w:firstLine="0"/>
              <w:jc w:val="center"/>
              <w:rPr>
                <w:sz w:val="20"/>
                <w:szCs w:val="20"/>
                <w:shd w:val="clear" w:color="auto" w:fill="FFFFFF"/>
              </w:rPr>
            </w:pPr>
            <w:bookmarkStart w:id="14" w:name="_Toc413142526"/>
            <w:r w:rsidRPr="00700409">
              <w:rPr>
                <w:b/>
                <w:sz w:val="20"/>
                <w:szCs w:val="20"/>
                <w:shd w:val="clear" w:color="auto" w:fill="FFFFFF"/>
              </w:rPr>
              <w:lastRenderedPageBreak/>
              <w:t xml:space="preserve">Quadro </w:t>
            </w:r>
            <w:r w:rsidRPr="00700409">
              <w:rPr>
                <w:b/>
                <w:iCs/>
                <w:sz w:val="20"/>
                <w:szCs w:val="20"/>
                <w:shd w:val="clear" w:color="auto" w:fill="FFFFFF"/>
              </w:rPr>
              <w:t>2</w:t>
            </w:r>
            <w:r w:rsidRPr="00700409">
              <w:rPr>
                <w:b/>
                <w:sz w:val="20"/>
                <w:szCs w:val="20"/>
                <w:shd w:val="clear" w:color="auto" w:fill="FFFFFF"/>
              </w:rPr>
              <w:t>:</w:t>
            </w:r>
            <w:r w:rsidRPr="00700409">
              <w:rPr>
                <w:sz w:val="20"/>
                <w:szCs w:val="20"/>
                <w:shd w:val="clear" w:color="auto" w:fill="FFFFFF"/>
              </w:rPr>
              <w:t xml:space="preserve"> Índice de Divulgação Compulsória (IDC) – Informações Gerais</w:t>
            </w:r>
            <w:bookmarkEnd w:id="14"/>
          </w:p>
        </w:tc>
      </w:tr>
      <w:tr w:rsidR="00B45651" w:rsidRPr="00783EEE" w14:paraId="58D0407E" w14:textId="77777777" w:rsidTr="00A22A27">
        <w:trPr>
          <w:trHeight w:val="255"/>
        </w:trPr>
        <w:tc>
          <w:tcPr>
            <w:tcW w:w="3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44544" w14:textId="77777777" w:rsidR="00B45651" w:rsidRPr="00783EEE" w:rsidRDefault="00B45651" w:rsidP="00A22A27">
            <w:pPr>
              <w:spacing w:after="0" w:line="240" w:lineRule="auto"/>
              <w:ind w:firstLine="0"/>
              <w:jc w:val="left"/>
              <w:rPr>
                <w:rFonts w:eastAsia="Times New Roman"/>
                <w:b/>
                <w:bCs/>
                <w:sz w:val="20"/>
                <w:szCs w:val="20"/>
                <w:lang w:eastAsia="pt-BR"/>
              </w:rPr>
            </w:pPr>
            <w:r>
              <w:rPr>
                <w:rFonts w:eastAsia="Times New Roman"/>
                <w:b/>
                <w:bCs/>
                <w:sz w:val="20"/>
                <w:szCs w:val="20"/>
                <w:lang w:eastAsia="pt-BR"/>
              </w:rPr>
              <w:t xml:space="preserve"> </w:t>
            </w:r>
          </w:p>
        </w:tc>
        <w:tc>
          <w:tcPr>
            <w:tcW w:w="3911" w:type="pct"/>
            <w:tcBorders>
              <w:top w:val="single" w:sz="4" w:space="0" w:color="auto"/>
              <w:left w:val="nil"/>
              <w:bottom w:val="single" w:sz="4" w:space="0" w:color="auto"/>
              <w:right w:val="single" w:sz="4" w:space="0" w:color="auto"/>
            </w:tcBorders>
            <w:shd w:val="clear" w:color="auto" w:fill="auto"/>
            <w:noWrap/>
            <w:vAlign w:val="bottom"/>
            <w:hideMark/>
          </w:tcPr>
          <w:p w14:paraId="40D1F794" w14:textId="77777777" w:rsidR="00B45651" w:rsidRPr="00783EEE" w:rsidRDefault="00B45651" w:rsidP="00A22A27">
            <w:pPr>
              <w:spacing w:after="0" w:line="240" w:lineRule="auto"/>
              <w:ind w:firstLine="0"/>
              <w:jc w:val="left"/>
              <w:rPr>
                <w:rFonts w:eastAsia="Times New Roman"/>
                <w:b/>
                <w:bCs/>
                <w:sz w:val="20"/>
                <w:szCs w:val="20"/>
                <w:lang w:eastAsia="pt-BR"/>
              </w:rPr>
            </w:pPr>
            <w:r>
              <w:rPr>
                <w:rFonts w:eastAsia="Times New Roman"/>
                <w:b/>
                <w:bCs/>
                <w:sz w:val="20"/>
                <w:szCs w:val="20"/>
                <w:lang w:eastAsia="pt-BR"/>
              </w:rPr>
              <w:t>Itens</w:t>
            </w:r>
          </w:p>
        </w:tc>
        <w:tc>
          <w:tcPr>
            <w:tcW w:w="779" w:type="pct"/>
            <w:tcBorders>
              <w:top w:val="single" w:sz="4" w:space="0" w:color="auto"/>
              <w:left w:val="nil"/>
              <w:bottom w:val="single" w:sz="4" w:space="0" w:color="auto"/>
              <w:right w:val="single" w:sz="4" w:space="0" w:color="auto"/>
            </w:tcBorders>
            <w:shd w:val="clear" w:color="auto" w:fill="auto"/>
            <w:noWrap/>
            <w:vAlign w:val="bottom"/>
            <w:hideMark/>
          </w:tcPr>
          <w:p w14:paraId="5213B33E" w14:textId="77777777" w:rsidR="00B45651" w:rsidRPr="00783EEE" w:rsidRDefault="00B45651" w:rsidP="00A22A27">
            <w:pPr>
              <w:spacing w:after="0" w:line="240" w:lineRule="auto"/>
              <w:ind w:firstLine="0"/>
              <w:jc w:val="left"/>
              <w:rPr>
                <w:rFonts w:eastAsia="Times New Roman"/>
                <w:b/>
                <w:bCs/>
                <w:sz w:val="20"/>
                <w:szCs w:val="20"/>
                <w:lang w:eastAsia="pt-BR"/>
              </w:rPr>
            </w:pPr>
            <w:r>
              <w:rPr>
                <w:rFonts w:eastAsia="Times New Roman"/>
                <w:b/>
                <w:bCs/>
                <w:sz w:val="20"/>
                <w:szCs w:val="20"/>
                <w:lang w:eastAsia="pt-BR"/>
              </w:rPr>
              <w:t>Fonte</w:t>
            </w:r>
          </w:p>
        </w:tc>
      </w:tr>
      <w:tr w:rsidR="00B45651" w:rsidRPr="00783EEE" w14:paraId="03075EAF" w14:textId="77777777" w:rsidTr="00A22A27">
        <w:trPr>
          <w:trHeight w:val="255"/>
        </w:trPr>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4846FBFD" w14:textId="77777777" w:rsidR="00B45651" w:rsidRPr="00783EEE" w:rsidRDefault="00B45651" w:rsidP="00A22A27">
            <w:pPr>
              <w:spacing w:after="0" w:line="240" w:lineRule="auto"/>
              <w:ind w:firstLine="0"/>
              <w:jc w:val="left"/>
              <w:rPr>
                <w:rFonts w:eastAsia="Times New Roman"/>
                <w:sz w:val="20"/>
                <w:szCs w:val="20"/>
                <w:lang w:eastAsia="pt-BR"/>
              </w:rPr>
            </w:pPr>
            <w:r>
              <w:rPr>
                <w:rFonts w:eastAsia="Times New Roman"/>
                <w:sz w:val="20"/>
                <w:szCs w:val="20"/>
                <w:lang w:eastAsia="pt-BR"/>
              </w:rPr>
              <w:t>23</w:t>
            </w:r>
          </w:p>
        </w:tc>
        <w:tc>
          <w:tcPr>
            <w:tcW w:w="3911" w:type="pct"/>
            <w:tcBorders>
              <w:top w:val="nil"/>
              <w:left w:val="nil"/>
              <w:bottom w:val="single" w:sz="4" w:space="0" w:color="auto"/>
              <w:right w:val="single" w:sz="4" w:space="0" w:color="auto"/>
            </w:tcBorders>
            <w:shd w:val="clear" w:color="auto" w:fill="auto"/>
            <w:noWrap/>
            <w:vAlign w:val="bottom"/>
            <w:hideMark/>
          </w:tcPr>
          <w:p w14:paraId="663DE70F" w14:textId="77777777" w:rsidR="00B45651" w:rsidRPr="00783EEE" w:rsidRDefault="00B45651" w:rsidP="00A22A27">
            <w:pPr>
              <w:spacing w:after="0" w:line="240" w:lineRule="auto"/>
              <w:ind w:firstLine="0"/>
              <w:jc w:val="left"/>
              <w:rPr>
                <w:rFonts w:eastAsia="Times New Roman"/>
                <w:sz w:val="20"/>
                <w:szCs w:val="20"/>
                <w:lang w:eastAsia="pt-BR"/>
              </w:rPr>
            </w:pPr>
            <w:r w:rsidRPr="00783EEE">
              <w:rPr>
                <w:rFonts w:eastAsia="Times New Roman"/>
                <w:sz w:val="20"/>
                <w:szCs w:val="20"/>
                <w:lang w:eastAsia="pt-BR"/>
              </w:rPr>
              <w:t>Demonstrações com informações Comparativas do ano anterior</w:t>
            </w:r>
          </w:p>
        </w:tc>
        <w:tc>
          <w:tcPr>
            <w:tcW w:w="779" w:type="pct"/>
            <w:tcBorders>
              <w:top w:val="nil"/>
              <w:left w:val="nil"/>
              <w:bottom w:val="single" w:sz="4" w:space="0" w:color="auto"/>
              <w:right w:val="single" w:sz="4" w:space="0" w:color="auto"/>
            </w:tcBorders>
            <w:shd w:val="clear" w:color="auto" w:fill="auto"/>
            <w:noWrap/>
            <w:vAlign w:val="bottom"/>
            <w:hideMark/>
          </w:tcPr>
          <w:p w14:paraId="6FD61598" w14:textId="77777777" w:rsidR="00B45651" w:rsidRPr="00783EEE" w:rsidRDefault="00B45651" w:rsidP="00A22A27">
            <w:pPr>
              <w:spacing w:after="0" w:line="240" w:lineRule="auto"/>
              <w:ind w:firstLine="0"/>
              <w:jc w:val="left"/>
              <w:rPr>
                <w:rFonts w:eastAsia="Times New Roman"/>
                <w:sz w:val="20"/>
                <w:szCs w:val="20"/>
                <w:lang w:eastAsia="pt-BR"/>
              </w:rPr>
            </w:pPr>
            <w:r w:rsidRPr="00783EEE">
              <w:rPr>
                <w:rFonts w:eastAsia="Times New Roman"/>
                <w:sz w:val="20"/>
                <w:szCs w:val="20"/>
                <w:lang w:eastAsia="pt-BR"/>
              </w:rPr>
              <w:t>Art. 295 (a)/176</w:t>
            </w:r>
          </w:p>
        </w:tc>
      </w:tr>
      <w:tr w:rsidR="00B45651" w:rsidRPr="00783EEE" w14:paraId="20F56D67" w14:textId="77777777" w:rsidTr="00A22A27">
        <w:trPr>
          <w:trHeight w:val="255"/>
        </w:trPr>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4CC819CB" w14:textId="77777777" w:rsidR="00B45651" w:rsidRPr="00783EEE" w:rsidRDefault="00B45651" w:rsidP="00A22A27">
            <w:pPr>
              <w:spacing w:after="0" w:line="240" w:lineRule="auto"/>
              <w:ind w:firstLine="0"/>
              <w:jc w:val="left"/>
              <w:rPr>
                <w:rFonts w:eastAsia="Times New Roman"/>
                <w:sz w:val="20"/>
                <w:szCs w:val="20"/>
                <w:lang w:eastAsia="pt-BR"/>
              </w:rPr>
            </w:pPr>
            <w:r>
              <w:rPr>
                <w:rFonts w:eastAsia="Times New Roman"/>
                <w:sz w:val="20"/>
                <w:szCs w:val="20"/>
                <w:lang w:eastAsia="pt-BR"/>
              </w:rPr>
              <w:t>24</w:t>
            </w:r>
          </w:p>
        </w:tc>
        <w:tc>
          <w:tcPr>
            <w:tcW w:w="3911" w:type="pct"/>
            <w:tcBorders>
              <w:top w:val="nil"/>
              <w:left w:val="nil"/>
              <w:bottom w:val="single" w:sz="4" w:space="0" w:color="auto"/>
              <w:right w:val="single" w:sz="4" w:space="0" w:color="auto"/>
            </w:tcBorders>
            <w:shd w:val="clear" w:color="auto" w:fill="auto"/>
            <w:noWrap/>
            <w:vAlign w:val="bottom"/>
            <w:hideMark/>
          </w:tcPr>
          <w:p w14:paraId="33925FC2" w14:textId="77777777" w:rsidR="00B45651" w:rsidRPr="00783EEE" w:rsidRDefault="00B45651" w:rsidP="00A22A27">
            <w:pPr>
              <w:spacing w:after="0" w:line="240" w:lineRule="auto"/>
              <w:ind w:firstLine="0"/>
              <w:jc w:val="left"/>
              <w:rPr>
                <w:rFonts w:eastAsia="Times New Roman"/>
                <w:sz w:val="20"/>
                <w:szCs w:val="20"/>
                <w:lang w:eastAsia="pt-BR"/>
              </w:rPr>
            </w:pPr>
            <w:r w:rsidRPr="00783EEE">
              <w:rPr>
                <w:rFonts w:eastAsia="Times New Roman"/>
                <w:sz w:val="20"/>
                <w:szCs w:val="20"/>
                <w:lang w:eastAsia="pt-BR"/>
              </w:rPr>
              <w:t>Demonstrações com indicação do Conselho Fiscal</w:t>
            </w:r>
          </w:p>
        </w:tc>
        <w:tc>
          <w:tcPr>
            <w:tcW w:w="779" w:type="pct"/>
            <w:tcBorders>
              <w:top w:val="nil"/>
              <w:left w:val="nil"/>
              <w:bottom w:val="single" w:sz="4" w:space="0" w:color="auto"/>
              <w:right w:val="single" w:sz="4" w:space="0" w:color="auto"/>
            </w:tcBorders>
            <w:shd w:val="clear" w:color="auto" w:fill="auto"/>
            <w:noWrap/>
            <w:vAlign w:val="bottom"/>
            <w:hideMark/>
          </w:tcPr>
          <w:p w14:paraId="11706C3F" w14:textId="77777777" w:rsidR="00B45651" w:rsidRPr="00783EEE" w:rsidRDefault="00B45651" w:rsidP="00A22A27">
            <w:pPr>
              <w:spacing w:after="0" w:line="240" w:lineRule="auto"/>
              <w:ind w:firstLine="0"/>
              <w:jc w:val="left"/>
              <w:rPr>
                <w:rFonts w:eastAsia="Times New Roman"/>
                <w:sz w:val="20"/>
                <w:szCs w:val="20"/>
                <w:lang w:eastAsia="pt-BR"/>
              </w:rPr>
            </w:pPr>
            <w:r w:rsidRPr="00783EEE">
              <w:rPr>
                <w:rFonts w:eastAsia="Times New Roman"/>
                <w:sz w:val="20"/>
                <w:szCs w:val="20"/>
                <w:lang w:eastAsia="pt-BR"/>
              </w:rPr>
              <w:t>Art. 240</w:t>
            </w:r>
          </w:p>
        </w:tc>
      </w:tr>
      <w:tr w:rsidR="00B45651" w:rsidRPr="00783EEE" w14:paraId="35DFDED3" w14:textId="77777777" w:rsidTr="00A22A27">
        <w:trPr>
          <w:trHeight w:val="255"/>
        </w:trPr>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0272CAF5" w14:textId="77777777" w:rsidR="00B45651" w:rsidRPr="00783EEE" w:rsidRDefault="00B45651" w:rsidP="00A22A27">
            <w:pPr>
              <w:spacing w:after="0" w:line="240" w:lineRule="auto"/>
              <w:ind w:firstLine="0"/>
              <w:jc w:val="left"/>
              <w:rPr>
                <w:rFonts w:eastAsia="Times New Roman"/>
                <w:sz w:val="20"/>
                <w:szCs w:val="20"/>
                <w:lang w:eastAsia="pt-BR"/>
              </w:rPr>
            </w:pPr>
            <w:r>
              <w:rPr>
                <w:rFonts w:eastAsia="Times New Roman"/>
                <w:sz w:val="20"/>
                <w:szCs w:val="20"/>
                <w:lang w:eastAsia="pt-BR"/>
              </w:rPr>
              <w:t>25</w:t>
            </w:r>
          </w:p>
        </w:tc>
        <w:tc>
          <w:tcPr>
            <w:tcW w:w="3911" w:type="pct"/>
            <w:tcBorders>
              <w:top w:val="nil"/>
              <w:left w:val="nil"/>
              <w:bottom w:val="single" w:sz="4" w:space="0" w:color="auto"/>
              <w:right w:val="single" w:sz="4" w:space="0" w:color="auto"/>
            </w:tcBorders>
            <w:shd w:val="clear" w:color="auto" w:fill="auto"/>
            <w:noWrap/>
            <w:vAlign w:val="bottom"/>
            <w:hideMark/>
          </w:tcPr>
          <w:p w14:paraId="08E0D7DF" w14:textId="77777777" w:rsidR="00B45651" w:rsidRPr="00783EEE" w:rsidRDefault="00B45651" w:rsidP="00A22A27">
            <w:pPr>
              <w:spacing w:after="0" w:line="240" w:lineRule="auto"/>
              <w:ind w:firstLine="0"/>
              <w:jc w:val="left"/>
              <w:rPr>
                <w:rFonts w:eastAsia="Times New Roman"/>
                <w:sz w:val="20"/>
                <w:szCs w:val="20"/>
                <w:lang w:eastAsia="pt-BR"/>
              </w:rPr>
            </w:pPr>
            <w:r w:rsidRPr="00783EEE">
              <w:rPr>
                <w:rFonts w:eastAsia="Times New Roman"/>
                <w:sz w:val="20"/>
                <w:szCs w:val="20"/>
                <w:lang w:eastAsia="pt-BR"/>
              </w:rPr>
              <w:t>Demonstrações com indicação do Contador/Auditor</w:t>
            </w:r>
          </w:p>
        </w:tc>
        <w:tc>
          <w:tcPr>
            <w:tcW w:w="779" w:type="pct"/>
            <w:tcBorders>
              <w:top w:val="nil"/>
              <w:left w:val="nil"/>
              <w:bottom w:val="single" w:sz="4" w:space="0" w:color="auto"/>
              <w:right w:val="single" w:sz="4" w:space="0" w:color="auto"/>
            </w:tcBorders>
            <w:shd w:val="clear" w:color="auto" w:fill="auto"/>
            <w:noWrap/>
            <w:vAlign w:val="bottom"/>
            <w:hideMark/>
          </w:tcPr>
          <w:p w14:paraId="34C648B4" w14:textId="77777777" w:rsidR="00B45651" w:rsidRPr="00783EEE" w:rsidRDefault="00B45651" w:rsidP="00A22A27">
            <w:pPr>
              <w:spacing w:after="0" w:line="240" w:lineRule="auto"/>
              <w:ind w:firstLine="0"/>
              <w:jc w:val="left"/>
              <w:rPr>
                <w:rFonts w:eastAsia="Times New Roman"/>
                <w:sz w:val="20"/>
                <w:szCs w:val="20"/>
                <w:lang w:eastAsia="pt-BR"/>
              </w:rPr>
            </w:pPr>
            <w:r w:rsidRPr="00783EEE">
              <w:rPr>
                <w:rFonts w:eastAsia="Times New Roman"/>
                <w:sz w:val="20"/>
                <w:szCs w:val="20"/>
                <w:lang w:eastAsia="pt-BR"/>
              </w:rPr>
              <w:t>Art. 177 § 4º</w:t>
            </w:r>
          </w:p>
        </w:tc>
      </w:tr>
      <w:tr w:rsidR="00B45651" w:rsidRPr="00783EEE" w14:paraId="2F78882D" w14:textId="77777777" w:rsidTr="00A22A27">
        <w:trPr>
          <w:trHeight w:val="255"/>
        </w:trPr>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68740D25" w14:textId="77777777" w:rsidR="00B45651" w:rsidRPr="00783EEE" w:rsidRDefault="00B45651" w:rsidP="00A22A27">
            <w:pPr>
              <w:spacing w:after="0" w:line="240" w:lineRule="auto"/>
              <w:ind w:firstLine="0"/>
              <w:jc w:val="left"/>
              <w:rPr>
                <w:rFonts w:eastAsia="Times New Roman"/>
                <w:sz w:val="20"/>
                <w:szCs w:val="20"/>
                <w:lang w:eastAsia="pt-BR"/>
              </w:rPr>
            </w:pPr>
            <w:r>
              <w:rPr>
                <w:rFonts w:eastAsia="Times New Roman"/>
                <w:sz w:val="20"/>
                <w:szCs w:val="20"/>
                <w:lang w:eastAsia="pt-BR"/>
              </w:rPr>
              <w:t>26</w:t>
            </w:r>
          </w:p>
        </w:tc>
        <w:tc>
          <w:tcPr>
            <w:tcW w:w="3911" w:type="pct"/>
            <w:tcBorders>
              <w:top w:val="nil"/>
              <w:left w:val="nil"/>
              <w:bottom w:val="single" w:sz="4" w:space="0" w:color="auto"/>
              <w:right w:val="single" w:sz="4" w:space="0" w:color="auto"/>
            </w:tcBorders>
            <w:shd w:val="clear" w:color="auto" w:fill="auto"/>
            <w:noWrap/>
            <w:vAlign w:val="bottom"/>
            <w:hideMark/>
          </w:tcPr>
          <w:p w14:paraId="47292759" w14:textId="77777777" w:rsidR="00B45651" w:rsidRPr="00783EEE" w:rsidRDefault="00B45651" w:rsidP="00A22A27">
            <w:pPr>
              <w:spacing w:after="0" w:line="240" w:lineRule="auto"/>
              <w:ind w:firstLine="0"/>
              <w:jc w:val="left"/>
              <w:rPr>
                <w:rFonts w:eastAsia="Times New Roman"/>
                <w:sz w:val="20"/>
                <w:szCs w:val="20"/>
                <w:lang w:eastAsia="pt-BR"/>
              </w:rPr>
            </w:pPr>
            <w:r w:rsidRPr="00783EEE">
              <w:rPr>
                <w:rFonts w:eastAsia="Times New Roman"/>
                <w:sz w:val="20"/>
                <w:szCs w:val="20"/>
                <w:lang w:eastAsia="pt-BR"/>
              </w:rPr>
              <w:t>Demonstrações Publicadas no Prazo - 30/04</w:t>
            </w:r>
          </w:p>
        </w:tc>
        <w:tc>
          <w:tcPr>
            <w:tcW w:w="779" w:type="pct"/>
            <w:tcBorders>
              <w:top w:val="nil"/>
              <w:left w:val="nil"/>
              <w:bottom w:val="single" w:sz="4" w:space="0" w:color="auto"/>
              <w:right w:val="single" w:sz="4" w:space="0" w:color="auto"/>
            </w:tcBorders>
            <w:shd w:val="clear" w:color="auto" w:fill="auto"/>
            <w:noWrap/>
            <w:vAlign w:val="bottom"/>
            <w:hideMark/>
          </w:tcPr>
          <w:p w14:paraId="10D7522F" w14:textId="77777777" w:rsidR="00B45651" w:rsidRPr="00783EEE" w:rsidRDefault="00B45651" w:rsidP="00A22A27">
            <w:pPr>
              <w:spacing w:after="0" w:line="240" w:lineRule="auto"/>
              <w:ind w:firstLine="0"/>
              <w:jc w:val="left"/>
              <w:rPr>
                <w:rFonts w:eastAsia="Times New Roman"/>
                <w:sz w:val="20"/>
                <w:szCs w:val="20"/>
                <w:lang w:eastAsia="pt-BR"/>
              </w:rPr>
            </w:pPr>
            <w:r w:rsidRPr="00783EEE">
              <w:rPr>
                <w:rFonts w:eastAsia="Times New Roman"/>
                <w:sz w:val="20"/>
                <w:szCs w:val="20"/>
                <w:lang w:eastAsia="pt-BR"/>
              </w:rPr>
              <w:t>Art. 132</w:t>
            </w:r>
          </w:p>
        </w:tc>
      </w:tr>
      <w:tr w:rsidR="00B45651" w:rsidRPr="00783EEE" w14:paraId="4FA84FF7" w14:textId="77777777" w:rsidTr="00A22A27">
        <w:trPr>
          <w:trHeight w:val="255"/>
        </w:trPr>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3E0CFB8B" w14:textId="77777777" w:rsidR="00B45651" w:rsidRPr="00783EEE" w:rsidRDefault="00B45651" w:rsidP="00A22A27">
            <w:pPr>
              <w:spacing w:after="0" w:line="240" w:lineRule="auto"/>
              <w:ind w:firstLine="0"/>
              <w:jc w:val="left"/>
              <w:rPr>
                <w:rFonts w:eastAsia="Times New Roman"/>
                <w:sz w:val="20"/>
                <w:szCs w:val="20"/>
                <w:lang w:eastAsia="pt-BR"/>
              </w:rPr>
            </w:pPr>
            <w:r>
              <w:rPr>
                <w:rFonts w:eastAsia="Times New Roman"/>
                <w:sz w:val="20"/>
                <w:szCs w:val="20"/>
                <w:lang w:eastAsia="pt-BR"/>
              </w:rPr>
              <w:t>27</w:t>
            </w:r>
          </w:p>
        </w:tc>
        <w:tc>
          <w:tcPr>
            <w:tcW w:w="3911" w:type="pct"/>
            <w:tcBorders>
              <w:top w:val="nil"/>
              <w:left w:val="nil"/>
              <w:bottom w:val="single" w:sz="4" w:space="0" w:color="auto"/>
              <w:right w:val="single" w:sz="4" w:space="0" w:color="auto"/>
            </w:tcBorders>
            <w:shd w:val="clear" w:color="auto" w:fill="auto"/>
            <w:noWrap/>
            <w:vAlign w:val="bottom"/>
            <w:hideMark/>
          </w:tcPr>
          <w:p w14:paraId="131ACB21" w14:textId="77777777" w:rsidR="00B45651" w:rsidRPr="00783EEE" w:rsidRDefault="00B45651" w:rsidP="00A22A27">
            <w:pPr>
              <w:spacing w:after="0" w:line="240" w:lineRule="auto"/>
              <w:ind w:firstLine="0"/>
              <w:jc w:val="left"/>
              <w:rPr>
                <w:rFonts w:eastAsia="Times New Roman"/>
                <w:sz w:val="20"/>
                <w:szCs w:val="20"/>
                <w:lang w:eastAsia="pt-BR"/>
              </w:rPr>
            </w:pPr>
            <w:r w:rsidRPr="00783EEE">
              <w:rPr>
                <w:rFonts w:eastAsia="Times New Roman"/>
                <w:sz w:val="20"/>
                <w:szCs w:val="20"/>
                <w:lang w:eastAsia="pt-BR"/>
              </w:rPr>
              <w:t>Distribuição de Dividendos</w:t>
            </w:r>
          </w:p>
        </w:tc>
        <w:tc>
          <w:tcPr>
            <w:tcW w:w="779" w:type="pct"/>
            <w:tcBorders>
              <w:top w:val="nil"/>
              <w:left w:val="nil"/>
              <w:bottom w:val="single" w:sz="4" w:space="0" w:color="auto"/>
              <w:right w:val="single" w:sz="4" w:space="0" w:color="auto"/>
            </w:tcBorders>
            <w:shd w:val="clear" w:color="auto" w:fill="auto"/>
            <w:noWrap/>
            <w:vAlign w:val="bottom"/>
            <w:hideMark/>
          </w:tcPr>
          <w:p w14:paraId="05EF7D58" w14:textId="77777777" w:rsidR="00B45651" w:rsidRPr="00783EEE" w:rsidRDefault="00B45651" w:rsidP="00A22A27">
            <w:pPr>
              <w:spacing w:after="0" w:line="240" w:lineRule="auto"/>
              <w:ind w:firstLine="0"/>
              <w:jc w:val="left"/>
              <w:rPr>
                <w:rFonts w:eastAsia="Times New Roman"/>
                <w:sz w:val="20"/>
                <w:szCs w:val="20"/>
                <w:lang w:eastAsia="pt-BR"/>
              </w:rPr>
            </w:pPr>
            <w:r w:rsidRPr="00783EEE">
              <w:rPr>
                <w:rFonts w:eastAsia="Times New Roman"/>
                <w:sz w:val="20"/>
                <w:szCs w:val="20"/>
                <w:lang w:eastAsia="pt-BR"/>
              </w:rPr>
              <w:t>Art. 118</w:t>
            </w:r>
          </w:p>
        </w:tc>
      </w:tr>
      <w:tr w:rsidR="00B45651" w:rsidRPr="00783EEE" w14:paraId="0E44201D" w14:textId="77777777" w:rsidTr="00A22A27">
        <w:trPr>
          <w:trHeight w:val="255"/>
        </w:trPr>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07109D03" w14:textId="77777777" w:rsidR="00B45651" w:rsidRPr="00783EEE" w:rsidRDefault="00B45651" w:rsidP="00A22A27">
            <w:pPr>
              <w:spacing w:after="0" w:line="240" w:lineRule="auto"/>
              <w:ind w:firstLine="0"/>
              <w:jc w:val="left"/>
              <w:rPr>
                <w:rFonts w:eastAsia="Times New Roman"/>
                <w:sz w:val="20"/>
                <w:szCs w:val="20"/>
                <w:lang w:eastAsia="pt-BR"/>
              </w:rPr>
            </w:pPr>
            <w:r>
              <w:rPr>
                <w:rFonts w:eastAsia="Times New Roman"/>
                <w:sz w:val="20"/>
                <w:szCs w:val="20"/>
                <w:lang w:eastAsia="pt-BR"/>
              </w:rPr>
              <w:t>28</w:t>
            </w:r>
          </w:p>
        </w:tc>
        <w:tc>
          <w:tcPr>
            <w:tcW w:w="3911" w:type="pct"/>
            <w:tcBorders>
              <w:top w:val="nil"/>
              <w:left w:val="nil"/>
              <w:bottom w:val="single" w:sz="4" w:space="0" w:color="auto"/>
              <w:right w:val="single" w:sz="4" w:space="0" w:color="auto"/>
            </w:tcBorders>
            <w:shd w:val="clear" w:color="auto" w:fill="auto"/>
            <w:noWrap/>
            <w:vAlign w:val="bottom"/>
            <w:hideMark/>
          </w:tcPr>
          <w:p w14:paraId="23642D3F" w14:textId="77777777" w:rsidR="00B45651" w:rsidRPr="00783EEE" w:rsidRDefault="00B45651" w:rsidP="00A22A27">
            <w:pPr>
              <w:spacing w:after="0" w:line="240" w:lineRule="auto"/>
              <w:ind w:firstLine="0"/>
              <w:jc w:val="left"/>
              <w:rPr>
                <w:rFonts w:eastAsia="Times New Roman"/>
                <w:sz w:val="20"/>
                <w:szCs w:val="20"/>
                <w:lang w:eastAsia="pt-BR"/>
              </w:rPr>
            </w:pPr>
            <w:r w:rsidRPr="00783EEE">
              <w:rPr>
                <w:rFonts w:eastAsia="Times New Roman"/>
                <w:sz w:val="20"/>
                <w:szCs w:val="20"/>
                <w:lang w:eastAsia="pt-BR"/>
              </w:rPr>
              <w:t xml:space="preserve">Negócios Sociais </w:t>
            </w:r>
          </w:p>
        </w:tc>
        <w:tc>
          <w:tcPr>
            <w:tcW w:w="779" w:type="pct"/>
            <w:tcBorders>
              <w:top w:val="nil"/>
              <w:left w:val="nil"/>
              <w:bottom w:val="single" w:sz="4" w:space="0" w:color="auto"/>
              <w:right w:val="single" w:sz="4" w:space="0" w:color="auto"/>
            </w:tcBorders>
            <w:shd w:val="clear" w:color="auto" w:fill="auto"/>
            <w:noWrap/>
            <w:vAlign w:val="bottom"/>
            <w:hideMark/>
          </w:tcPr>
          <w:p w14:paraId="5528835B" w14:textId="77777777" w:rsidR="00B45651" w:rsidRPr="00783EEE" w:rsidRDefault="00B45651" w:rsidP="00A22A27">
            <w:pPr>
              <w:spacing w:after="0" w:line="240" w:lineRule="auto"/>
              <w:ind w:firstLine="0"/>
              <w:jc w:val="left"/>
              <w:rPr>
                <w:rFonts w:eastAsia="Times New Roman"/>
                <w:sz w:val="20"/>
                <w:szCs w:val="20"/>
                <w:lang w:eastAsia="pt-BR"/>
              </w:rPr>
            </w:pPr>
            <w:r w:rsidRPr="00783EEE">
              <w:rPr>
                <w:rFonts w:eastAsia="Times New Roman"/>
                <w:sz w:val="20"/>
                <w:szCs w:val="20"/>
                <w:lang w:eastAsia="pt-BR"/>
              </w:rPr>
              <w:t>Art. 133</w:t>
            </w:r>
          </w:p>
        </w:tc>
      </w:tr>
      <w:tr w:rsidR="00B45651" w:rsidRPr="00783EEE" w14:paraId="6213389E" w14:textId="77777777" w:rsidTr="00A22A27">
        <w:trPr>
          <w:trHeight w:val="255"/>
        </w:trPr>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6690BB25" w14:textId="77777777" w:rsidR="00B45651" w:rsidRPr="00783EEE" w:rsidRDefault="00B45651" w:rsidP="00A22A27">
            <w:pPr>
              <w:spacing w:after="0" w:line="240" w:lineRule="auto"/>
              <w:ind w:firstLine="0"/>
              <w:jc w:val="left"/>
              <w:rPr>
                <w:rFonts w:eastAsia="Times New Roman"/>
                <w:sz w:val="20"/>
                <w:szCs w:val="20"/>
                <w:lang w:eastAsia="pt-BR"/>
              </w:rPr>
            </w:pPr>
            <w:r>
              <w:rPr>
                <w:rFonts w:eastAsia="Times New Roman"/>
                <w:sz w:val="20"/>
                <w:szCs w:val="20"/>
                <w:lang w:eastAsia="pt-BR"/>
              </w:rPr>
              <w:t>29</w:t>
            </w:r>
          </w:p>
        </w:tc>
        <w:tc>
          <w:tcPr>
            <w:tcW w:w="3911" w:type="pct"/>
            <w:tcBorders>
              <w:top w:val="nil"/>
              <w:left w:val="nil"/>
              <w:bottom w:val="single" w:sz="4" w:space="0" w:color="auto"/>
              <w:right w:val="single" w:sz="4" w:space="0" w:color="auto"/>
            </w:tcBorders>
            <w:shd w:val="clear" w:color="auto" w:fill="auto"/>
            <w:noWrap/>
            <w:vAlign w:val="bottom"/>
            <w:hideMark/>
          </w:tcPr>
          <w:p w14:paraId="596866A3" w14:textId="77777777" w:rsidR="00B45651" w:rsidRPr="00783EEE" w:rsidRDefault="00B45651" w:rsidP="00A22A27">
            <w:pPr>
              <w:spacing w:after="0" w:line="240" w:lineRule="auto"/>
              <w:ind w:firstLine="0"/>
              <w:jc w:val="left"/>
              <w:rPr>
                <w:rFonts w:eastAsia="Times New Roman"/>
                <w:sz w:val="20"/>
                <w:szCs w:val="20"/>
                <w:lang w:eastAsia="pt-BR"/>
              </w:rPr>
            </w:pPr>
            <w:r w:rsidRPr="00783EEE">
              <w:rPr>
                <w:rFonts w:eastAsia="Times New Roman"/>
                <w:sz w:val="20"/>
                <w:szCs w:val="20"/>
                <w:lang w:eastAsia="pt-BR"/>
              </w:rPr>
              <w:t>Principais fatos administrativos</w:t>
            </w:r>
          </w:p>
        </w:tc>
        <w:tc>
          <w:tcPr>
            <w:tcW w:w="779" w:type="pct"/>
            <w:tcBorders>
              <w:top w:val="nil"/>
              <w:left w:val="nil"/>
              <w:bottom w:val="single" w:sz="4" w:space="0" w:color="auto"/>
              <w:right w:val="single" w:sz="4" w:space="0" w:color="auto"/>
            </w:tcBorders>
            <w:shd w:val="clear" w:color="auto" w:fill="auto"/>
            <w:noWrap/>
            <w:vAlign w:val="bottom"/>
            <w:hideMark/>
          </w:tcPr>
          <w:p w14:paraId="15366025" w14:textId="77777777" w:rsidR="00B45651" w:rsidRPr="00783EEE" w:rsidRDefault="00B45651" w:rsidP="00A22A27">
            <w:pPr>
              <w:spacing w:after="0" w:line="240" w:lineRule="auto"/>
              <w:ind w:firstLine="0"/>
              <w:jc w:val="left"/>
              <w:rPr>
                <w:rFonts w:eastAsia="Times New Roman"/>
                <w:sz w:val="20"/>
                <w:szCs w:val="20"/>
                <w:lang w:eastAsia="pt-BR"/>
              </w:rPr>
            </w:pPr>
            <w:r w:rsidRPr="00783EEE">
              <w:rPr>
                <w:rFonts w:eastAsia="Times New Roman"/>
                <w:sz w:val="20"/>
                <w:szCs w:val="20"/>
                <w:lang w:eastAsia="pt-BR"/>
              </w:rPr>
              <w:t>Art. 133</w:t>
            </w:r>
          </w:p>
        </w:tc>
      </w:tr>
      <w:tr w:rsidR="00B45651" w:rsidRPr="00783EEE" w14:paraId="1FC1A91F" w14:textId="77777777" w:rsidTr="00A22A27">
        <w:trPr>
          <w:trHeight w:val="255"/>
        </w:trPr>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166FE2B0" w14:textId="77777777" w:rsidR="00B45651" w:rsidRPr="00783EEE" w:rsidRDefault="00B45651" w:rsidP="00A22A27">
            <w:pPr>
              <w:spacing w:after="0" w:line="240" w:lineRule="auto"/>
              <w:ind w:firstLine="0"/>
              <w:jc w:val="left"/>
              <w:rPr>
                <w:rFonts w:eastAsia="Times New Roman"/>
                <w:sz w:val="20"/>
                <w:szCs w:val="20"/>
                <w:lang w:eastAsia="pt-BR"/>
              </w:rPr>
            </w:pPr>
            <w:r>
              <w:rPr>
                <w:rFonts w:eastAsia="Times New Roman"/>
                <w:sz w:val="20"/>
                <w:szCs w:val="20"/>
                <w:lang w:eastAsia="pt-BR"/>
              </w:rPr>
              <w:t>30</w:t>
            </w:r>
          </w:p>
        </w:tc>
        <w:tc>
          <w:tcPr>
            <w:tcW w:w="3911" w:type="pct"/>
            <w:tcBorders>
              <w:top w:val="nil"/>
              <w:left w:val="nil"/>
              <w:bottom w:val="single" w:sz="4" w:space="0" w:color="auto"/>
              <w:right w:val="single" w:sz="4" w:space="0" w:color="auto"/>
            </w:tcBorders>
            <w:shd w:val="clear" w:color="auto" w:fill="auto"/>
            <w:noWrap/>
            <w:vAlign w:val="bottom"/>
            <w:hideMark/>
          </w:tcPr>
          <w:p w14:paraId="5D5832E2" w14:textId="77777777" w:rsidR="00B45651" w:rsidRPr="00783EEE" w:rsidRDefault="00B45651" w:rsidP="00A22A27">
            <w:pPr>
              <w:spacing w:after="0" w:line="240" w:lineRule="auto"/>
              <w:ind w:firstLine="0"/>
              <w:jc w:val="left"/>
              <w:rPr>
                <w:rFonts w:eastAsia="Times New Roman"/>
                <w:sz w:val="20"/>
                <w:szCs w:val="20"/>
                <w:lang w:eastAsia="pt-BR"/>
              </w:rPr>
            </w:pPr>
            <w:r w:rsidRPr="00783EEE">
              <w:rPr>
                <w:rFonts w:eastAsia="Times New Roman"/>
                <w:sz w:val="20"/>
                <w:szCs w:val="20"/>
                <w:lang w:eastAsia="pt-BR"/>
              </w:rPr>
              <w:t>Política de Reinvestimento de Lucros</w:t>
            </w:r>
          </w:p>
        </w:tc>
        <w:tc>
          <w:tcPr>
            <w:tcW w:w="779" w:type="pct"/>
            <w:tcBorders>
              <w:top w:val="nil"/>
              <w:left w:val="nil"/>
              <w:bottom w:val="single" w:sz="4" w:space="0" w:color="auto"/>
              <w:right w:val="single" w:sz="4" w:space="0" w:color="auto"/>
            </w:tcBorders>
            <w:shd w:val="clear" w:color="auto" w:fill="auto"/>
            <w:noWrap/>
            <w:vAlign w:val="bottom"/>
            <w:hideMark/>
          </w:tcPr>
          <w:p w14:paraId="1BA4E3BE" w14:textId="77777777" w:rsidR="00B45651" w:rsidRPr="00783EEE" w:rsidRDefault="00B45651" w:rsidP="00A22A27">
            <w:pPr>
              <w:spacing w:after="0" w:line="240" w:lineRule="auto"/>
              <w:ind w:firstLine="0"/>
              <w:jc w:val="left"/>
              <w:rPr>
                <w:rFonts w:eastAsia="Times New Roman"/>
                <w:sz w:val="20"/>
                <w:szCs w:val="20"/>
                <w:lang w:eastAsia="pt-BR"/>
              </w:rPr>
            </w:pPr>
            <w:r w:rsidRPr="00783EEE">
              <w:rPr>
                <w:rFonts w:eastAsia="Times New Roman"/>
                <w:sz w:val="20"/>
                <w:szCs w:val="20"/>
                <w:lang w:eastAsia="pt-BR"/>
              </w:rPr>
              <w:t>Art. 118</w:t>
            </w:r>
          </w:p>
        </w:tc>
      </w:tr>
      <w:tr w:rsidR="00B45651" w:rsidRPr="00783EEE" w14:paraId="175262E0" w14:textId="77777777" w:rsidTr="00A22A27">
        <w:trPr>
          <w:trHeight w:val="255"/>
        </w:trPr>
        <w:tc>
          <w:tcPr>
            <w:tcW w:w="310" w:type="pct"/>
            <w:tcBorders>
              <w:top w:val="nil"/>
              <w:left w:val="single" w:sz="4" w:space="0" w:color="auto"/>
              <w:bottom w:val="single" w:sz="4" w:space="0" w:color="auto"/>
              <w:right w:val="single" w:sz="4" w:space="0" w:color="auto"/>
            </w:tcBorders>
            <w:shd w:val="clear" w:color="auto" w:fill="auto"/>
            <w:noWrap/>
            <w:vAlign w:val="bottom"/>
            <w:hideMark/>
          </w:tcPr>
          <w:p w14:paraId="6381CD78" w14:textId="77777777" w:rsidR="00B45651" w:rsidRPr="00783EEE" w:rsidRDefault="00B45651" w:rsidP="00A22A27">
            <w:pPr>
              <w:spacing w:after="0" w:line="240" w:lineRule="auto"/>
              <w:ind w:firstLine="0"/>
              <w:jc w:val="left"/>
              <w:rPr>
                <w:rFonts w:eastAsia="Times New Roman"/>
                <w:sz w:val="20"/>
                <w:szCs w:val="20"/>
                <w:lang w:eastAsia="pt-BR"/>
              </w:rPr>
            </w:pPr>
            <w:r>
              <w:rPr>
                <w:rFonts w:eastAsia="Times New Roman"/>
                <w:sz w:val="20"/>
                <w:szCs w:val="20"/>
                <w:lang w:eastAsia="pt-BR"/>
              </w:rPr>
              <w:t>31</w:t>
            </w:r>
          </w:p>
        </w:tc>
        <w:tc>
          <w:tcPr>
            <w:tcW w:w="3911" w:type="pct"/>
            <w:tcBorders>
              <w:top w:val="nil"/>
              <w:left w:val="nil"/>
              <w:bottom w:val="single" w:sz="4" w:space="0" w:color="auto"/>
              <w:right w:val="single" w:sz="4" w:space="0" w:color="auto"/>
            </w:tcBorders>
            <w:shd w:val="clear" w:color="auto" w:fill="auto"/>
            <w:noWrap/>
            <w:vAlign w:val="bottom"/>
            <w:hideMark/>
          </w:tcPr>
          <w:p w14:paraId="05B4722D" w14:textId="77777777" w:rsidR="00B45651" w:rsidRPr="00783EEE" w:rsidRDefault="00B45651" w:rsidP="00A22A27">
            <w:pPr>
              <w:spacing w:after="0" w:line="240" w:lineRule="auto"/>
              <w:ind w:firstLine="0"/>
              <w:jc w:val="left"/>
              <w:rPr>
                <w:rFonts w:eastAsia="Times New Roman"/>
                <w:sz w:val="20"/>
                <w:szCs w:val="20"/>
                <w:lang w:eastAsia="pt-BR"/>
              </w:rPr>
            </w:pPr>
            <w:r w:rsidRPr="00783EEE">
              <w:rPr>
                <w:rFonts w:eastAsia="Times New Roman"/>
                <w:sz w:val="20"/>
                <w:szCs w:val="20"/>
                <w:lang w:eastAsia="pt-BR"/>
              </w:rPr>
              <w:t>Parecer do Conselho Fiscal</w:t>
            </w:r>
          </w:p>
        </w:tc>
        <w:tc>
          <w:tcPr>
            <w:tcW w:w="779" w:type="pct"/>
            <w:tcBorders>
              <w:top w:val="nil"/>
              <w:left w:val="nil"/>
              <w:bottom w:val="single" w:sz="4" w:space="0" w:color="auto"/>
              <w:right w:val="single" w:sz="4" w:space="0" w:color="auto"/>
            </w:tcBorders>
            <w:shd w:val="clear" w:color="auto" w:fill="auto"/>
            <w:noWrap/>
            <w:vAlign w:val="bottom"/>
            <w:hideMark/>
          </w:tcPr>
          <w:p w14:paraId="768CEC4E" w14:textId="77777777" w:rsidR="00B45651" w:rsidRPr="00783EEE" w:rsidRDefault="00B45651" w:rsidP="00A22A27">
            <w:pPr>
              <w:spacing w:after="0" w:line="240" w:lineRule="auto"/>
              <w:ind w:firstLine="0"/>
              <w:jc w:val="left"/>
              <w:rPr>
                <w:rFonts w:eastAsia="Times New Roman"/>
                <w:sz w:val="20"/>
                <w:szCs w:val="20"/>
                <w:lang w:eastAsia="pt-BR"/>
              </w:rPr>
            </w:pPr>
            <w:r w:rsidRPr="00783EEE">
              <w:rPr>
                <w:rFonts w:eastAsia="Times New Roman"/>
                <w:sz w:val="20"/>
                <w:szCs w:val="20"/>
                <w:lang w:eastAsia="pt-BR"/>
              </w:rPr>
              <w:t>Art. 133</w:t>
            </w:r>
          </w:p>
        </w:tc>
      </w:tr>
      <w:tr w:rsidR="00B45651" w:rsidRPr="00783EEE" w14:paraId="506B93EB" w14:textId="77777777" w:rsidTr="00A22A27">
        <w:trPr>
          <w:trHeight w:val="255"/>
        </w:trPr>
        <w:tc>
          <w:tcPr>
            <w:tcW w:w="4221" w:type="pct"/>
            <w:gridSpan w:val="2"/>
            <w:tcBorders>
              <w:top w:val="nil"/>
              <w:left w:val="nil"/>
              <w:bottom w:val="nil"/>
              <w:right w:val="nil"/>
            </w:tcBorders>
            <w:shd w:val="clear" w:color="auto" w:fill="auto"/>
            <w:noWrap/>
            <w:vAlign w:val="center"/>
            <w:hideMark/>
          </w:tcPr>
          <w:p w14:paraId="4EA7ECA3" w14:textId="77777777" w:rsidR="00B45651" w:rsidRPr="00783EEE" w:rsidRDefault="00B45651" w:rsidP="00A22A27">
            <w:pPr>
              <w:spacing w:after="0" w:line="240" w:lineRule="auto"/>
              <w:ind w:firstLine="0"/>
              <w:jc w:val="left"/>
              <w:rPr>
                <w:rFonts w:eastAsia="Times New Roman"/>
                <w:sz w:val="20"/>
                <w:szCs w:val="20"/>
                <w:lang w:eastAsia="pt-BR"/>
              </w:rPr>
            </w:pPr>
            <w:r w:rsidRPr="00783EEE">
              <w:rPr>
                <w:rFonts w:eastAsia="Times New Roman"/>
                <w:sz w:val="22"/>
                <w:szCs w:val="20"/>
                <w:lang w:eastAsia="pt-BR"/>
              </w:rPr>
              <w:t xml:space="preserve">Fonte: Lei 6.404/76 e Alterações. </w:t>
            </w:r>
          </w:p>
        </w:tc>
        <w:tc>
          <w:tcPr>
            <w:tcW w:w="779" w:type="pct"/>
            <w:tcBorders>
              <w:top w:val="nil"/>
              <w:left w:val="nil"/>
              <w:bottom w:val="nil"/>
              <w:right w:val="nil"/>
            </w:tcBorders>
            <w:shd w:val="clear" w:color="auto" w:fill="auto"/>
            <w:noWrap/>
            <w:vAlign w:val="bottom"/>
            <w:hideMark/>
          </w:tcPr>
          <w:p w14:paraId="1B2E0B13" w14:textId="77777777" w:rsidR="00B45651" w:rsidRPr="00783EEE" w:rsidRDefault="00B45651" w:rsidP="00A22A27">
            <w:pPr>
              <w:keepNext/>
              <w:spacing w:after="0" w:line="240" w:lineRule="auto"/>
              <w:ind w:firstLine="0"/>
              <w:jc w:val="left"/>
              <w:rPr>
                <w:rFonts w:eastAsia="Times New Roman"/>
                <w:sz w:val="20"/>
                <w:szCs w:val="20"/>
                <w:lang w:eastAsia="pt-BR"/>
              </w:rPr>
            </w:pPr>
          </w:p>
        </w:tc>
      </w:tr>
    </w:tbl>
    <w:p w14:paraId="4A168B2B" w14:textId="61A7E4AB" w:rsidR="00B45651" w:rsidRPr="00783EEE" w:rsidRDefault="00B45651" w:rsidP="00B45651">
      <w:pPr>
        <w:spacing w:before="240" w:after="0"/>
        <w:ind w:firstLine="0"/>
        <w:rPr>
          <w:szCs w:val="24"/>
          <w:shd w:val="clear" w:color="auto" w:fill="FFFFFF"/>
        </w:rPr>
      </w:pPr>
      <w:r w:rsidRPr="00783EEE">
        <w:rPr>
          <w:szCs w:val="24"/>
          <w:shd w:val="clear" w:color="auto" w:fill="FFFFFF"/>
        </w:rPr>
        <w:tab/>
        <w:t xml:space="preserve">No Quadro </w:t>
      </w:r>
      <w:r>
        <w:rPr>
          <w:szCs w:val="24"/>
          <w:shd w:val="clear" w:color="auto" w:fill="FFFFFF"/>
        </w:rPr>
        <w:t>2</w:t>
      </w:r>
      <w:r w:rsidRPr="00783EEE">
        <w:rPr>
          <w:szCs w:val="24"/>
          <w:shd w:val="clear" w:color="auto" w:fill="FFFFFF"/>
        </w:rPr>
        <w:t xml:space="preserve"> estão as informações que deveriam ser divulgadas em relação aos aspectos gerais de divulgação compulsória, tendo em vista que as EEM precisam cumprir uma série de requisitos relacionados a prazos e informações básicas.</w:t>
      </w:r>
    </w:p>
    <w:tbl>
      <w:tblPr>
        <w:tblW w:w="5000" w:type="pct"/>
        <w:tblLayout w:type="fixed"/>
        <w:tblCellMar>
          <w:left w:w="70" w:type="dxa"/>
          <w:right w:w="70" w:type="dxa"/>
        </w:tblCellMar>
        <w:tblLook w:val="04A0" w:firstRow="1" w:lastRow="0" w:firstColumn="1" w:lastColumn="0" w:noHBand="0" w:noVBand="1"/>
      </w:tblPr>
      <w:tblGrid>
        <w:gridCol w:w="638"/>
        <w:gridCol w:w="7702"/>
        <w:gridCol w:w="871"/>
      </w:tblGrid>
      <w:tr w:rsidR="00B45651" w:rsidRPr="00427DDB" w14:paraId="5219739C" w14:textId="77777777" w:rsidTr="00A22A27">
        <w:trPr>
          <w:trHeight w:val="255"/>
        </w:trPr>
        <w:tc>
          <w:tcPr>
            <w:tcW w:w="5000" w:type="pct"/>
            <w:gridSpan w:val="3"/>
            <w:tcBorders>
              <w:top w:val="nil"/>
              <w:left w:val="nil"/>
              <w:bottom w:val="nil"/>
              <w:right w:val="nil"/>
            </w:tcBorders>
            <w:shd w:val="clear" w:color="auto" w:fill="auto"/>
            <w:noWrap/>
            <w:vAlign w:val="bottom"/>
            <w:hideMark/>
          </w:tcPr>
          <w:p w14:paraId="5DE5C091" w14:textId="6E33429C" w:rsidR="00B45651" w:rsidRPr="00700409" w:rsidRDefault="00B45651" w:rsidP="00B45651">
            <w:pPr>
              <w:spacing w:after="0" w:line="240" w:lineRule="auto"/>
              <w:ind w:firstLine="0"/>
              <w:jc w:val="center"/>
              <w:rPr>
                <w:rFonts w:eastAsia="Times New Roman"/>
                <w:sz w:val="20"/>
                <w:szCs w:val="20"/>
                <w:lang w:eastAsia="pt-BR"/>
              </w:rPr>
            </w:pPr>
            <w:bookmarkStart w:id="15" w:name="_Toc413142527"/>
            <w:r w:rsidRPr="00700409">
              <w:rPr>
                <w:b/>
                <w:sz w:val="20"/>
                <w:szCs w:val="20"/>
              </w:rPr>
              <w:t>Quadro 3:</w:t>
            </w:r>
            <w:r w:rsidRPr="00700409">
              <w:rPr>
                <w:rFonts w:eastAsia="Times New Roman"/>
                <w:sz w:val="20"/>
                <w:szCs w:val="20"/>
                <w:lang w:eastAsia="pt-BR"/>
              </w:rPr>
              <w:t xml:space="preserve"> Índice de Divulgação Compulsória (IDC) – Notas Explicativas.</w:t>
            </w:r>
            <w:bookmarkEnd w:id="15"/>
          </w:p>
        </w:tc>
      </w:tr>
      <w:tr w:rsidR="00B45651" w:rsidRPr="00427DDB" w14:paraId="49408C99" w14:textId="77777777" w:rsidTr="00A22A27">
        <w:trPr>
          <w:trHeight w:val="255"/>
        </w:trPr>
        <w:tc>
          <w:tcPr>
            <w:tcW w:w="3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507F5" w14:textId="77777777" w:rsidR="00B45651" w:rsidRPr="00E423AD" w:rsidRDefault="00B45651" w:rsidP="00A22A27">
            <w:pPr>
              <w:spacing w:after="0" w:line="240" w:lineRule="auto"/>
              <w:ind w:firstLine="0"/>
              <w:jc w:val="left"/>
              <w:rPr>
                <w:rFonts w:eastAsia="Times New Roman"/>
                <w:b/>
                <w:bCs/>
                <w:sz w:val="20"/>
                <w:szCs w:val="20"/>
                <w:lang w:eastAsia="pt-BR"/>
              </w:rPr>
            </w:pPr>
          </w:p>
        </w:tc>
        <w:tc>
          <w:tcPr>
            <w:tcW w:w="4181" w:type="pct"/>
            <w:tcBorders>
              <w:top w:val="single" w:sz="4" w:space="0" w:color="auto"/>
              <w:left w:val="nil"/>
              <w:bottom w:val="single" w:sz="4" w:space="0" w:color="auto"/>
              <w:right w:val="single" w:sz="4" w:space="0" w:color="auto"/>
            </w:tcBorders>
            <w:shd w:val="clear" w:color="auto" w:fill="auto"/>
            <w:noWrap/>
            <w:vAlign w:val="bottom"/>
            <w:hideMark/>
          </w:tcPr>
          <w:p w14:paraId="65BF0523" w14:textId="77777777" w:rsidR="00B45651" w:rsidRPr="005E2C35" w:rsidRDefault="00B45651" w:rsidP="00A22A27">
            <w:pPr>
              <w:spacing w:after="0" w:line="240" w:lineRule="auto"/>
              <w:ind w:firstLine="0"/>
              <w:jc w:val="left"/>
              <w:rPr>
                <w:rFonts w:eastAsia="Times New Roman"/>
                <w:b/>
                <w:bCs/>
                <w:sz w:val="20"/>
                <w:szCs w:val="20"/>
                <w:lang w:eastAsia="pt-BR"/>
              </w:rPr>
            </w:pPr>
            <w:r w:rsidRPr="00CC5972">
              <w:rPr>
                <w:rFonts w:eastAsia="Times New Roman"/>
                <w:b/>
                <w:bCs/>
                <w:sz w:val="20"/>
                <w:szCs w:val="20"/>
                <w:lang w:eastAsia="pt-BR"/>
              </w:rPr>
              <w:t>Itens</w:t>
            </w:r>
          </w:p>
        </w:tc>
        <w:tc>
          <w:tcPr>
            <w:tcW w:w="473" w:type="pct"/>
            <w:tcBorders>
              <w:top w:val="single" w:sz="4" w:space="0" w:color="auto"/>
              <w:left w:val="nil"/>
              <w:bottom w:val="single" w:sz="4" w:space="0" w:color="auto"/>
              <w:right w:val="single" w:sz="4" w:space="0" w:color="auto"/>
            </w:tcBorders>
            <w:shd w:val="clear" w:color="auto" w:fill="auto"/>
            <w:noWrap/>
            <w:vAlign w:val="bottom"/>
            <w:hideMark/>
          </w:tcPr>
          <w:p w14:paraId="6C350653" w14:textId="77777777" w:rsidR="00B45651" w:rsidRPr="008E3633" w:rsidRDefault="00B45651" w:rsidP="00A22A27">
            <w:pPr>
              <w:spacing w:after="0" w:line="240" w:lineRule="auto"/>
              <w:ind w:firstLine="0"/>
              <w:jc w:val="left"/>
              <w:rPr>
                <w:rFonts w:eastAsia="Times New Roman"/>
                <w:b/>
                <w:bCs/>
                <w:sz w:val="20"/>
                <w:szCs w:val="20"/>
                <w:lang w:eastAsia="pt-BR"/>
              </w:rPr>
            </w:pPr>
            <w:r w:rsidRPr="002D2B60">
              <w:rPr>
                <w:rFonts w:eastAsia="Times New Roman"/>
                <w:b/>
                <w:bCs/>
                <w:sz w:val="20"/>
                <w:szCs w:val="20"/>
                <w:lang w:eastAsia="pt-BR"/>
              </w:rPr>
              <w:t>Fonte</w:t>
            </w:r>
          </w:p>
        </w:tc>
      </w:tr>
      <w:tr w:rsidR="00B45651" w:rsidRPr="00427DDB" w14:paraId="525D71F2" w14:textId="77777777" w:rsidTr="00A22A27">
        <w:trPr>
          <w:trHeight w:val="255"/>
        </w:trPr>
        <w:tc>
          <w:tcPr>
            <w:tcW w:w="346" w:type="pct"/>
            <w:tcBorders>
              <w:top w:val="nil"/>
              <w:left w:val="single" w:sz="4" w:space="0" w:color="auto"/>
              <w:bottom w:val="single" w:sz="4" w:space="0" w:color="auto"/>
              <w:right w:val="single" w:sz="4" w:space="0" w:color="auto"/>
            </w:tcBorders>
            <w:shd w:val="clear" w:color="auto" w:fill="auto"/>
            <w:noWrap/>
            <w:vAlign w:val="bottom"/>
            <w:hideMark/>
          </w:tcPr>
          <w:p w14:paraId="4C5E9988" w14:textId="77777777" w:rsidR="00B45651" w:rsidRPr="00427DDB" w:rsidRDefault="00B45651" w:rsidP="00A22A27">
            <w:pPr>
              <w:spacing w:after="0" w:line="240" w:lineRule="auto"/>
              <w:ind w:firstLine="0"/>
              <w:jc w:val="left"/>
              <w:rPr>
                <w:rFonts w:eastAsia="Times New Roman"/>
                <w:sz w:val="20"/>
                <w:szCs w:val="20"/>
                <w:lang w:eastAsia="pt-BR"/>
              </w:rPr>
            </w:pPr>
            <w:r>
              <w:rPr>
                <w:rFonts w:eastAsia="Times New Roman"/>
                <w:sz w:val="20"/>
                <w:szCs w:val="20"/>
                <w:lang w:eastAsia="pt-BR"/>
              </w:rPr>
              <w:t>32</w:t>
            </w:r>
          </w:p>
        </w:tc>
        <w:tc>
          <w:tcPr>
            <w:tcW w:w="4181" w:type="pct"/>
            <w:tcBorders>
              <w:top w:val="nil"/>
              <w:left w:val="nil"/>
              <w:bottom w:val="single" w:sz="4" w:space="0" w:color="auto"/>
              <w:right w:val="single" w:sz="4" w:space="0" w:color="auto"/>
            </w:tcBorders>
            <w:shd w:val="clear" w:color="auto" w:fill="auto"/>
            <w:noWrap/>
            <w:vAlign w:val="bottom"/>
            <w:hideMark/>
          </w:tcPr>
          <w:p w14:paraId="6434C8FA" w14:textId="77777777" w:rsidR="00B45651" w:rsidRPr="00427DDB" w:rsidRDefault="00B45651" w:rsidP="00A22A27">
            <w:pPr>
              <w:spacing w:after="0" w:line="240" w:lineRule="auto"/>
              <w:ind w:firstLine="0"/>
              <w:jc w:val="left"/>
              <w:rPr>
                <w:rFonts w:eastAsia="Times New Roman"/>
                <w:sz w:val="20"/>
                <w:szCs w:val="20"/>
                <w:lang w:eastAsia="pt-BR"/>
              </w:rPr>
            </w:pPr>
            <w:r w:rsidRPr="00427DDB">
              <w:rPr>
                <w:rFonts w:eastAsia="Times New Roman"/>
                <w:sz w:val="20"/>
                <w:szCs w:val="20"/>
                <w:lang w:eastAsia="pt-BR"/>
              </w:rPr>
              <w:t>Informações sobre base de preparação</w:t>
            </w:r>
          </w:p>
        </w:tc>
        <w:tc>
          <w:tcPr>
            <w:tcW w:w="473" w:type="pct"/>
            <w:tcBorders>
              <w:top w:val="nil"/>
              <w:left w:val="nil"/>
              <w:bottom w:val="single" w:sz="4" w:space="0" w:color="auto"/>
              <w:right w:val="single" w:sz="4" w:space="0" w:color="auto"/>
            </w:tcBorders>
            <w:shd w:val="clear" w:color="auto" w:fill="auto"/>
            <w:noWrap/>
            <w:vAlign w:val="bottom"/>
            <w:hideMark/>
          </w:tcPr>
          <w:p w14:paraId="580EFF1A" w14:textId="77777777" w:rsidR="00B45651" w:rsidRPr="00427DDB" w:rsidRDefault="00B45651" w:rsidP="00A22A27">
            <w:pPr>
              <w:spacing w:after="0" w:line="240" w:lineRule="auto"/>
              <w:ind w:firstLine="0"/>
              <w:jc w:val="left"/>
              <w:rPr>
                <w:rFonts w:eastAsia="Times New Roman"/>
                <w:sz w:val="20"/>
                <w:szCs w:val="20"/>
                <w:lang w:eastAsia="pt-BR"/>
              </w:rPr>
            </w:pPr>
            <w:r w:rsidRPr="00427DDB">
              <w:rPr>
                <w:rFonts w:eastAsia="Times New Roman"/>
                <w:sz w:val="20"/>
                <w:szCs w:val="20"/>
                <w:lang w:eastAsia="pt-BR"/>
              </w:rPr>
              <w:t>Art. 176</w:t>
            </w:r>
          </w:p>
        </w:tc>
      </w:tr>
      <w:tr w:rsidR="00B45651" w:rsidRPr="00427DDB" w14:paraId="200CBF6B" w14:textId="77777777" w:rsidTr="00A22A27">
        <w:trPr>
          <w:trHeight w:val="255"/>
        </w:trPr>
        <w:tc>
          <w:tcPr>
            <w:tcW w:w="346" w:type="pct"/>
            <w:tcBorders>
              <w:top w:val="nil"/>
              <w:left w:val="single" w:sz="4" w:space="0" w:color="auto"/>
              <w:bottom w:val="single" w:sz="4" w:space="0" w:color="auto"/>
              <w:right w:val="single" w:sz="4" w:space="0" w:color="auto"/>
            </w:tcBorders>
            <w:shd w:val="clear" w:color="auto" w:fill="auto"/>
            <w:noWrap/>
            <w:vAlign w:val="bottom"/>
            <w:hideMark/>
          </w:tcPr>
          <w:p w14:paraId="65E92129" w14:textId="77777777" w:rsidR="00B45651" w:rsidRPr="00427DDB" w:rsidRDefault="00B45651" w:rsidP="00A22A27">
            <w:pPr>
              <w:spacing w:after="0" w:line="240" w:lineRule="auto"/>
              <w:ind w:firstLine="0"/>
              <w:jc w:val="left"/>
              <w:rPr>
                <w:rFonts w:eastAsia="Times New Roman"/>
                <w:sz w:val="20"/>
                <w:szCs w:val="20"/>
                <w:lang w:eastAsia="pt-BR"/>
              </w:rPr>
            </w:pPr>
            <w:r>
              <w:rPr>
                <w:rFonts w:eastAsia="Times New Roman"/>
                <w:sz w:val="20"/>
                <w:szCs w:val="20"/>
                <w:lang w:eastAsia="pt-BR"/>
              </w:rPr>
              <w:t>33</w:t>
            </w:r>
          </w:p>
        </w:tc>
        <w:tc>
          <w:tcPr>
            <w:tcW w:w="4181" w:type="pct"/>
            <w:tcBorders>
              <w:top w:val="nil"/>
              <w:left w:val="nil"/>
              <w:bottom w:val="single" w:sz="4" w:space="0" w:color="auto"/>
              <w:right w:val="single" w:sz="4" w:space="0" w:color="auto"/>
            </w:tcBorders>
            <w:shd w:val="clear" w:color="auto" w:fill="auto"/>
            <w:noWrap/>
            <w:vAlign w:val="bottom"/>
            <w:hideMark/>
          </w:tcPr>
          <w:p w14:paraId="3BAA1057" w14:textId="77777777" w:rsidR="00B45651" w:rsidRPr="00427DDB" w:rsidRDefault="00B45651" w:rsidP="00A22A27">
            <w:pPr>
              <w:spacing w:after="0" w:line="240" w:lineRule="auto"/>
              <w:ind w:firstLine="0"/>
              <w:jc w:val="left"/>
              <w:rPr>
                <w:rFonts w:eastAsia="Times New Roman"/>
                <w:sz w:val="20"/>
                <w:szCs w:val="20"/>
                <w:lang w:eastAsia="pt-BR"/>
              </w:rPr>
            </w:pPr>
            <w:r w:rsidRPr="00427DDB">
              <w:rPr>
                <w:rFonts w:eastAsia="Times New Roman"/>
                <w:sz w:val="20"/>
                <w:szCs w:val="20"/>
                <w:lang w:eastAsia="pt-BR"/>
              </w:rPr>
              <w:t>Informações sobre as práticas contábeis</w:t>
            </w:r>
          </w:p>
        </w:tc>
        <w:tc>
          <w:tcPr>
            <w:tcW w:w="473" w:type="pct"/>
            <w:tcBorders>
              <w:top w:val="nil"/>
              <w:left w:val="nil"/>
              <w:bottom w:val="single" w:sz="4" w:space="0" w:color="auto"/>
              <w:right w:val="single" w:sz="4" w:space="0" w:color="auto"/>
            </w:tcBorders>
            <w:shd w:val="clear" w:color="auto" w:fill="auto"/>
            <w:noWrap/>
            <w:vAlign w:val="bottom"/>
            <w:hideMark/>
          </w:tcPr>
          <w:p w14:paraId="0641A968" w14:textId="77777777" w:rsidR="00B45651" w:rsidRPr="00427DDB" w:rsidRDefault="00B45651" w:rsidP="00A22A27">
            <w:pPr>
              <w:spacing w:after="0" w:line="240" w:lineRule="auto"/>
              <w:ind w:firstLine="0"/>
              <w:jc w:val="left"/>
              <w:rPr>
                <w:rFonts w:eastAsia="Times New Roman"/>
                <w:sz w:val="20"/>
                <w:szCs w:val="20"/>
                <w:lang w:eastAsia="pt-BR"/>
              </w:rPr>
            </w:pPr>
            <w:r w:rsidRPr="00427DDB">
              <w:rPr>
                <w:rFonts w:eastAsia="Times New Roman"/>
                <w:sz w:val="20"/>
                <w:szCs w:val="20"/>
                <w:lang w:eastAsia="pt-BR"/>
              </w:rPr>
              <w:t>Art. 176</w:t>
            </w:r>
          </w:p>
        </w:tc>
      </w:tr>
      <w:tr w:rsidR="00B45651" w:rsidRPr="00427DDB" w14:paraId="6BEBC814" w14:textId="77777777" w:rsidTr="00A22A27">
        <w:trPr>
          <w:trHeight w:val="255"/>
        </w:trPr>
        <w:tc>
          <w:tcPr>
            <w:tcW w:w="346" w:type="pct"/>
            <w:tcBorders>
              <w:top w:val="nil"/>
              <w:left w:val="single" w:sz="4" w:space="0" w:color="auto"/>
              <w:bottom w:val="single" w:sz="4" w:space="0" w:color="auto"/>
              <w:right w:val="single" w:sz="4" w:space="0" w:color="auto"/>
            </w:tcBorders>
            <w:shd w:val="clear" w:color="auto" w:fill="auto"/>
            <w:noWrap/>
            <w:vAlign w:val="bottom"/>
            <w:hideMark/>
          </w:tcPr>
          <w:p w14:paraId="24182E09" w14:textId="77777777" w:rsidR="00B45651" w:rsidRPr="00427DDB" w:rsidRDefault="00B45651" w:rsidP="00A22A27">
            <w:pPr>
              <w:spacing w:after="0" w:line="240" w:lineRule="auto"/>
              <w:ind w:firstLine="0"/>
              <w:jc w:val="left"/>
              <w:rPr>
                <w:rFonts w:eastAsia="Times New Roman"/>
                <w:sz w:val="20"/>
                <w:szCs w:val="20"/>
                <w:lang w:eastAsia="pt-BR"/>
              </w:rPr>
            </w:pPr>
            <w:r>
              <w:rPr>
                <w:rFonts w:eastAsia="Times New Roman"/>
                <w:sz w:val="20"/>
                <w:szCs w:val="20"/>
                <w:lang w:eastAsia="pt-BR"/>
              </w:rPr>
              <w:t>34</w:t>
            </w:r>
          </w:p>
        </w:tc>
        <w:tc>
          <w:tcPr>
            <w:tcW w:w="4181" w:type="pct"/>
            <w:tcBorders>
              <w:top w:val="nil"/>
              <w:left w:val="nil"/>
              <w:bottom w:val="single" w:sz="4" w:space="0" w:color="auto"/>
              <w:right w:val="single" w:sz="4" w:space="0" w:color="auto"/>
            </w:tcBorders>
            <w:shd w:val="clear" w:color="auto" w:fill="auto"/>
            <w:noWrap/>
            <w:vAlign w:val="bottom"/>
            <w:hideMark/>
          </w:tcPr>
          <w:p w14:paraId="4EAAD1A8" w14:textId="77777777" w:rsidR="00B45651" w:rsidRPr="001018A9" w:rsidRDefault="00B45651" w:rsidP="00A22A27">
            <w:pPr>
              <w:spacing w:after="0" w:line="240" w:lineRule="auto"/>
              <w:ind w:firstLine="0"/>
              <w:jc w:val="left"/>
              <w:rPr>
                <w:rFonts w:eastAsia="Times New Roman"/>
                <w:iCs/>
                <w:sz w:val="20"/>
                <w:szCs w:val="20"/>
                <w:lang w:eastAsia="pt-BR"/>
              </w:rPr>
            </w:pPr>
            <w:r w:rsidRPr="001018A9">
              <w:rPr>
                <w:rFonts w:eastAsia="Times New Roman"/>
                <w:iCs/>
                <w:sz w:val="20"/>
                <w:szCs w:val="20"/>
                <w:lang w:eastAsia="pt-BR"/>
              </w:rPr>
              <w:t>Critérios avaliação Elementos Patrimoniais Outros Ativos</w:t>
            </w:r>
          </w:p>
        </w:tc>
        <w:tc>
          <w:tcPr>
            <w:tcW w:w="473" w:type="pct"/>
            <w:tcBorders>
              <w:top w:val="nil"/>
              <w:left w:val="nil"/>
              <w:bottom w:val="single" w:sz="4" w:space="0" w:color="auto"/>
              <w:right w:val="single" w:sz="4" w:space="0" w:color="auto"/>
            </w:tcBorders>
            <w:shd w:val="clear" w:color="auto" w:fill="auto"/>
            <w:noWrap/>
            <w:vAlign w:val="bottom"/>
            <w:hideMark/>
          </w:tcPr>
          <w:p w14:paraId="0A39F154" w14:textId="77777777" w:rsidR="00B45651" w:rsidRPr="00427DDB" w:rsidRDefault="00B45651" w:rsidP="00A22A27">
            <w:pPr>
              <w:spacing w:after="0" w:line="240" w:lineRule="auto"/>
              <w:ind w:firstLine="0"/>
              <w:jc w:val="left"/>
              <w:rPr>
                <w:rFonts w:eastAsia="Times New Roman"/>
                <w:sz w:val="20"/>
                <w:szCs w:val="20"/>
                <w:lang w:eastAsia="pt-BR"/>
              </w:rPr>
            </w:pPr>
            <w:r w:rsidRPr="00427DDB">
              <w:rPr>
                <w:rFonts w:eastAsia="Times New Roman"/>
                <w:sz w:val="20"/>
                <w:szCs w:val="20"/>
                <w:lang w:eastAsia="pt-BR"/>
              </w:rPr>
              <w:t>Art. 176</w:t>
            </w:r>
          </w:p>
        </w:tc>
      </w:tr>
      <w:tr w:rsidR="00B45651" w:rsidRPr="00427DDB" w14:paraId="155E0587" w14:textId="77777777" w:rsidTr="00A22A27">
        <w:trPr>
          <w:trHeight w:val="255"/>
        </w:trPr>
        <w:tc>
          <w:tcPr>
            <w:tcW w:w="346" w:type="pct"/>
            <w:tcBorders>
              <w:top w:val="nil"/>
              <w:left w:val="single" w:sz="4" w:space="0" w:color="auto"/>
              <w:bottom w:val="single" w:sz="4" w:space="0" w:color="auto"/>
              <w:right w:val="single" w:sz="4" w:space="0" w:color="auto"/>
            </w:tcBorders>
            <w:shd w:val="clear" w:color="auto" w:fill="auto"/>
            <w:noWrap/>
            <w:vAlign w:val="bottom"/>
            <w:hideMark/>
          </w:tcPr>
          <w:p w14:paraId="4F6799AE" w14:textId="77777777" w:rsidR="00B45651" w:rsidRPr="00427DDB" w:rsidRDefault="00B45651" w:rsidP="00A22A27">
            <w:pPr>
              <w:spacing w:after="0" w:line="240" w:lineRule="auto"/>
              <w:ind w:firstLine="0"/>
              <w:jc w:val="left"/>
              <w:rPr>
                <w:rFonts w:eastAsia="Times New Roman"/>
                <w:sz w:val="20"/>
                <w:szCs w:val="20"/>
                <w:lang w:eastAsia="pt-BR"/>
              </w:rPr>
            </w:pPr>
            <w:r w:rsidRPr="00427DDB">
              <w:rPr>
                <w:rFonts w:eastAsia="Times New Roman"/>
                <w:sz w:val="20"/>
                <w:szCs w:val="20"/>
                <w:lang w:eastAsia="pt-BR"/>
              </w:rPr>
              <w:t>3</w:t>
            </w:r>
            <w:r>
              <w:rPr>
                <w:rFonts w:eastAsia="Times New Roman"/>
                <w:sz w:val="20"/>
                <w:szCs w:val="20"/>
                <w:lang w:eastAsia="pt-BR"/>
              </w:rPr>
              <w:t>5</w:t>
            </w:r>
          </w:p>
        </w:tc>
        <w:tc>
          <w:tcPr>
            <w:tcW w:w="4181" w:type="pct"/>
            <w:tcBorders>
              <w:top w:val="nil"/>
              <w:left w:val="nil"/>
              <w:bottom w:val="single" w:sz="4" w:space="0" w:color="auto"/>
              <w:right w:val="single" w:sz="4" w:space="0" w:color="auto"/>
            </w:tcBorders>
            <w:shd w:val="clear" w:color="auto" w:fill="auto"/>
            <w:noWrap/>
            <w:vAlign w:val="bottom"/>
            <w:hideMark/>
          </w:tcPr>
          <w:p w14:paraId="547F9023" w14:textId="77777777" w:rsidR="00B45651" w:rsidRPr="001018A9" w:rsidRDefault="00B45651" w:rsidP="00A22A27">
            <w:pPr>
              <w:spacing w:after="0" w:line="240" w:lineRule="auto"/>
              <w:ind w:firstLine="0"/>
              <w:jc w:val="left"/>
              <w:rPr>
                <w:rFonts w:eastAsia="Times New Roman"/>
                <w:iCs/>
                <w:sz w:val="20"/>
                <w:szCs w:val="20"/>
                <w:lang w:eastAsia="pt-BR"/>
              </w:rPr>
            </w:pPr>
            <w:r w:rsidRPr="001018A9">
              <w:rPr>
                <w:rFonts w:eastAsia="Times New Roman"/>
                <w:iCs/>
                <w:sz w:val="20"/>
                <w:szCs w:val="20"/>
                <w:lang w:eastAsia="pt-BR"/>
              </w:rPr>
              <w:t>Critérios avaliação Elementos Patrimoniais Estoques</w:t>
            </w:r>
          </w:p>
        </w:tc>
        <w:tc>
          <w:tcPr>
            <w:tcW w:w="473" w:type="pct"/>
            <w:tcBorders>
              <w:top w:val="nil"/>
              <w:left w:val="nil"/>
              <w:bottom w:val="single" w:sz="4" w:space="0" w:color="auto"/>
              <w:right w:val="single" w:sz="4" w:space="0" w:color="auto"/>
            </w:tcBorders>
            <w:shd w:val="clear" w:color="auto" w:fill="auto"/>
            <w:noWrap/>
            <w:vAlign w:val="bottom"/>
            <w:hideMark/>
          </w:tcPr>
          <w:p w14:paraId="3CC96615" w14:textId="77777777" w:rsidR="00B45651" w:rsidRPr="00427DDB" w:rsidRDefault="00B45651" w:rsidP="00A22A27">
            <w:pPr>
              <w:spacing w:after="0" w:line="240" w:lineRule="auto"/>
              <w:ind w:firstLine="0"/>
              <w:jc w:val="left"/>
              <w:rPr>
                <w:rFonts w:eastAsia="Times New Roman"/>
                <w:sz w:val="20"/>
                <w:szCs w:val="20"/>
                <w:lang w:eastAsia="pt-BR"/>
              </w:rPr>
            </w:pPr>
            <w:r w:rsidRPr="00427DDB">
              <w:rPr>
                <w:rFonts w:eastAsia="Times New Roman"/>
                <w:sz w:val="20"/>
                <w:szCs w:val="20"/>
                <w:lang w:eastAsia="pt-BR"/>
              </w:rPr>
              <w:t>Art. 176</w:t>
            </w:r>
          </w:p>
        </w:tc>
      </w:tr>
      <w:tr w:rsidR="00B45651" w:rsidRPr="00427DDB" w14:paraId="55EF688D" w14:textId="77777777" w:rsidTr="00A22A27">
        <w:trPr>
          <w:trHeight w:val="255"/>
        </w:trPr>
        <w:tc>
          <w:tcPr>
            <w:tcW w:w="346" w:type="pct"/>
            <w:tcBorders>
              <w:top w:val="nil"/>
              <w:left w:val="single" w:sz="4" w:space="0" w:color="auto"/>
              <w:bottom w:val="single" w:sz="4" w:space="0" w:color="auto"/>
              <w:right w:val="single" w:sz="4" w:space="0" w:color="auto"/>
            </w:tcBorders>
            <w:shd w:val="clear" w:color="auto" w:fill="auto"/>
            <w:noWrap/>
            <w:vAlign w:val="bottom"/>
            <w:hideMark/>
          </w:tcPr>
          <w:p w14:paraId="5306D3F9" w14:textId="77777777" w:rsidR="00B45651" w:rsidRPr="00427DDB" w:rsidRDefault="00B45651" w:rsidP="00A22A27">
            <w:pPr>
              <w:spacing w:after="0" w:line="240" w:lineRule="auto"/>
              <w:ind w:firstLine="0"/>
              <w:jc w:val="left"/>
              <w:rPr>
                <w:rFonts w:eastAsia="Times New Roman"/>
                <w:sz w:val="20"/>
                <w:szCs w:val="20"/>
                <w:lang w:eastAsia="pt-BR"/>
              </w:rPr>
            </w:pPr>
            <w:r>
              <w:rPr>
                <w:rFonts w:eastAsia="Times New Roman"/>
                <w:sz w:val="20"/>
                <w:szCs w:val="20"/>
                <w:lang w:eastAsia="pt-BR"/>
              </w:rPr>
              <w:t>36</w:t>
            </w:r>
          </w:p>
        </w:tc>
        <w:tc>
          <w:tcPr>
            <w:tcW w:w="4181" w:type="pct"/>
            <w:tcBorders>
              <w:top w:val="nil"/>
              <w:left w:val="nil"/>
              <w:bottom w:val="single" w:sz="4" w:space="0" w:color="auto"/>
              <w:right w:val="single" w:sz="4" w:space="0" w:color="auto"/>
            </w:tcBorders>
            <w:shd w:val="clear" w:color="auto" w:fill="auto"/>
            <w:noWrap/>
            <w:vAlign w:val="bottom"/>
            <w:hideMark/>
          </w:tcPr>
          <w:p w14:paraId="47FEDFAF" w14:textId="77777777" w:rsidR="00B45651" w:rsidRPr="001018A9" w:rsidRDefault="00B45651" w:rsidP="00A22A27">
            <w:pPr>
              <w:spacing w:after="0" w:line="240" w:lineRule="auto"/>
              <w:ind w:firstLine="0"/>
              <w:jc w:val="left"/>
              <w:rPr>
                <w:rFonts w:eastAsia="Times New Roman"/>
                <w:iCs/>
                <w:sz w:val="20"/>
                <w:szCs w:val="20"/>
                <w:lang w:eastAsia="pt-BR"/>
              </w:rPr>
            </w:pPr>
            <w:r w:rsidRPr="001018A9">
              <w:rPr>
                <w:rFonts w:eastAsia="Times New Roman"/>
                <w:iCs/>
                <w:sz w:val="20"/>
                <w:szCs w:val="20"/>
                <w:lang w:eastAsia="pt-BR"/>
              </w:rPr>
              <w:t>Critérios avaliação Elementos Patrimoniais Cálculo de Depreciação, Amortização e Exaustão</w:t>
            </w:r>
          </w:p>
        </w:tc>
        <w:tc>
          <w:tcPr>
            <w:tcW w:w="473" w:type="pct"/>
            <w:tcBorders>
              <w:top w:val="nil"/>
              <w:left w:val="nil"/>
              <w:bottom w:val="single" w:sz="4" w:space="0" w:color="auto"/>
              <w:right w:val="single" w:sz="4" w:space="0" w:color="auto"/>
            </w:tcBorders>
            <w:shd w:val="clear" w:color="auto" w:fill="auto"/>
            <w:noWrap/>
            <w:vAlign w:val="bottom"/>
            <w:hideMark/>
          </w:tcPr>
          <w:p w14:paraId="17D80974" w14:textId="77777777" w:rsidR="00B45651" w:rsidRPr="00427DDB" w:rsidRDefault="00B45651" w:rsidP="00A22A27">
            <w:pPr>
              <w:spacing w:after="0" w:line="240" w:lineRule="auto"/>
              <w:ind w:firstLine="0"/>
              <w:jc w:val="left"/>
              <w:rPr>
                <w:rFonts w:eastAsia="Times New Roman"/>
                <w:sz w:val="20"/>
                <w:szCs w:val="20"/>
                <w:lang w:eastAsia="pt-BR"/>
              </w:rPr>
            </w:pPr>
            <w:r w:rsidRPr="00427DDB">
              <w:rPr>
                <w:rFonts w:eastAsia="Times New Roman"/>
                <w:sz w:val="20"/>
                <w:szCs w:val="20"/>
                <w:lang w:eastAsia="pt-BR"/>
              </w:rPr>
              <w:t>Art. 176</w:t>
            </w:r>
          </w:p>
        </w:tc>
      </w:tr>
      <w:tr w:rsidR="00B45651" w:rsidRPr="00427DDB" w14:paraId="59CF5652" w14:textId="77777777" w:rsidTr="00A22A27">
        <w:trPr>
          <w:trHeight w:val="255"/>
        </w:trPr>
        <w:tc>
          <w:tcPr>
            <w:tcW w:w="346" w:type="pct"/>
            <w:tcBorders>
              <w:top w:val="nil"/>
              <w:left w:val="single" w:sz="4" w:space="0" w:color="auto"/>
              <w:bottom w:val="single" w:sz="4" w:space="0" w:color="auto"/>
              <w:right w:val="single" w:sz="4" w:space="0" w:color="auto"/>
            </w:tcBorders>
            <w:shd w:val="clear" w:color="auto" w:fill="auto"/>
            <w:noWrap/>
            <w:vAlign w:val="bottom"/>
            <w:hideMark/>
          </w:tcPr>
          <w:p w14:paraId="5C8AD904" w14:textId="77777777" w:rsidR="00B45651" w:rsidRPr="00427DDB" w:rsidRDefault="00B45651" w:rsidP="00A22A27">
            <w:pPr>
              <w:spacing w:after="0" w:line="240" w:lineRule="auto"/>
              <w:ind w:firstLine="0"/>
              <w:jc w:val="left"/>
              <w:rPr>
                <w:rFonts w:eastAsia="Times New Roman"/>
                <w:sz w:val="20"/>
                <w:szCs w:val="20"/>
                <w:lang w:eastAsia="pt-BR"/>
              </w:rPr>
            </w:pPr>
            <w:r>
              <w:rPr>
                <w:rFonts w:eastAsia="Times New Roman"/>
                <w:sz w:val="20"/>
                <w:szCs w:val="20"/>
                <w:lang w:eastAsia="pt-BR"/>
              </w:rPr>
              <w:t>37</w:t>
            </w:r>
          </w:p>
        </w:tc>
        <w:tc>
          <w:tcPr>
            <w:tcW w:w="4181" w:type="pct"/>
            <w:tcBorders>
              <w:top w:val="nil"/>
              <w:left w:val="nil"/>
              <w:bottom w:val="single" w:sz="4" w:space="0" w:color="auto"/>
              <w:right w:val="single" w:sz="4" w:space="0" w:color="auto"/>
            </w:tcBorders>
            <w:shd w:val="clear" w:color="auto" w:fill="auto"/>
            <w:noWrap/>
            <w:vAlign w:val="bottom"/>
            <w:hideMark/>
          </w:tcPr>
          <w:p w14:paraId="55B44897" w14:textId="77777777" w:rsidR="00B45651" w:rsidRPr="001018A9" w:rsidRDefault="00B45651" w:rsidP="00A22A27">
            <w:pPr>
              <w:spacing w:after="0" w:line="240" w:lineRule="auto"/>
              <w:ind w:firstLine="0"/>
              <w:jc w:val="left"/>
              <w:rPr>
                <w:rFonts w:eastAsia="Times New Roman"/>
                <w:iCs/>
                <w:sz w:val="20"/>
                <w:szCs w:val="20"/>
                <w:lang w:eastAsia="pt-BR"/>
              </w:rPr>
            </w:pPr>
            <w:r w:rsidRPr="001018A9">
              <w:rPr>
                <w:rFonts w:eastAsia="Times New Roman"/>
                <w:iCs/>
                <w:sz w:val="20"/>
                <w:szCs w:val="20"/>
                <w:lang w:eastAsia="pt-BR"/>
              </w:rPr>
              <w:t>Critérios avaliação Elementos Patrimoniais Constituição de provisão para encargos ou riscos</w:t>
            </w:r>
          </w:p>
        </w:tc>
        <w:tc>
          <w:tcPr>
            <w:tcW w:w="473" w:type="pct"/>
            <w:tcBorders>
              <w:top w:val="nil"/>
              <w:left w:val="nil"/>
              <w:bottom w:val="single" w:sz="4" w:space="0" w:color="auto"/>
              <w:right w:val="single" w:sz="4" w:space="0" w:color="auto"/>
            </w:tcBorders>
            <w:shd w:val="clear" w:color="auto" w:fill="auto"/>
            <w:noWrap/>
            <w:vAlign w:val="bottom"/>
            <w:hideMark/>
          </w:tcPr>
          <w:p w14:paraId="0051B668" w14:textId="77777777" w:rsidR="00B45651" w:rsidRPr="00427DDB" w:rsidRDefault="00B45651" w:rsidP="00A22A27">
            <w:pPr>
              <w:spacing w:after="0" w:line="240" w:lineRule="auto"/>
              <w:ind w:firstLine="0"/>
              <w:jc w:val="left"/>
              <w:rPr>
                <w:rFonts w:eastAsia="Times New Roman"/>
                <w:sz w:val="20"/>
                <w:szCs w:val="20"/>
                <w:lang w:eastAsia="pt-BR"/>
              </w:rPr>
            </w:pPr>
            <w:r w:rsidRPr="00427DDB">
              <w:rPr>
                <w:rFonts w:eastAsia="Times New Roman"/>
                <w:sz w:val="20"/>
                <w:szCs w:val="20"/>
                <w:lang w:eastAsia="pt-BR"/>
              </w:rPr>
              <w:t>Art. 176</w:t>
            </w:r>
          </w:p>
        </w:tc>
      </w:tr>
      <w:tr w:rsidR="00B45651" w:rsidRPr="00427DDB" w14:paraId="79448A45" w14:textId="77777777" w:rsidTr="00A22A27">
        <w:trPr>
          <w:trHeight w:val="255"/>
        </w:trPr>
        <w:tc>
          <w:tcPr>
            <w:tcW w:w="346" w:type="pct"/>
            <w:tcBorders>
              <w:top w:val="nil"/>
              <w:left w:val="single" w:sz="4" w:space="0" w:color="auto"/>
              <w:bottom w:val="single" w:sz="4" w:space="0" w:color="auto"/>
              <w:right w:val="single" w:sz="4" w:space="0" w:color="auto"/>
            </w:tcBorders>
            <w:shd w:val="clear" w:color="auto" w:fill="auto"/>
            <w:noWrap/>
            <w:vAlign w:val="bottom"/>
            <w:hideMark/>
          </w:tcPr>
          <w:p w14:paraId="022F7DE2" w14:textId="77777777" w:rsidR="00B45651" w:rsidRPr="00427DDB" w:rsidRDefault="00B45651" w:rsidP="00A22A27">
            <w:pPr>
              <w:spacing w:after="0" w:line="240" w:lineRule="auto"/>
              <w:ind w:firstLine="0"/>
              <w:jc w:val="left"/>
              <w:rPr>
                <w:rFonts w:eastAsia="Times New Roman"/>
                <w:sz w:val="20"/>
                <w:szCs w:val="20"/>
                <w:lang w:eastAsia="pt-BR"/>
              </w:rPr>
            </w:pPr>
            <w:r>
              <w:rPr>
                <w:rFonts w:eastAsia="Times New Roman"/>
                <w:sz w:val="20"/>
                <w:szCs w:val="20"/>
                <w:lang w:eastAsia="pt-BR"/>
              </w:rPr>
              <w:t>38</w:t>
            </w:r>
          </w:p>
        </w:tc>
        <w:tc>
          <w:tcPr>
            <w:tcW w:w="4181" w:type="pct"/>
            <w:tcBorders>
              <w:top w:val="nil"/>
              <w:left w:val="nil"/>
              <w:bottom w:val="single" w:sz="4" w:space="0" w:color="auto"/>
              <w:right w:val="single" w:sz="4" w:space="0" w:color="auto"/>
            </w:tcBorders>
            <w:shd w:val="clear" w:color="auto" w:fill="auto"/>
            <w:noWrap/>
            <w:vAlign w:val="bottom"/>
            <w:hideMark/>
          </w:tcPr>
          <w:p w14:paraId="72FCECCA" w14:textId="77777777" w:rsidR="00B45651" w:rsidRPr="001018A9" w:rsidRDefault="00B45651" w:rsidP="00A22A27">
            <w:pPr>
              <w:spacing w:after="0" w:line="240" w:lineRule="auto"/>
              <w:ind w:firstLine="0"/>
              <w:jc w:val="left"/>
              <w:rPr>
                <w:rFonts w:eastAsia="Times New Roman"/>
                <w:iCs/>
                <w:sz w:val="20"/>
                <w:szCs w:val="20"/>
                <w:lang w:eastAsia="pt-BR"/>
              </w:rPr>
            </w:pPr>
            <w:r w:rsidRPr="001018A9">
              <w:rPr>
                <w:rFonts w:eastAsia="Times New Roman"/>
                <w:iCs/>
                <w:sz w:val="20"/>
                <w:szCs w:val="20"/>
                <w:lang w:eastAsia="pt-BR"/>
              </w:rPr>
              <w:t>Critérios avaliação Elementos Patrimoniais Ajustes a Perdas Prováveis Ativos</w:t>
            </w:r>
          </w:p>
        </w:tc>
        <w:tc>
          <w:tcPr>
            <w:tcW w:w="473" w:type="pct"/>
            <w:tcBorders>
              <w:top w:val="nil"/>
              <w:left w:val="nil"/>
              <w:bottom w:val="single" w:sz="4" w:space="0" w:color="auto"/>
              <w:right w:val="single" w:sz="4" w:space="0" w:color="auto"/>
            </w:tcBorders>
            <w:shd w:val="clear" w:color="auto" w:fill="auto"/>
            <w:noWrap/>
            <w:vAlign w:val="bottom"/>
            <w:hideMark/>
          </w:tcPr>
          <w:p w14:paraId="6C14E93C" w14:textId="77777777" w:rsidR="00B45651" w:rsidRPr="00427DDB" w:rsidRDefault="00B45651" w:rsidP="00A22A27">
            <w:pPr>
              <w:spacing w:after="0" w:line="240" w:lineRule="auto"/>
              <w:ind w:firstLine="0"/>
              <w:jc w:val="left"/>
              <w:rPr>
                <w:rFonts w:eastAsia="Times New Roman"/>
                <w:sz w:val="20"/>
                <w:szCs w:val="20"/>
                <w:lang w:eastAsia="pt-BR"/>
              </w:rPr>
            </w:pPr>
            <w:r w:rsidRPr="00427DDB">
              <w:rPr>
                <w:rFonts w:eastAsia="Times New Roman"/>
                <w:sz w:val="20"/>
                <w:szCs w:val="20"/>
                <w:lang w:eastAsia="pt-BR"/>
              </w:rPr>
              <w:t>Art. 176</w:t>
            </w:r>
          </w:p>
        </w:tc>
      </w:tr>
      <w:tr w:rsidR="00B45651" w:rsidRPr="00427DDB" w14:paraId="052F7C07" w14:textId="77777777" w:rsidTr="00A22A27">
        <w:trPr>
          <w:trHeight w:val="255"/>
        </w:trPr>
        <w:tc>
          <w:tcPr>
            <w:tcW w:w="346" w:type="pct"/>
            <w:tcBorders>
              <w:top w:val="nil"/>
              <w:left w:val="single" w:sz="4" w:space="0" w:color="auto"/>
              <w:bottom w:val="single" w:sz="4" w:space="0" w:color="auto"/>
              <w:right w:val="single" w:sz="4" w:space="0" w:color="auto"/>
            </w:tcBorders>
            <w:shd w:val="clear" w:color="auto" w:fill="auto"/>
            <w:noWrap/>
            <w:vAlign w:val="bottom"/>
            <w:hideMark/>
          </w:tcPr>
          <w:p w14:paraId="5579736C" w14:textId="77777777" w:rsidR="00B45651" w:rsidRPr="00427DDB" w:rsidRDefault="00B45651" w:rsidP="00A22A27">
            <w:pPr>
              <w:spacing w:after="0" w:line="240" w:lineRule="auto"/>
              <w:ind w:firstLine="0"/>
              <w:jc w:val="left"/>
              <w:rPr>
                <w:rFonts w:eastAsia="Times New Roman"/>
                <w:sz w:val="20"/>
                <w:szCs w:val="20"/>
                <w:lang w:eastAsia="pt-BR"/>
              </w:rPr>
            </w:pPr>
            <w:r>
              <w:rPr>
                <w:rFonts w:eastAsia="Times New Roman"/>
                <w:sz w:val="20"/>
                <w:szCs w:val="20"/>
                <w:lang w:eastAsia="pt-BR"/>
              </w:rPr>
              <w:t>39</w:t>
            </w:r>
          </w:p>
        </w:tc>
        <w:tc>
          <w:tcPr>
            <w:tcW w:w="4181" w:type="pct"/>
            <w:tcBorders>
              <w:top w:val="nil"/>
              <w:left w:val="nil"/>
              <w:bottom w:val="single" w:sz="4" w:space="0" w:color="auto"/>
              <w:right w:val="single" w:sz="4" w:space="0" w:color="auto"/>
            </w:tcBorders>
            <w:shd w:val="clear" w:color="auto" w:fill="auto"/>
            <w:noWrap/>
            <w:vAlign w:val="bottom"/>
            <w:hideMark/>
          </w:tcPr>
          <w:p w14:paraId="2F4DE7E7" w14:textId="77777777" w:rsidR="00B45651" w:rsidRPr="001018A9" w:rsidRDefault="00B45651" w:rsidP="00A22A27">
            <w:pPr>
              <w:spacing w:after="0" w:line="240" w:lineRule="auto"/>
              <w:ind w:firstLine="0"/>
              <w:jc w:val="left"/>
              <w:rPr>
                <w:rFonts w:eastAsia="Times New Roman"/>
                <w:iCs/>
                <w:sz w:val="20"/>
                <w:szCs w:val="20"/>
                <w:lang w:eastAsia="pt-BR"/>
              </w:rPr>
            </w:pPr>
            <w:r w:rsidRPr="001018A9">
              <w:rPr>
                <w:rFonts w:eastAsia="Times New Roman"/>
                <w:iCs/>
                <w:sz w:val="20"/>
                <w:szCs w:val="20"/>
                <w:lang w:eastAsia="pt-BR"/>
              </w:rPr>
              <w:t>Critérios avaliação Elementos Patrimoniais Passivos</w:t>
            </w:r>
          </w:p>
        </w:tc>
        <w:tc>
          <w:tcPr>
            <w:tcW w:w="473" w:type="pct"/>
            <w:tcBorders>
              <w:top w:val="nil"/>
              <w:left w:val="nil"/>
              <w:bottom w:val="single" w:sz="4" w:space="0" w:color="auto"/>
              <w:right w:val="single" w:sz="4" w:space="0" w:color="auto"/>
            </w:tcBorders>
            <w:shd w:val="clear" w:color="auto" w:fill="auto"/>
            <w:noWrap/>
            <w:vAlign w:val="bottom"/>
            <w:hideMark/>
          </w:tcPr>
          <w:p w14:paraId="5AC65172" w14:textId="77777777" w:rsidR="00B45651" w:rsidRPr="00427DDB" w:rsidRDefault="00B45651" w:rsidP="00A22A27">
            <w:pPr>
              <w:spacing w:after="0" w:line="240" w:lineRule="auto"/>
              <w:ind w:firstLine="0"/>
              <w:jc w:val="left"/>
              <w:rPr>
                <w:rFonts w:eastAsia="Times New Roman"/>
                <w:sz w:val="20"/>
                <w:szCs w:val="20"/>
                <w:lang w:eastAsia="pt-BR"/>
              </w:rPr>
            </w:pPr>
            <w:r w:rsidRPr="00427DDB">
              <w:rPr>
                <w:rFonts w:eastAsia="Times New Roman"/>
                <w:sz w:val="20"/>
                <w:szCs w:val="20"/>
                <w:lang w:eastAsia="pt-BR"/>
              </w:rPr>
              <w:t>Art. 176/184</w:t>
            </w:r>
          </w:p>
        </w:tc>
      </w:tr>
      <w:tr w:rsidR="00B45651" w:rsidRPr="00427DDB" w14:paraId="25217B38" w14:textId="77777777" w:rsidTr="00A22A27">
        <w:trPr>
          <w:trHeight w:val="255"/>
        </w:trPr>
        <w:tc>
          <w:tcPr>
            <w:tcW w:w="346" w:type="pct"/>
            <w:tcBorders>
              <w:top w:val="nil"/>
              <w:left w:val="single" w:sz="4" w:space="0" w:color="auto"/>
              <w:bottom w:val="single" w:sz="4" w:space="0" w:color="auto"/>
              <w:right w:val="single" w:sz="4" w:space="0" w:color="auto"/>
            </w:tcBorders>
            <w:shd w:val="clear" w:color="auto" w:fill="auto"/>
            <w:noWrap/>
            <w:vAlign w:val="bottom"/>
            <w:hideMark/>
          </w:tcPr>
          <w:p w14:paraId="09B5C474" w14:textId="77777777" w:rsidR="00B45651" w:rsidRPr="00427DDB" w:rsidRDefault="00B45651" w:rsidP="00A22A27">
            <w:pPr>
              <w:spacing w:after="0" w:line="240" w:lineRule="auto"/>
              <w:ind w:firstLine="0"/>
              <w:jc w:val="left"/>
              <w:rPr>
                <w:rFonts w:eastAsia="Times New Roman"/>
                <w:sz w:val="20"/>
                <w:szCs w:val="20"/>
                <w:lang w:eastAsia="pt-BR"/>
              </w:rPr>
            </w:pPr>
            <w:r>
              <w:rPr>
                <w:rFonts w:eastAsia="Times New Roman"/>
                <w:sz w:val="20"/>
                <w:szCs w:val="20"/>
                <w:lang w:eastAsia="pt-BR"/>
              </w:rPr>
              <w:t>40</w:t>
            </w:r>
          </w:p>
        </w:tc>
        <w:tc>
          <w:tcPr>
            <w:tcW w:w="4181" w:type="pct"/>
            <w:tcBorders>
              <w:top w:val="nil"/>
              <w:left w:val="nil"/>
              <w:bottom w:val="single" w:sz="4" w:space="0" w:color="auto"/>
              <w:right w:val="single" w:sz="4" w:space="0" w:color="auto"/>
            </w:tcBorders>
            <w:shd w:val="clear" w:color="auto" w:fill="auto"/>
            <w:noWrap/>
            <w:vAlign w:val="bottom"/>
            <w:hideMark/>
          </w:tcPr>
          <w:p w14:paraId="1D3E5A8D" w14:textId="77777777" w:rsidR="00B45651" w:rsidRPr="00427DDB" w:rsidRDefault="00B45651" w:rsidP="00A22A27">
            <w:pPr>
              <w:spacing w:after="0" w:line="240" w:lineRule="auto"/>
              <w:ind w:firstLine="0"/>
              <w:jc w:val="left"/>
              <w:rPr>
                <w:rFonts w:eastAsia="Times New Roman"/>
                <w:sz w:val="20"/>
                <w:szCs w:val="20"/>
                <w:lang w:eastAsia="pt-BR"/>
              </w:rPr>
            </w:pPr>
            <w:r w:rsidRPr="00427DDB">
              <w:rPr>
                <w:rFonts w:eastAsia="Times New Roman"/>
                <w:sz w:val="20"/>
                <w:szCs w:val="20"/>
                <w:lang w:eastAsia="pt-BR"/>
              </w:rPr>
              <w:t>Investimentos em outras sociedades, quando relevantes</w:t>
            </w:r>
          </w:p>
        </w:tc>
        <w:tc>
          <w:tcPr>
            <w:tcW w:w="473" w:type="pct"/>
            <w:tcBorders>
              <w:top w:val="nil"/>
              <w:left w:val="nil"/>
              <w:bottom w:val="single" w:sz="4" w:space="0" w:color="auto"/>
              <w:right w:val="single" w:sz="4" w:space="0" w:color="auto"/>
            </w:tcBorders>
            <w:shd w:val="clear" w:color="auto" w:fill="auto"/>
            <w:noWrap/>
            <w:vAlign w:val="bottom"/>
            <w:hideMark/>
          </w:tcPr>
          <w:p w14:paraId="7C24A6D7" w14:textId="77777777" w:rsidR="00B45651" w:rsidRPr="00427DDB" w:rsidRDefault="00B45651" w:rsidP="00A22A27">
            <w:pPr>
              <w:spacing w:after="0" w:line="240" w:lineRule="auto"/>
              <w:ind w:firstLine="0"/>
              <w:jc w:val="left"/>
              <w:rPr>
                <w:rFonts w:eastAsia="Times New Roman"/>
                <w:sz w:val="20"/>
                <w:szCs w:val="20"/>
                <w:lang w:eastAsia="pt-BR"/>
              </w:rPr>
            </w:pPr>
            <w:r w:rsidRPr="00427DDB">
              <w:rPr>
                <w:rFonts w:eastAsia="Times New Roman"/>
                <w:sz w:val="20"/>
                <w:szCs w:val="20"/>
                <w:lang w:eastAsia="pt-BR"/>
              </w:rPr>
              <w:t>Art. 176</w:t>
            </w:r>
          </w:p>
        </w:tc>
      </w:tr>
      <w:tr w:rsidR="00B45651" w:rsidRPr="00427DDB" w14:paraId="756C8BC8" w14:textId="77777777" w:rsidTr="00A22A27">
        <w:trPr>
          <w:trHeight w:val="255"/>
        </w:trPr>
        <w:tc>
          <w:tcPr>
            <w:tcW w:w="346" w:type="pct"/>
            <w:tcBorders>
              <w:top w:val="nil"/>
              <w:left w:val="single" w:sz="4" w:space="0" w:color="auto"/>
              <w:bottom w:val="single" w:sz="4" w:space="0" w:color="auto"/>
              <w:right w:val="single" w:sz="4" w:space="0" w:color="auto"/>
            </w:tcBorders>
            <w:shd w:val="clear" w:color="auto" w:fill="auto"/>
            <w:noWrap/>
            <w:vAlign w:val="bottom"/>
            <w:hideMark/>
          </w:tcPr>
          <w:p w14:paraId="1080E997" w14:textId="77777777" w:rsidR="00B45651" w:rsidRPr="00427DDB" w:rsidRDefault="00B45651" w:rsidP="00A22A27">
            <w:pPr>
              <w:spacing w:after="0" w:line="240" w:lineRule="auto"/>
              <w:ind w:firstLine="0"/>
              <w:jc w:val="left"/>
              <w:rPr>
                <w:rFonts w:eastAsia="Times New Roman"/>
                <w:sz w:val="20"/>
                <w:szCs w:val="20"/>
                <w:lang w:eastAsia="pt-BR"/>
              </w:rPr>
            </w:pPr>
            <w:r>
              <w:rPr>
                <w:rFonts w:eastAsia="Times New Roman"/>
                <w:sz w:val="20"/>
                <w:szCs w:val="20"/>
                <w:lang w:eastAsia="pt-BR"/>
              </w:rPr>
              <w:t>41</w:t>
            </w:r>
          </w:p>
        </w:tc>
        <w:tc>
          <w:tcPr>
            <w:tcW w:w="4181" w:type="pct"/>
            <w:tcBorders>
              <w:top w:val="nil"/>
              <w:left w:val="nil"/>
              <w:bottom w:val="single" w:sz="4" w:space="0" w:color="auto"/>
              <w:right w:val="single" w:sz="4" w:space="0" w:color="auto"/>
            </w:tcBorders>
            <w:shd w:val="clear" w:color="auto" w:fill="auto"/>
            <w:noWrap/>
            <w:vAlign w:val="bottom"/>
            <w:hideMark/>
          </w:tcPr>
          <w:p w14:paraId="3C8DFBF4" w14:textId="77777777" w:rsidR="00B45651" w:rsidRPr="00427DDB" w:rsidRDefault="00B45651" w:rsidP="00A22A27">
            <w:pPr>
              <w:spacing w:after="0" w:line="240" w:lineRule="auto"/>
              <w:ind w:firstLine="0"/>
              <w:jc w:val="left"/>
              <w:rPr>
                <w:rFonts w:eastAsia="Times New Roman"/>
                <w:sz w:val="20"/>
                <w:szCs w:val="20"/>
                <w:lang w:eastAsia="pt-BR"/>
              </w:rPr>
            </w:pPr>
            <w:r w:rsidRPr="00427DDB">
              <w:rPr>
                <w:rFonts w:eastAsia="Times New Roman"/>
                <w:sz w:val="20"/>
                <w:szCs w:val="20"/>
                <w:lang w:eastAsia="pt-BR"/>
              </w:rPr>
              <w:t>Aumento de valor de elementos do ativo resultante de novas avaliações</w:t>
            </w:r>
          </w:p>
        </w:tc>
        <w:tc>
          <w:tcPr>
            <w:tcW w:w="473" w:type="pct"/>
            <w:tcBorders>
              <w:top w:val="nil"/>
              <w:left w:val="nil"/>
              <w:bottom w:val="single" w:sz="4" w:space="0" w:color="auto"/>
              <w:right w:val="single" w:sz="4" w:space="0" w:color="auto"/>
            </w:tcBorders>
            <w:shd w:val="clear" w:color="auto" w:fill="auto"/>
            <w:noWrap/>
            <w:vAlign w:val="bottom"/>
            <w:hideMark/>
          </w:tcPr>
          <w:p w14:paraId="2E079F07" w14:textId="77777777" w:rsidR="00B45651" w:rsidRPr="00427DDB" w:rsidRDefault="00B45651" w:rsidP="00A22A27">
            <w:pPr>
              <w:spacing w:after="0" w:line="240" w:lineRule="auto"/>
              <w:ind w:firstLine="0"/>
              <w:jc w:val="left"/>
              <w:rPr>
                <w:rFonts w:eastAsia="Times New Roman"/>
                <w:sz w:val="20"/>
                <w:szCs w:val="20"/>
                <w:lang w:eastAsia="pt-BR"/>
              </w:rPr>
            </w:pPr>
            <w:r w:rsidRPr="00427DDB">
              <w:rPr>
                <w:rFonts w:eastAsia="Times New Roman"/>
                <w:sz w:val="20"/>
                <w:szCs w:val="20"/>
                <w:lang w:eastAsia="pt-BR"/>
              </w:rPr>
              <w:t>Art. 176</w:t>
            </w:r>
          </w:p>
        </w:tc>
      </w:tr>
      <w:tr w:rsidR="00B45651" w:rsidRPr="00427DDB" w14:paraId="778B20D7" w14:textId="77777777" w:rsidTr="00A22A27">
        <w:trPr>
          <w:trHeight w:val="255"/>
        </w:trPr>
        <w:tc>
          <w:tcPr>
            <w:tcW w:w="346" w:type="pct"/>
            <w:tcBorders>
              <w:top w:val="nil"/>
              <w:left w:val="single" w:sz="4" w:space="0" w:color="auto"/>
              <w:bottom w:val="single" w:sz="4" w:space="0" w:color="auto"/>
              <w:right w:val="single" w:sz="4" w:space="0" w:color="auto"/>
            </w:tcBorders>
            <w:shd w:val="clear" w:color="auto" w:fill="auto"/>
            <w:noWrap/>
            <w:vAlign w:val="bottom"/>
            <w:hideMark/>
          </w:tcPr>
          <w:p w14:paraId="603B795B" w14:textId="77777777" w:rsidR="00B45651" w:rsidRPr="00427DDB" w:rsidRDefault="00B45651" w:rsidP="00A22A27">
            <w:pPr>
              <w:spacing w:after="0" w:line="240" w:lineRule="auto"/>
              <w:ind w:firstLine="0"/>
              <w:jc w:val="left"/>
              <w:rPr>
                <w:rFonts w:eastAsia="Times New Roman"/>
                <w:sz w:val="20"/>
                <w:szCs w:val="20"/>
                <w:lang w:eastAsia="pt-BR"/>
              </w:rPr>
            </w:pPr>
            <w:r>
              <w:rPr>
                <w:rFonts w:eastAsia="Times New Roman"/>
                <w:sz w:val="20"/>
                <w:szCs w:val="20"/>
                <w:lang w:eastAsia="pt-BR"/>
              </w:rPr>
              <w:t>42</w:t>
            </w:r>
          </w:p>
        </w:tc>
        <w:tc>
          <w:tcPr>
            <w:tcW w:w="4181" w:type="pct"/>
            <w:tcBorders>
              <w:top w:val="nil"/>
              <w:left w:val="nil"/>
              <w:bottom w:val="single" w:sz="4" w:space="0" w:color="auto"/>
              <w:right w:val="single" w:sz="4" w:space="0" w:color="auto"/>
            </w:tcBorders>
            <w:shd w:val="clear" w:color="auto" w:fill="auto"/>
            <w:noWrap/>
            <w:vAlign w:val="bottom"/>
            <w:hideMark/>
          </w:tcPr>
          <w:p w14:paraId="64AB8215" w14:textId="77777777" w:rsidR="00B45651" w:rsidRPr="00427DDB" w:rsidRDefault="00B45651" w:rsidP="00A22A27">
            <w:pPr>
              <w:spacing w:after="0" w:line="240" w:lineRule="auto"/>
              <w:ind w:firstLine="0"/>
              <w:jc w:val="left"/>
              <w:rPr>
                <w:rFonts w:eastAsia="Times New Roman"/>
                <w:sz w:val="20"/>
                <w:szCs w:val="20"/>
                <w:lang w:eastAsia="pt-BR"/>
              </w:rPr>
            </w:pPr>
            <w:r w:rsidRPr="00427DDB">
              <w:rPr>
                <w:rFonts w:eastAsia="Times New Roman"/>
                <w:sz w:val="20"/>
                <w:szCs w:val="20"/>
                <w:lang w:eastAsia="pt-BR"/>
              </w:rPr>
              <w:t>Ônus reais constituídos sobre elementos do ativo, as garantias prestadas a terceiros e outras responsabilidades eventuais ou contingentes</w:t>
            </w:r>
          </w:p>
        </w:tc>
        <w:tc>
          <w:tcPr>
            <w:tcW w:w="473" w:type="pct"/>
            <w:tcBorders>
              <w:top w:val="nil"/>
              <w:left w:val="nil"/>
              <w:bottom w:val="single" w:sz="4" w:space="0" w:color="auto"/>
              <w:right w:val="single" w:sz="4" w:space="0" w:color="auto"/>
            </w:tcBorders>
            <w:shd w:val="clear" w:color="auto" w:fill="auto"/>
            <w:noWrap/>
            <w:vAlign w:val="bottom"/>
            <w:hideMark/>
          </w:tcPr>
          <w:p w14:paraId="22AA3A4B" w14:textId="77777777" w:rsidR="00B45651" w:rsidRPr="00427DDB" w:rsidRDefault="00B45651" w:rsidP="00A22A27">
            <w:pPr>
              <w:spacing w:after="0" w:line="240" w:lineRule="auto"/>
              <w:ind w:firstLine="0"/>
              <w:jc w:val="left"/>
              <w:rPr>
                <w:rFonts w:eastAsia="Times New Roman"/>
                <w:sz w:val="20"/>
                <w:szCs w:val="20"/>
                <w:lang w:eastAsia="pt-BR"/>
              </w:rPr>
            </w:pPr>
            <w:r w:rsidRPr="00427DDB">
              <w:rPr>
                <w:rFonts w:eastAsia="Times New Roman"/>
                <w:sz w:val="20"/>
                <w:szCs w:val="20"/>
                <w:lang w:eastAsia="pt-BR"/>
              </w:rPr>
              <w:t>Art. 176</w:t>
            </w:r>
          </w:p>
        </w:tc>
      </w:tr>
      <w:tr w:rsidR="00B45651" w:rsidRPr="00427DDB" w14:paraId="1B1C2912" w14:textId="77777777" w:rsidTr="00A22A27">
        <w:trPr>
          <w:trHeight w:val="255"/>
        </w:trPr>
        <w:tc>
          <w:tcPr>
            <w:tcW w:w="346" w:type="pct"/>
            <w:tcBorders>
              <w:top w:val="nil"/>
              <w:left w:val="single" w:sz="4" w:space="0" w:color="auto"/>
              <w:bottom w:val="single" w:sz="4" w:space="0" w:color="auto"/>
              <w:right w:val="single" w:sz="4" w:space="0" w:color="auto"/>
            </w:tcBorders>
            <w:shd w:val="clear" w:color="auto" w:fill="auto"/>
            <w:noWrap/>
            <w:vAlign w:val="bottom"/>
            <w:hideMark/>
          </w:tcPr>
          <w:p w14:paraId="2F77D0E4" w14:textId="77777777" w:rsidR="00B45651" w:rsidRPr="00427DDB" w:rsidRDefault="00B45651" w:rsidP="00A22A27">
            <w:pPr>
              <w:spacing w:after="0" w:line="240" w:lineRule="auto"/>
              <w:ind w:firstLine="0"/>
              <w:jc w:val="left"/>
              <w:rPr>
                <w:rFonts w:eastAsia="Times New Roman"/>
                <w:sz w:val="20"/>
                <w:szCs w:val="20"/>
                <w:lang w:eastAsia="pt-BR"/>
              </w:rPr>
            </w:pPr>
            <w:r>
              <w:rPr>
                <w:rFonts w:eastAsia="Times New Roman"/>
                <w:sz w:val="20"/>
                <w:szCs w:val="20"/>
                <w:lang w:eastAsia="pt-BR"/>
              </w:rPr>
              <w:t>43</w:t>
            </w:r>
          </w:p>
        </w:tc>
        <w:tc>
          <w:tcPr>
            <w:tcW w:w="4181" w:type="pct"/>
            <w:tcBorders>
              <w:top w:val="nil"/>
              <w:left w:val="nil"/>
              <w:bottom w:val="single" w:sz="4" w:space="0" w:color="auto"/>
              <w:right w:val="single" w:sz="4" w:space="0" w:color="auto"/>
            </w:tcBorders>
            <w:shd w:val="clear" w:color="auto" w:fill="auto"/>
            <w:noWrap/>
            <w:vAlign w:val="bottom"/>
            <w:hideMark/>
          </w:tcPr>
          <w:p w14:paraId="22958D2D" w14:textId="77777777" w:rsidR="00B45651" w:rsidRPr="00427DDB" w:rsidRDefault="00B45651" w:rsidP="00A22A27">
            <w:pPr>
              <w:spacing w:after="0" w:line="240" w:lineRule="auto"/>
              <w:ind w:firstLine="0"/>
              <w:jc w:val="left"/>
              <w:rPr>
                <w:rFonts w:eastAsia="Times New Roman"/>
                <w:sz w:val="20"/>
                <w:szCs w:val="20"/>
                <w:lang w:eastAsia="pt-BR"/>
              </w:rPr>
            </w:pPr>
            <w:r w:rsidRPr="00427DDB">
              <w:rPr>
                <w:rFonts w:eastAsia="Times New Roman"/>
                <w:sz w:val="20"/>
                <w:szCs w:val="20"/>
                <w:lang w:eastAsia="pt-BR"/>
              </w:rPr>
              <w:t>Taxa de juros, as datas de vencimento e as garantias das obrigações a longo prazo</w:t>
            </w:r>
          </w:p>
        </w:tc>
        <w:tc>
          <w:tcPr>
            <w:tcW w:w="473" w:type="pct"/>
            <w:tcBorders>
              <w:top w:val="nil"/>
              <w:left w:val="nil"/>
              <w:bottom w:val="single" w:sz="4" w:space="0" w:color="auto"/>
              <w:right w:val="single" w:sz="4" w:space="0" w:color="auto"/>
            </w:tcBorders>
            <w:shd w:val="clear" w:color="auto" w:fill="auto"/>
            <w:noWrap/>
            <w:vAlign w:val="bottom"/>
            <w:hideMark/>
          </w:tcPr>
          <w:p w14:paraId="5E55C2B9" w14:textId="77777777" w:rsidR="00B45651" w:rsidRPr="00427DDB" w:rsidRDefault="00B45651" w:rsidP="00A22A27">
            <w:pPr>
              <w:spacing w:after="0" w:line="240" w:lineRule="auto"/>
              <w:ind w:firstLine="0"/>
              <w:jc w:val="left"/>
              <w:rPr>
                <w:rFonts w:eastAsia="Times New Roman"/>
                <w:sz w:val="20"/>
                <w:szCs w:val="20"/>
                <w:lang w:eastAsia="pt-BR"/>
              </w:rPr>
            </w:pPr>
            <w:r w:rsidRPr="00427DDB">
              <w:rPr>
                <w:rFonts w:eastAsia="Times New Roman"/>
                <w:sz w:val="20"/>
                <w:szCs w:val="20"/>
                <w:lang w:eastAsia="pt-BR"/>
              </w:rPr>
              <w:t>Art. 176</w:t>
            </w:r>
          </w:p>
        </w:tc>
      </w:tr>
      <w:tr w:rsidR="00B45651" w:rsidRPr="00427DDB" w14:paraId="01F56D81" w14:textId="77777777" w:rsidTr="00A22A27">
        <w:trPr>
          <w:trHeight w:val="255"/>
        </w:trPr>
        <w:tc>
          <w:tcPr>
            <w:tcW w:w="346" w:type="pct"/>
            <w:tcBorders>
              <w:top w:val="nil"/>
              <w:left w:val="single" w:sz="4" w:space="0" w:color="auto"/>
              <w:bottom w:val="single" w:sz="4" w:space="0" w:color="auto"/>
              <w:right w:val="single" w:sz="4" w:space="0" w:color="auto"/>
            </w:tcBorders>
            <w:shd w:val="clear" w:color="auto" w:fill="auto"/>
            <w:noWrap/>
            <w:vAlign w:val="bottom"/>
            <w:hideMark/>
          </w:tcPr>
          <w:p w14:paraId="226066AA" w14:textId="77777777" w:rsidR="00B45651" w:rsidRPr="00427DDB" w:rsidRDefault="00B45651" w:rsidP="00A22A27">
            <w:pPr>
              <w:spacing w:after="0" w:line="240" w:lineRule="auto"/>
              <w:ind w:firstLine="0"/>
              <w:jc w:val="left"/>
              <w:rPr>
                <w:rFonts w:eastAsia="Times New Roman"/>
                <w:sz w:val="20"/>
                <w:szCs w:val="20"/>
                <w:lang w:eastAsia="pt-BR"/>
              </w:rPr>
            </w:pPr>
            <w:r>
              <w:rPr>
                <w:rFonts w:eastAsia="Times New Roman"/>
                <w:sz w:val="20"/>
                <w:szCs w:val="20"/>
                <w:lang w:eastAsia="pt-BR"/>
              </w:rPr>
              <w:t>44</w:t>
            </w:r>
          </w:p>
        </w:tc>
        <w:tc>
          <w:tcPr>
            <w:tcW w:w="4181" w:type="pct"/>
            <w:tcBorders>
              <w:top w:val="nil"/>
              <w:left w:val="nil"/>
              <w:bottom w:val="single" w:sz="4" w:space="0" w:color="auto"/>
              <w:right w:val="single" w:sz="4" w:space="0" w:color="auto"/>
            </w:tcBorders>
            <w:shd w:val="clear" w:color="auto" w:fill="auto"/>
            <w:noWrap/>
            <w:vAlign w:val="bottom"/>
            <w:hideMark/>
          </w:tcPr>
          <w:p w14:paraId="674F5A67" w14:textId="77777777" w:rsidR="00B45651" w:rsidRPr="00427DDB" w:rsidRDefault="00B45651" w:rsidP="00A22A27">
            <w:pPr>
              <w:spacing w:after="0" w:line="240" w:lineRule="auto"/>
              <w:ind w:firstLine="0"/>
              <w:jc w:val="left"/>
              <w:rPr>
                <w:rFonts w:eastAsia="Times New Roman"/>
                <w:sz w:val="20"/>
                <w:szCs w:val="20"/>
                <w:lang w:eastAsia="pt-BR"/>
              </w:rPr>
            </w:pPr>
            <w:r w:rsidRPr="00427DDB">
              <w:rPr>
                <w:rFonts w:eastAsia="Times New Roman"/>
                <w:sz w:val="20"/>
                <w:szCs w:val="20"/>
                <w:lang w:eastAsia="pt-BR"/>
              </w:rPr>
              <w:t>Número, espécies e classes das ações do capital social</w:t>
            </w:r>
          </w:p>
        </w:tc>
        <w:tc>
          <w:tcPr>
            <w:tcW w:w="473" w:type="pct"/>
            <w:tcBorders>
              <w:top w:val="nil"/>
              <w:left w:val="nil"/>
              <w:bottom w:val="single" w:sz="4" w:space="0" w:color="auto"/>
              <w:right w:val="single" w:sz="4" w:space="0" w:color="auto"/>
            </w:tcBorders>
            <w:shd w:val="clear" w:color="auto" w:fill="auto"/>
            <w:noWrap/>
            <w:vAlign w:val="bottom"/>
            <w:hideMark/>
          </w:tcPr>
          <w:p w14:paraId="6A4C08AB" w14:textId="77777777" w:rsidR="00B45651" w:rsidRPr="00427DDB" w:rsidRDefault="00B45651" w:rsidP="00A22A27">
            <w:pPr>
              <w:spacing w:after="0" w:line="240" w:lineRule="auto"/>
              <w:ind w:firstLine="0"/>
              <w:jc w:val="left"/>
              <w:rPr>
                <w:rFonts w:eastAsia="Times New Roman"/>
                <w:sz w:val="20"/>
                <w:szCs w:val="20"/>
                <w:lang w:eastAsia="pt-BR"/>
              </w:rPr>
            </w:pPr>
            <w:r w:rsidRPr="00427DDB">
              <w:rPr>
                <w:rFonts w:eastAsia="Times New Roman"/>
                <w:sz w:val="20"/>
                <w:szCs w:val="20"/>
                <w:lang w:eastAsia="pt-BR"/>
              </w:rPr>
              <w:t>Art. 176</w:t>
            </w:r>
          </w:p>
        </w:tc>
      </w:tr>
      <w:tr w:rsidR="00B45651" w:rsidRPr="00427DDB" w14:paraId="3E0749A8" w14:textId="77777777" w:rsidTr="00A22A27">
        <w:trPr>
          <w:trHeight w:val="255"/>
        </w:trPr>
        <w:tc>
          <w:tcPr>
            <w:tcW w:w="346" w:type="pct"/>
            <w:tcBorders>
              <w:top w:val="nil"/>
              <w:left w:val="single" w:sz="4" w:space="0" w:color="auto"/>
              <w:bottom w:val="single" w:sz="4" w:space="0" w:color="auto"/>
              <w:right w:val="single" w:sz="4" w:space="0" w:color="auto"/>
            </w:tcBorders>
            <w:shd w:val="clear" w:color="auto" w:fill="auto"/>
            <w:noWrap/>
            <w:vAlign w:val="bottom"/>
            <w:hideMark/>
          </w:tcPr>
          <w:p w14:paraId="3F769820" w14:textId="77777777" w:rsidR="00B45651" w:rsidRPr="00427DDB" w:rsidRDefault="00B45651" w:rsidP="00A22A27">
            <w:pPr>
              <w:spacing w:after="0" w:line="240" w:lineRule="auto"/>
              <w:ind w:firstLine="0"/>
              <w:jc w:val="left"/>
              <w:rPr>
                <w:rFonts w:eastAsia="Times New Roman"/>
                <w:sz w:val="20"/>
                <w:szCs w:val="20"/>
                <w:lang w:eastAsia="pt-BR"/>
              </w:rPr>
            </w:pPr>
            <w:r>
              <w:rPr>
                <w:rFonts w:eastAsia="Times New Roman"/>
                <w:sz w:val="20"/>
                <w:szCs w:val="20"/>
                <w:lang w:eastAsia="pt-BR"/>
              </w:rPr>
              <w:t>45</w:t>
            </w:r>
          </w:p>
        </w:tc>
        <w:tc>
          <w:tcPr>
            <w:tcW w:w="4181" w:type="pct"/>
            <w:tcBorders>
              <w:top w:val="nil"/>
              <w:left w:val="nil"/>
              <w:bottom w:val="single" w:sz="4" w:space="0" w:color="auto"/>
              <w:right w:val="single" w:sz="4" w:space="0" w:color="auto"/>
            </w:tcBorders>
            <w:shd w:val="clear" w:color="auto" w:fill="auto"/>
            <w:noWrap/>
            <w:vAlign w:val="bottom"/>
            <w:hideMark/>
          </w:tcPr>
          <w:p w14:paraId="43B6C830" w14:textId="77777777" w:rsidR="00B45651" w:rsidRPr="00427DDB" w:rsidRDefault="00B45651" w:rsidP="00A22A27">
            <w:pPr>
              <w:spacing w:after="0" w:line="240" w:lineRule="auto"/>
              <w:ind w:firstLine="0"/>
              <w:jc w:val="left"/>
              <w:rPr>
                <w:rFonts w:eastAsia="Times New Roman"/>
                <w:sz w:val="20"/>
                <w:szCs w:val="20"/>
                <w:lang w:eastAsia="pt-BR"/>
              </w:rPr>
            </w:pPr>
            <w:r w:rsidRPr="00427DDB">
              <w:rPr>
                <w:rFonts w:eastAsia="Times New Roman"/>
                <w:sz w:val="20"/>
                <w:szCs w:val="20"/>
                <w:lang w:eastAsia="pt-BR"/>
              </w:rPr>
              <w:t>Opções de compra de ações outorgadas e exercidas no exercício</w:t>
            </w:r>
          </w:p>
        </w:tc>
        <w:tc>
          <w:tcPr>
            <w:tcW w:w="473" w:type="pct"/>
            <w:tcBorders>
              <w:top w:val="nil"/>
              <w:left w:val="nil"/>
              <w:bottom w:val="single" w:sz="4" w:space="0" w:color="auto"/>
              <w:right w:val="single" w:sz="4" w:space="0" w:color="auto"/>
            </w:tcBorders>
            <w:shd w:val="clear" w:color="auto" w:fill="auto"/>
            <w:noWrap/>
            <w:vAlign w:val="bottom"/>
            <w:hideMark/>
          </w:tcPr>
          <w:p w14:paraId="562AABA2" w14:textId="77777777" w:rsidR="00B45651" w:rsidRPr="00427DDB" w:rsidRDefault="00B45651" w:rsidP="00A22A27">
            <w:pPr>
              <w:spacing w:after="0" w:line="240" w:lineRule="auto"/>
              <w:ind w:firstLine="0"/>
              <w:jc w:val="left"/>
              <w:rPr>
                <w:rFonts w:eastAsia="Times New Roman"/>
                <w:sz w:val="20"/>
                <w:szCs w:val="20"/>
                <w:lang w:eastAsia="pt-BR"/>
              </w:rPr>
            </w:pPr>
            <w:r w:rsidRPr="00427DDB">
              <w:rPr>
                <w:rFonts w:eastAsia="Times New Roman"/>
                <w:sz w:val="20"/>
                <w:szCs w:val="20"/>
                <w:lang w:eastAsia="pt-BR"/>
              </w:rPr>
              <w:t>Art. 176</w:t>
            </w:r>
          </w:p>
        </w:tc>
      </w:tr>
      <w:tr w:rsidR="00B45651" w:rsidRPr="00427DDB" w14:paraId="070F6948" w14:textId="77777777" w:rsidTr="00A22A27">
        <w:trPr>
          <w:trHeight w:val="255"/>
        </w:trPr>
        <w:tc>
          <w:tcPr>
            <w:tcW w:w="346" w:type="pct"/>
            <w:tcBorders>
              <w:top w:val="nil"/>
              <w:left w:val="single" w:sz="4" w:space="0" w:color="auto"/>
              <w:bottom w:val="single" w:sz="4" w:space="0" w:color="auto"/>
              <w:right w:val="single" w:sz="4" w:space="0" w:color="auto"/>
            </w:tcBorders>
            <w:shd w:val="clear" w:color="auto" w:fill="auto"/>
            <w:noWrap/>
            <w:vAlign w:val="bottom"/>
            <w:hideMark/>
          </w:tcPr>
          <w:p w14:paraId="38A189C6" w14:textId="77777777" w:rsidR="00B45651" w:rsidRPr="00427DDB" w:rsidRDefault="00B45651" w:rsidP="00A22A27">
            <w:pPr>
              <w:spacing w:after="0" w:line="240" w:lineRule="auto"/>
              <w:ind w:firstLine="0"/>
              <w:jc w:val="left"/>
              <w:rPr>
                <w:rFonts w:eastAsia="Times New Roman"/>
                <w:sz w:val="20"/>
                <w:szCs w:val="20"/>
                <w:lang w:eastAsia="pt-BR"/>
              </w:rPr>
            </w:pPr>
            <w:r>
              <w:rPr>
                <w:rFonts w:eastAsia="Times New Roman"/>
                <w:sz w:val="20"/>
                <w:szCs w:val="20"/>
                <w:lang w:eastAsia="pt-BR"/>
              </w:rPr>
              <w:t>46</w:t>
            </w:r>
          </w:p>
        </w:tc>
        <w:tc>
          <w:tcPr>
            <w:tcW w:w="4181" w:type="pct"/>
            <w:tcBorders>
              <w:top w:val="nil"/>
              <w:left w:val="nil"/>
              <w:bottom w:val="single" w:sz="4" w:space="0" w:color="auto"/>
              <w:right w:val="single" w:sz="4" w:space="0" w:color="auto"/>
            </w:tcBorders>
            <w:shd w:val="clear" w:color="auto" w:fill="auto"/>
            <w:noWrap/>
            <w:vAlign w:val="bottom"/>
            <w:hideMark/>
          </w:tcPr>
          <w:p w14:paraId="282F3F4E" w14:textId="77777777" w:rsidR="00B45651" w:rsidRPr="00427DDB" w:rsidRDefault="00B45651" w:rsidP="00A22A27">
            <w:pPr>
              <w:spacing w:after="0" w:line="240" w:lineRule="auto"/>
              <w:ind w:firstLine="0"/>
              <w:jc w:val="left"/>
              <w:rPr>
                <w:rFonts w:eastAsia="Times New Roman"/>
                <w:sz w:val="20"/>
                <w:szCs w:val="20"/>
                <w:lang w:eastAsia="pt-BR"/>
              </w:rPr>
            </w:pPr>
            <w:r w:rsidRPr="00427DDB">
              <w:rPr>
                <w:rFonts w:eastAsia="Times New Roman"/>
                <w:sz w:val="20"/>
                <w:szCs w:val="20"/>
                <w:lang w:eastAsia="pt-BR"/>
              </w:rPr>
              <w:t>Ajustes de exercícios anteriores</w:t>
            </w:r>
          </w:p>
        </w:tc>
        <w:tc>
          <w:tcPr>
            <w:tcW w:w="473" w:type="pct"/>
            <w:tcBorders>
              <w:top w:val="nil"/>
              <w:left w:val="nil"/>
              <w:bottom w:val="single" w:sz="4" w:space="0" w:color="auto"/>
              <w:right w:val="single" w:sz="4" w:space="0" w:color="auto"/>
            </w:tcBorders>
            <w:shd w:val="clear" w:color="auto" w:fill="auto"/>
            <w:noWrap/>
            <w:vAlign w:val="bottom"/>
            <w:hideMark/>
          </w:tcPr>
          <w:p w14:paraId="379C6D07" w14:textId="77777777" w:rsidR="00B45651" w:rsidRPr="00427DDB" w:rsidRDefault="00B45651" w:rsidP="00A22A27">
            <w:pPr>
              <w:spacing w:after="0" w:line="240" w:lineRule="auto"/>
              <w:ind w:firstLine="0"/>
              <w:jc w:val="left"/>
              <w:rPr>
                <w:rFonts w:eastAsia="Times New Roman"/>
                <w:sz w:val="20"/>
                <w:szCs w:val="20"/>
                <w:lang w:eastAsia="pt-BR"/>
              </w:rPr>
            </w:pPr>
            <w:r w:rsidRPr="00427DDB">
              <w:rPr>
                <w:rFonts w:eastAsia="Times New Roman"/>
                <w:sz w:val="20"/>
                <w:szCs w:val="20"/>
                <w:lang w:eastAsia="pt-BR"/>
              </w:rPr>
              <w:t>Art. 176</w:t>
            </w:r>
          </w:p>
        </w:tc>
      </w:tr>
      <w:tr w:rsidR="00B45651" w:rsidRPr="00427DDB" w14:paraId="4A294D98" w14:textId="77777777" w:rsidTr="00A22A27">
        <w:trPr>
          <w:trHeight w:val="255"/>
        </w:trPr>
        <w:tc>
          <w:tcPr>
            <w:tcW w:w="346" w:type="pct"/>
            <w:tcBorders>
              <w:top w:val="nil"/>
              <w:left w:val="single" w:sz="4" w:space="0" w:color="auto"/>
              <w:bottom w:val="single" w:sz="4" w:space="0" w:color="auto"/>
              <w:right w:val="single" w:sz="4" w:space="0" w:color="auto"/>
            </w:tcBorders>
            <w:shd w:val="clear" w:color="auto" w:fill="auto"/>
            <w:noWrap/>
            <w:vAlign w:val="bottom"/>
            <w:hideMark/>
          </w:tcPr>
          <w:p w14:paraId="7546AA6C" w14:textId="77777777" w:rsidR="00B45651" w:rsidRPr="00427DDB" w:rsidRDefault="00B45651" w:rsidP="00A22A27">
            <w:pPr>
              <w:spacing w:after="0" w:line="240" w:lineRule="auto"/>
              <w:ind w:firstLine="0"/>
              <w:jc w:val="left"/>
              <w:rPr>
                <w:rFonts w:eastAsia="Times New Roman"/>
                <w:sz w:val="20"/>
                <w:szCs w:val="20"/>
                <w:lang w:eastAsia="pt-BR"/>
              </w:rPr>
            </w:pPr>
            <w:r>
              <w:rPr>
                <w:rFonts w:eastAsia="Times New Roman"/>
                <w:sz w:val="20"/>
                <w:szCs w:val="20"/>
                <w:lang w:eastAsia="pt-BR"/>
              </w:rPr>
              <w:t>47</w:t>
            </w:r>
          </w:p>
        </w:tc>
        <w:tc>
          <w:tcPr>
            <w:tcW w:w="4181" w:type="pct"/>
            <w:tcBorders>
              <w:top w:val="nil"/>
              <w:left w:val="nil"/>
              <w:bottom w:val="single" w:sz="4" w:space="0" w:color="auto"/>
              <w:right w:val="single" w:sz="4" w:space="0" w:color="auto"/>
            </w:tcBorders>
            <w:shd w:val="clear" w:color="auto" w:fill="auto"/>
            <w:noWrap/>
            <w:vAlign w:val="bottom"/>
            <w:hideMark/>
          </w:tcPr>
          <w:p w14:paraId="3304E513" w14:textId="77777777" w:rsidR="00B45651" w:rsidRPr="00427DDB" w:rsidRDefault="00B45651" w:rsidP="00A22A27">
            <w:pPr>
              <w:spacing w:after="0" w:line="240" w:lineRule="auto"/>
              <w:ind w:firstLine="0"/>
              <w:jc w:val="left"/>
              <w:rPr>
                <w:rFonts w:eastAsia="Times New Roman"/>
                <w:sz w:val="20"/>
                <w:szCs w:val="20"/>
                <w:lang w:eastAsia="pt-BR"/>
              </w:rPr>
            </w:pPr>
            <w:r w:rsidRPr="00427DDB">
              <w:rPr>
                <w:rFonts w:eastAsia="Times New Roman"/>
                <w:sz w:val="20"/>
                <w:szCs w:val="20"/>
                <w:lang w:eastAsia="pt-BR"/>
              </w:rPr>
              <w:t>Demonstrações Consolidadas</w:t>
            </w:r>
          </w:p>
        </w:tc>
        <w:tc>
          <w:tcPr>
            <w:tcW w:w="473" w:type="pct"/>
            <w:tcBorders>
              <w:top w:val="nil"/>
              <w:left w:val="nil"/>
              <w:bottom w:val="single" w:sz="4" w:space="0" w:color="auto"/>
              <w:right w:val="single" w:sz="4" w:space="0" w:color="auto"/>
            </w:tcBorders>
            <w:shd w:val="clear" w:color="auto" w:fill="auto"/>
            <w:noWrap/>
            <w:vAlign w:val="bottom"/>
            <w:hideMark/>
          </w:tcPr>
          <w:p w14:paraId="5DD4DCD9" w14:textId="77777777" w:rsidR="00B45651" w:rsidRPr="00427DDB" w:rsidRDefault="00B45651" w:rsidP="00A22A27">
            <w:pPr>
              <w:spacing w:after="0" w:line="240" w:lineRule="auto"/>
              <w:ind w:firstLine="0"/>
              <w:jc w:val="left"/>
              <w:rPr>
                <w:rFonts w:eastAsia="Times New Roman"/>
                <w:sz w:val="20"/>
                <w:szCs w:val="20"/>
                <w:lang w:eastAsia="pt-BR"/>
              </w:rPr>
            </w:pPr>
            <w:r w:rsidRPr="00427DDB">
              <w:rPr>
                <w:rFonts w:eastAsia="Times New Roman"/>
                <w:sz w:val="20"/>
                <w:szCs w:val="20"/>
                <w:lang w:eastAsia="pt-BR"/>
              </w:rPr>
              <w:t>Art. 275</w:t>
            </w:r>
          </w:p>
        </w:tc>
      </w:tr>
      <w:tr w:rsidR="00B45651" w:rsidRPr="00427DDB" w14:paraId="17164897" w14:textId="77777777" w:rsidTr="00A22A27">
        <w:trPr>
          <w:trHeight w:val="255"/>
        </w:trPr>
        <w:tc>
          <w:tcPr>
            <w:tcW w:w="346" w:type="pct"/>
            <w:tcBorders>
              <w:top w:val="nil"/>
              <w:left w:val="single" w:sz="4" w:space="0" w:color="auto"/>
              <w:bottom w:val="single" w:sz="4" w:space="0" w:color="auto"/>
              <w:right w:val="single" w:sz="4" w:space="0" w:color="auto"/>
            </w:tcBorders>
            <w:shd w:val="clear" w:color="auto" w:fill="auto"/>
            <w:noWrap/>
            <w:vAlign w:val="bottom"/>
            <w:hideMark/>
          </w:tcPr>
          <w:p w14:paraId="2D92951D" w14:textId="77777777" w:rsidR="00B45651" w:rsidRPr="00427DDB" w:rsidRDefault="00B45651" w:rsidP="00A22A27">
            <w:pPr>
              <w:spacing w:after="0" w:line="240" w:lineRule="auto"/>
              <w:ind w:firstLine="0"/>
              <w:jc w:val="left"/>
              <w:rPr>
                <w:rFonts w:eastAsia="Times New Roman"/>
                <w:sz w:val="20"/>
                <w:szCs w:val="20"/>
                <w:lang w:eastAsia="pt-BR"/>
              </w:rPr>
            </w:pPr>
            <w:r>
              <w:rPr>
                <w:rFonts w:eastAsia="Times New Roman"/>
                <w:sz w:val="20"/>
                <w:szCs w:val="20"/>
                <w:lang w:eastAsia="pt-BR"/>
              </w:rPr>
              <w:t>48</w:t>
            </w:r>
          </w:p>
        </w:tc>
        <w:tc>
          <w:tcPr>
            <w:tcW w:w="4181" w:type="pct"/>
            <w:tcBorders>
              <w:top w:val="nil"/>
              <w:left w:val="nil"/>
              <w:bottom w:val="single" w:sz="4" w:space="0" w:color="auto"/>
              <w:right w:val="single" w:sz="4" w:space="0" w:color="auto"/>
            </w:tcBorders>
            <w:shd w:val="clear" w:color="auto" w:fill="auto"/>
            <w:noWrap/>
            <w:vAlign w:val="bottom"/>
            <w:hideMark/>
          </w:tcPr>
          <w:p w14:paraId="6B6F4BA7" w14:textId="77777777" w:rsidR="00B45651" w:rsidRPr="00427DDB" w:rsidRDefault="00B45651" w:rsidP="00A22A27">
            <w:pPr>
              <w:spacing w:after="0" w:line="240" w:lineRule="auto"/>
              <w:ind w:firstLine="0"/>
              <w:jc w:val="left"/>
              <w:rPr>
                <w:rFonts w:eastAsia="Times New Roman"/>
                <w:sz w:val="20"/>
                <w:szCs w:val="20"/>
                <w:lang w:eastAsia="pt-BR"/>
              </w:rPr>
            </w:pPr>
            <w:r w:rsidRPr="00427DDB">
              <w:rPr>
                <w:rFonts w:eastAsia="Times New Roman"/>
                <w:sz w:val="20"/>
                <w:szCs w:val="20"/>
                <w:lang w:eastAsia="pt-BR"/>
              </w:rPr>
              <w:t>Dividendo por ação</w:t>
            </w:r>
          </w:p>
        </w:tc>
        <w:tc>
          <w:tcPr>
            <w:tcW w:w="473" w:type="pct"/>
            <w:tcBorders>
              <w:top w:val="nil"/>
              <w:left w:val="nil"/>
              <w:bottom w:val="single" w:sz="4" w:space="0" w:color="auto"/>
              <w:right w:val="single" w:sz="4" w:space="0" w:color="auto"/>
            </w:tcBorders>
            <w:shd w:val="clear" w:color="auto" w:fill="auto"/>
            <w:noWrap/>
            <w:vAlign w:val="bottom"/>
            <w:hideMark/>
          </w:tcPr>
          <w:p w14:paraId="27B648DF" w14:textId="77777777" w:rsidR="00B45651" w:rsidRPr="00427DDB" w:rsidRDefault="00B45651" w:rsidP="00A22A27">
            <w:pPr>
              <w:spacing w:after="0" w:line="240" w:lineRule="auto"/>
              <w:ind w:firstLine="0"/>
              <w:jc w:val="left"/>
              <w:rPr>
                <w:rFonts w:eastAsia="Times New Roman"/>
                <w:sz w:val="20"/>
                <w:szCs w:val="20"/>
                <w:lang w:eastAsia="pt-BR"/>
              </w:rPr>
            </w:pPr>
            <w:r w:rsidRPr="00427DDB">
              <w:rPr>
                <w:rFonts w:eastAsia="Times New Roman"/>
                <w:sz w:val="20"/>
                <w:szCs w:val="20"/>
                <w:lang w:eastAsia="pt-BR"/>
              </w:rPr>
              <w:t>Art. 186</w:t>
            </w:r>
          </w:p>
        </w:tc>
      </w:tr>
      <w:tr w:rsidR="00B45651" w:rsidRPr="00427DDB" w14:paraId="6F97B414" w14:textId="77777777" w:rsidTr="00A22A27">
        <w:trPr>
          <w:trHeight w:val="255"/>
        </w:trPr>
        <w:tc>
          <w:tcPr>
            <w:tcW w:w="346" w:type="pct"/>
            <w:tcBorders>
              <w:top w:val="nil"/>
              <w:left w:val="single" w:sz="4" w:space="0" w:color="auto"/>
              <w:bottom w:val="single" w:sz="4" w:space="0" w:color="auto"/>
              <w:right w:val="single" w:sz="4" w:space="0" w:color="auto"/>
            </w:tcBorders>
            <w:shd w:val="clear" w:color="auto" w:fill="auto"/>
            <w:noWrap/>
            <w:vAlign w:val="bottom"/>
            <w:hideMark/>
          </w:tcPr>
          <w:p w14:paraId="4CEB7776" w14:textId="77777777" w:rsidR="00B45651" w:rsidRPr="00427DDB" w:rsidRDefault="00B45651" w:rsidP="00A22A27">
            <w:pPr>
              <w:spacing w:after="0" w:line="240" w:lineRule="auto"/>
              <w:ind w:firstLine="0"/>
              <w:jc w:val="left"/>
              <w:rPr>
                <w:rFonts w:eastAsia="Times New Roman"/>
                <w:sz w:val="20"/>
                <w:szCs w:val="20"/>
                <w:lang w:eastAsia="pt-BR"/>
              </w:rPr>
            </w:pPr>
            <w:r>
              <w:rPr>
                <w:rFonts w:eastAsia="Times New Roman"/>
                <w:sz w:val="20"/>
                <w:szCs w:val="20"/>
                <w:lang w:eastAsia="pt-BR"/>
              </w:rPr>
              <w:t>49</w:t>
            </w:r>
          </w:p>
        </w:tc>
        <w:tc>
          <w:tcPr>
            <w:tcW w:w="4181" w:type="pct"/>
            <w:tcBorders>
              <w:top w:val="nil"/>
              <w:left w:val="nil"/>
              <w:bottom w:val="single" w:sz="4" w:space="0" w:color="auto"/>
              <w:right w:val="single" w:sz="4" w:space="0" w:color="auto"/>
            </w:tcBorders>
            <w:shd w:val="clear" w:color="auto" w:fill="auto"/>
            <w:noWrap/>
            <w:vAlign w:val="bottom"/>
            <w:hideMark/>
          </w:tcPr>
          <w:p w14:paraId="0052C2F6" w14:textId="77777777" w:rsidR="00B45651" w:rsidRPr="00427DDB" w:rsidRDefault="00B45651" w:rsidP="00A22A27">
            <w:pPr>
              <w:spacing w:after="0" w:line="240" w:lineRule="auto"/>
              <w:ind w:firstLine="0"/>
              <w:jc w:val="left"/>
              <w:rPr>
                <w:rFonts w:eastAsia="Times New Roman"/>
                <w:sz w:val="20"/>
                <w:szCs w:val="20"/>
                <w:lang w:eastAsia="pt-BR"/>
              </w:rPr>
            </w:pPr>
            <w:r w:rsidRPr="00427DDB">
              <w:rPr>
                <w:rFonts w:eastAsia="Times New Roman"/>
                <w:sz w:val="20"/>
                <w:szCs w:val="20"/>
                <w:lang w:eastAsia="pt-BR"/>
              </w:rPr>
              <w:t>Equivalência Patrimonial</w:t>
            </w:r>
          </w:p>
        </w:tc>
        <w:tc>
          <w:tcPr>
            <w:tcW w:w="473" w:type="pct"/>
            <w:tcBorders>
              <w:top w:val="nil"/>
              <w:left w:val="nil"/>
              <w:bottom w:val="single" w:sz="4" w:space="0" w:color="auto"/>
              <w:right w:val="single" w:sz="4" w:space="0" w:color="auto"/>
            </w:tcBorders>
            <w:shd w:val="clear" w:color="auto" w:fill="auto"/>
            <w:noWrap/>
            <w:vAlign w:val="bottom"/>
            <w:hideMark/>
          </w:tcPr>
          <w:p w14:paraId="020E09B9" w14:textId="77777777" w:rsidR="00B45651" w:rsidRPr="00427DDB" w:rsidRDefault="00B45651" w:rsidP="00A22A27">
            <w:pPr>
              <w:spacing w:after="0" w:line="240" w:lineRule="auto"/>
              <w:ind w:firstLine="0"/>
              <w:jc w:val="left"/>
              <w:rPr>
                <w:rFonts w:eastAsia="Times New Roman"/>
                <w:sz w:val="20"/>
                <w:szCs w:val="20"/>
                <w:lang w:eastAsia="pt-BR"/>
              </w:rPr>
            </w:pPr>
            <w:r w:rsidRPr="00427DDB">
              <w:rPr>
                <w:rFonts w:eastAsia="Times New Roman"/>
                <w:sz w:val="20"/>
                <w:szCs w:val="20"/>
                <w:lang w:eastAsia="pt-BR"/>
              </w:rPr>
              <w:t>Art. 247</w:t>
            </w:r>
          </w:p>
        </w:tc>
      </w:tr>
      <w:tr w:rsidR="00B45651" w:rsidRPr="00427DDB" w14:paraId="3C725608" w14:textId="77777777" w:rsidTr="00A22A27">
        <w:trPr>
          <w:trHeight w:val="255"/>
        </w:trPr>
        <w:tc>
          <w:tcPr>
            <w:tcW w:w="346" w:type="pct"/>
            <w:tcBorders>
              <w:top w:val="nil"/>
              <w:left w:val="single" w:sz="4" w:space="0" w:color="auto"/>
              <w:bottom w:val="single" w:sz="4" w:space="0" w:color="auto"/>
              <w:right w:val="single" w:sz="4" w:space="0" w:color="auto"/>
            </w:tcBorders>
            <w:shd w:val="clear" w:color="auto" w:fill="auto"/>
            <w:noWrap/>
            <w:vAlign w:val="bottom"/>
            <w:hideMark/>
          </w:tcPr>
          <w:p w14:paraId="29E4627C" w14:textId="77777777" w:rsidR="00B45651" w:rsidRPr="00427DDB" w:rsidRDefault="00B45651" w:rsidP="00A22A27">
            <w:pPr>
              <w:spacing w:after="0" w:line="240" w:lineRule="auto"/>
              <w:ind w:firstLine="0"/>
              <w:jc w:val="left"/>
              <w:rPr>
                <w:rFonts w:eastAsia="Times New Roman"/>
                <w:sz w:val="20"/>
                <w:szCs w:val="20"/>
                <w:lang w:eastAsia="pt-BR"/>
              </w:rPr>
            </w:pPr>
            <w:r>
              <w:rPr>
                <w:rFonts w:eastAsia="Times New Roman"/>
                <w:sz w:val="20"/>
                <w:szCs w:val="20"/>
                <w:lang w:eastAsia="pt-BR"/>
              </w:rPr>
              <w:t>50</w:t>
            </w:r>
          </w:p>
        </w:tc>
        <w:tc>
          <w:tcPr>
            <w:tcW w:w="4181" w:type="pct"/>
            <w:tcBorders>
              <w:top w:val="nil"/>
              <w:left w:val="nil"/>
              <w:bottom w:val="single" w:sz="4" w:space="0" w:color="auto"/>
              <w:right w:val="single" w:sz="4" w:space="0" w:color="auto"/>
            </w:tcBorders>
            <w:shd w:val="clear" w:color="auto" w:fill="auto"/>
            <w:noWrap/>
            <w:vAlign w:val="bottom"/>
            <w:hideMark/>
          </w:tcPr>
          <w:p w14:paraId="39A2F302" w14:textId="77777777" w:rsidR="00B45651" w:rsidRPr="00427DDB" w:rsidRDefault="00B45651" w:rsidP="00A22A27">
            <w:pPr>
              <w:spacing w:after="0" w:line="240" w:lineRule="auto"/>
              <w:ind w:firstLine="0"/>
              <w:jc w:val="left"/>
              <w:rPr>
                <w:rFonts w:eastAsia="Times New Roman"/>
                <w:sz w:val="20"/>
                <w:szCs w:val="20"/>
                <w:lang w:eastAsia="pt-BR"/>
              </w:rPr>
            </w:pPr>
            <w:r w:rsidRPr="00427DDB">
              <w:rPr>
                <w:rFonts w:eastAsia="Times New Roman"/>
                <w:sz w:val="20"/>
                <w:szCs w:val="20"/>
                <w:lang w:eastAsia="pt-BR"/>
              </w:rPr>
              <w:t>Eventos Subsequentes</w:t>
            </w:r>
          </w:p>
        </w:tc>
        <w:tc>
          <w:tcPr>
            <w:tcW w:w="473" w:type="pct"/>
            <w:tcBorders>
              <w:top w:val="nil"/>
              <w:left w:val="nil"/>
              <w:bottom w:val="single" w:sz="4" w:space="0" w:color="auto"/>
              <w:right w:val="single" w:sz="4" w:space="0" w:color="auto"/>
            </w:tcBorders>
            <w:shd w:val="clear" w:color="auto" w:fill="auto"/>
            <w:noWrap/>
            <w:vAlign w:val="bottom"/>
            <w:hideMark/>
          </w:tcPr>
          <w:p w14:paraId="3B5163E7" w14:textId="77777777" w:rsidR="00B45651" w:rsidRPr="00427DDB" w:rsidRDefault="00B45651" w:rsidP="00A22A27">
            <w:pPr>
              <w:spacing w:after="0" w:line="240" w:lineRule="auto"/>
              <w:ind w:firstLine="0"/>
              <w:jc w:val="left"/>
              <w:rPr>
                <w:rFonts w:eastAsia="Times New Roman"/>
                <w:sz w:val="20"/>
                <w:szCs w:val="20"/>
                <w:lang w:eastAsia="pt-BR"/>
              </w:rPr>
            </w:pPr>
            <w:r w:rsidRPr="00427DDB">
              <w:rPr>
                <w:rFonts w:eastAsia="Times New Roman"/>
                <w:sz w:val="20"/>
                <w:szCs w:val="20"/>
                <w:lang w:eastAsia="pt-BR"/>
              </w:rPr>
              <w:t>Art. 176</w:t>
            </w:r>
          </w:p>
        </w:tc>
      </w:tr>
      <w:tr w:rsidR="00B45651" w:rsidRPr="00427DDB" w14:paraId="623B294F" w14:textId="77777777" w:rsidTr="00A22A27">
        <w:trPr>
          <w:trHeight w:val="255"/>
        </w:trPr>
        <w:tc>
          <w:tcPr>
            <w:tcW w:w="346" w:type="pct"/>
            <w:tcBorders>
              <w:top w:val="nil"/>
              <w:left w:val="single" w:sz="4" w:space="0" w:color="auto"/>
              <w:bottom w:val="single" w:sz="4" w:space="0" w:color="auto"/>
              <w:right w:val="single" w:sz="4" w:space="0" w:color="auto"/>
            </w:tcBorders>
            <w:shd w:val="clear" w:color="auto" w:fill="auto"/>
            <w:noWrap/>
            <w:vAlign w:val="bottom"/>
            <w:hideMark/>
          </w:tcPr>
          <w:p w14:paraId="095B44D4" w14:textId="77777777" w:rsidR="00B45651" w:rsidRPr="00427DDB" w:rsidRDefault="00B45651" w:rsidP="00A22A27">
            <w:pPr>
              <w:spacing w:after="0" w:line="240" w:lineRule="auto"/>
              <w:ind w:firstLine="0"/>
              <w:jc w:val="left"/>
              <w:rPr>
                <w:rFonts w:eastAsia="Times New Roman"/>
                <w:sz w:val="20"/>
                <w:szCs w:val="20"/>
                <w:lang w:eastAsia="pt-BR"/>
              </w:rPr>
            </w:pPr>
            <w:r>
              <w:rPr>
                <w:rFonts w:eastAsia="Times New Roman"/>
                <w:sz w:val="20"/>
                <w:szCs w:val="20"/>
                <w:lang w:eastAsia="pt-BR"/>
              </w:rPr>
              <w:t>51</w:t>
            </w:r>
          </w:p>
        </w:tc>
        <w:tc>
          <w:tcPr>
            <w:tcW w:w="4181" w:type="pct"/>
            <w:tcBorders>
              <w:top w:val="nil"/>
              <w:left w:val="nil"/>
              <w:bottom w:val="single" w:sz="4" w:space="0" w:color="auto"/>
              <w:right w:val="single" w:sz="4" w:space="0" w:color="auto"/>
            </w:tcBorders>
            <w:shd w:val="clear" w:color="auto" w:fill="auto"/>
            <w:noWrap/>
            <w:vAlign w:val="bottom"/>
            <w:hideMark/>
          </w:tcPr>
          <w:p w14:paraId="0D6C3D47" w14:textId="77777777" w:rsidR="00B45651" w:rsidRPr="00427DDB" w:rsidRDefault="00B45651" w:rsidP="00A22A27">
            <w:pPr>
              <w:spacing w:after="0" w:line="240" w:lineRule="auto"/>
              <w:ind w:firstLine="0"/>
              <w:jc w:val="left"/>
              <w:rPr>
                <w:rFonts w:eastAsia="Times New Roman"/>
                <w:sz w:val="20"/>
                <w:szCs w:val="20"/>
                <w:lang w:eastAsia="pt-BR"/>
              </w:rPr>
            </w:pPr>
            <w:r w:rsidRPr="00427DDB">
              <w:rPr>
                <w:rFonts w:eastAsia="Times New Roman"/>
                <w:sz w:val="20"/>
                <w:szCs w:val="20"/>
                <w:lang w:eastAsia="pt-BR"/>
              </w:rPr>
              <w:t>Mudanças de Critérios Contábeis</w:t>
            </w:r>
          </w:p>
        </w:tc>
        <w:tc>
          <w:tcPr>
            <w:tcW w:w="473" w:type="pct"/>
            <w:tcBorders>
              <w:top w:val="nil"/>
              <w:left w:val="nil"/>
              <w:bottom w:val="single" w:sz="4" w:space="0" w:color="auto"/>
              <w:right w:val="single" w:sz="4" w:space="0" w:color="auto"/>
            </w:tcBorders>
            <w:shd w:val="clear" w:color="auto" w:fill="auto"/>
            <w:noWrap/>
            <w:vAlign w:val="bottom"/>
            <w:hideMark/>
          </w:tcPr>
          <w:p w14:paraId="0C77927B" w14:textId="77777777" w:rsidR="00B45651" w:rsidRPr="00427DDB" w:rsidRDefault="00B45651" w:rsidP="00A22A27">
            <w:pPr>
              <w:spacing w:after="0" w:line="240" w:lineRule="auto"/>
              <w:ind w:firstLine="0"/>
              <w:jc w:val="left"/>
              <w:rPr>
                <w:rFonts w:eastAsia="Times New Roman"/>
                <w:sz w:val="20"/>
                <w:szCs w:val="20"/>
                <w:lang w:eastAsia="pt-BR"/>
              </w:rPr>
            </w:pPr>
            <w:r w:rsidRPr="00427DDB">
              <w:rPr>
                <w:rFonts w:eastAsia="Times New Roman"/>
                <w:sz w:val="20"/>
                <w:szCs w:val="20"/>
                <w:lang w:eastAsia="pt-BR"/>
              </w:rPr>
              <w:t>Art. 177</w:t>
            </w:r>
          </w:p>
        </w:tc>
      </w:tr>
      <w:tr w:rsidR="00B45651" w:rsidRPr="00427DDB" w14:paraId="1727E327" w14:textId="77777777" w:rsidTr="00A22A27">
        <w:trPr>
          <w:trHeight w:val="255"/>
        </w:trPr>
        <w:tc>
          <w:tcPr>
            <w:tcW w:w="346" w:type="pct"/>
            <w:tcBorders>
              <w:top w:val="nil"/>
              <w:left w:val="single" w:sz="4" w:space="0" w:color="auto"/>
              <w:bottom w:val="single" w:sz="4" w:space="0" w:color="auto"/>
              <w:right w:val="single" w:sz="4" w:space="0" w:color="auto"/>
            </w:tcBorders>
            <w:shd w:val="clear" w:color="auto" w:fill="auto"/>
            <w:noWrap/>
            <w:vAlign w:val="bottom"/>
            <w:hideMark/>
          </w:tcPr>
          <w:p w14:paraId="12ACB77C" w14:textId="77777777" w:rsidR="00B45651" w:rsidRPr="00427DDB" w:rsidRDefault="00B45651" w:rsidP="00A22A27">
            <w:pPr>
              <w:spacing w:after="0" w:line="240" w:lineRule="auto"/>
              <w:ind w:firstLine="0"/>
              <w:jc w:val="left"/>
              <w:rPr>
                <w:rFonts w:eastAsia="Times New Roman"/>
                <w:sz w:val="20"/>
                <w:szCs w:val="20"/>
                <w:lang w:eastAsia="pt-BR"/>
              </w:rPr>
            </w:pPr>
            <w:r>
              <w:rPr>
                <w:rFonts w:eastAsia="Times New Roman"/>
                <w:sz w:val="20"/>
                <w:szCs w:val="20"/>
                <w:lang w:eastAsia="pt-BR"/>
              </w:rPr>
              <w:t>52</w:t>
            </w:r>
          </w:p>
        </w:tc>
        <w:tc>
          <w:tcPr>
            <w:tcW w:w="4181" w:type="pct"/>
            <w:tcBorders>
              <w:top w:val="nil"/>
              <w:left w:val="nil"/>
              <w:bottom w:val="single" w:sz="4" w:space="0" w:color="auto"/>
              <w:right w:val="single" w:sz="4" w:space="0" w:color="auto"/>
            </w:tcBorders>
            <w:shd w:val="clear" w:color="auto" w:fill="auto"/>
            <w:noWrap/>
            <w:vAlign w:val="bottom"/>
            <w:hideMark/>
          </w:tcPr>
          <w:p w14:paraId="0707C639" w14:textId="77777777" w:rsidR="00B45651" w:rsidRPr="00427DDB" w:rsidRDefault="00B45651" w:rsidP="00A22A27">
            <w:pPr>
              <w:spacing w:after="0" w:line="240" w:lineRule="auto"/>
              <w:ind w:firstLine="0"/>
              <w:jc w:val="left"/>
              <w:rPr>
                <w:rFonts w:eastAsia="Times New Roman"/>
                <w:sz w:val="20"/>
                <w:szCs w:val="20"/>
                <w:lang w:eastAsia="pt-BR"/>
              </w:rPr>
            </w:pPr>
            <w:r w:rsidRPr="00427DDB">
              <w:rPr>
                <w:rFonts w:eastAsia="Times New Roman"/>
                <w:sz w:val="20"/>
                <w:szCs w:val="20"/>
                <w:lang w:eastAsia="pt-BR"/>
              </w:rPr>
              <w:t>Obrigações de Longo Prazo</w:t>
            </w:r>
          </w:p>
        </w:tc>
        <w:tc>
          <w:tcPr>
            <w:tcW w:w="473" w:type="pct"/>
            <w:tcBorders>
              <w:top w:val="nil"/>
              <w:left w:val="nil"/>
              <w:bottom w:val="single" w:sz="4" w:space="0" w:color="auto"/>
              <w:right w:val="single" w:sz="4" w:space="0" w:color="auto"/>
            </w:tcBorders>
            <w:shd w:val="clear" w:color="auto" w:fill="auto"/>
            <w:noWrap/>
            <w:vAlign w:val="bottom"/>
            <w:hideMark/>
          </w:tcPr>
          <w:p w14:paraId="504C38B2" w14:textId="77777777" w:rsidR="00B45651" w:rsidRPr="00427DDB" w:rsidRDefault="00B45651" w:rsidP="00A22A27">
            <w:pPr>
              <w:spacing w:after="0" w:line="240" w:lineRule="auto"/>
              <w:ind w:firstLine="0"/>
              <w:jc w:val="left"/>
              <w:rPr>
                <w:rFonts w:eastAsia="Times New Roman"/>
                <w:sz w:val="20"/>
                <w:szCs w:val="20"/>
                <w:lang w:eastAsia="pt-BR"/>
              </w:rPr>
            </w:pPr>
            <w:r w:rsidRPr="00427DDB">
              <w:rPr>
                <w:rFonts w:eastAsia="Times New Roman"/>
                <w:sz w:val="20"/>
                <w:szCs w:val="20"/>
                <w:lang w:eastAsia="pt-BR"/>
              </w:rPr>
              <w:t>Art. 176</w:t>
            </w:r>
          </w:p>
        </w:tc>
      </w:tr>
      <w:tr w:rsidR="00B45651" w:rsidRPr="00427DDB" w14:paraId="55FDE5C3" w14:textId="77777777" w:rsidTr="00A22A27">
        <w:trPr>
          <w:trHeight w:val="255"/>
        </w:trPr>
        <w:tc>
          <w:tcPr>
            <w:tcW w:w="346" w:type="pct"/>
            <w:tcBorders>
              <w:top w:val="nil"/>
              <w:left w:val="single" w:sz="4" w:space="0" w:color="auto"/>
              <w:bottom w:val="single" w:sz="4" w:space="0" w:color="auto"/>
              <w:right w:val="single" w:sz="4" w:space="0" w:color="auto"/>
            </w:tcBorders>
            <w:shd w:val="clear" w:color="auto" w:fill="auto"/>
            <w:noWrap/>
            <w:vAlign w:val="bottom"/>
            <w:hideMark/>
          </w:tcPr>
          <w:p w14:paraId="70420484" w14:textId="77777777" w:rsidR="00B45651" w:rsidRPr="00427DDB" w:rsidRDefault="00B45651" w:rsidP="00A22A27">
            <w:pPr>
              <w:spacing w:after="0" w:line="240" w:lineRule="auto"/>
              <w:ind w:firstLine="0"/>
              <w:jc w:val="left"/>
              <w:rPr>
                <w:rFonts w:eastAsia="Times New Roman"/>
                <w:sz w:val="20"/>
                <w:szCs w:val="20"/>
                <w:lang w:eastAsia="pt-BR"/>
              </w:rPr>
            </w:pPr>
            <w:r>
              <w:rPr>
                <w:rFonts w:eastAsia="Times New Roman"/>
                <w:sz w:val="20"/>
                <w:szCs w:val="20"/>
                <w:lang w:eastAsia="pt-BR"/>
              </w:rPr>
              <w:t>53</w:t>
            </w:r>
          </w:p>
        </w:tc>
        <w:tc>
          <w:tcPr>
            <w:tcW w:w="4181" w:type="pct"/>
            <w:tcBorders>
              <w:top w:val="nil"/>
              <w:left w:val="nil"/>
              <w:bottom w:val="single" w:sz="4" w:space="0" w:color="auto"/>
              <w:right w:val="single" w:sz="4" w:space="0" w:color="auto"/>
            </w:tcBorders>
            <w:shd w:val="clear" w:color="auto" w:fill="auto"/>
            <w:noWrap/>
            <w:vAlign w:val="bottom"/>
            <w:hideMark/>
          </w:tcPr>
          <w:p w14:paraId="2FB42262" w14:textId="77777777" w:rsidR="00B45651" w:rsidRPr="00427DDB" w:rsidRDefault="00B45651" w:rsidP="00A22A27">
            <w:pPr>
              <w:spacing w:after="0" w:line="240" w:lineRule="auto"/>
              <w:ind w:firstLine="0"/>
              <w:jc w:val="left"/>
              <w:rPr>
                <w:rFonts w:eastAsia="Times New Roman"/>
                <w:sz w:val="20"/>
                <w:szCs w:val="20"/>
                <w:lang w:eastAsia="pt-BR"/>
              </w:rPr>
            </w:pPr>
            <w:r w:rsidRPr="00427DDB">
              <w:rPr>
                <w:rFonts w:eastAsia="Times New Roman"/>
                <w:sz w:val="20"/>
                <w:szCs w:val="20"/>
                <w:lang w:eastAsia="pt-BR"/>
              </w:rPr>
              <w:t>Ônus, garantias e responsabilidade eventuais e contingentes.</w:t>
            </w:r>
          </w:p>
        </w:tc>
        <w:tc>
          <w:tcPr>
            <w:tcW w:w="473" w:type="pct"/>
            <w:tcBorders>
              <w:top w:val="nil"/>
              <w:left w:val="nil"/>
              <w:bottom w:val="single" w:sz="4" w:space="0" w:color="auto"/>
              <w:right w:val="single" w:sz="4" w:space="0" w:color="auto"/>
            </w:tcBorders>
            <w:shd w:val="clear" w:color="auto" w:fill="auto"/>
            <w:noWrap/>
            <w:vAlign w:val="bottom"/>
            <w:hideMark/>
          </w:tcPr>
          <w:p w14:paraId="2C97C8C5" w14:textId="77777777" w:rsidR="00B45651" w:rsidRPr="00427DDB" w:rsidRDefault="00B45651" w:rsidP="00A22A27">
            <w:pPr>
              <w:spacing w:after="0" w:line="240" w:lineRule="auto"/>
              <w:ind w:firstLine="0"/>
              <w:jc w:val="left"/>
              <w:rPr>
                <w:rFonts w:eastAsia="Times New Roman"/>
                <w:sz w:val="20"/>
                <w:szCs w:val="20"/>
                <w:lang w:eastAsia="pt-BR"/>
              </w:rPr>
            </w:pPr>
            <w:r w:rsidRPr="00427DDB">
              <w:rPr>
                <w:rFonts w:eastAsia="Times New Roman"/>
                <w:sz w:val="20"/>
                <w:szCs w:val="20"/>
                <w:lang w:eastAsia="pt-BR"/>
              </w:rPr>
              <w:t>Art. 176</w:t>
            </w:r>
          </w:p>
        </w:tc>
      </w:tr>
      <w:tr w:rsidR="00B45651" w:rsidRPr="00427DDB" w14:paraId="4A9975ED" w14:textId="77777777" w:rsidTr="00A22A27">
        <w:trPr>
          <w:trHeight w:val="255"/>
        </w:trPr>
        <w:tc>
          <w:tcPr>
            <w:tcW w:w="346" w:type="pct"/>
            <w:tcBorders>
              <w:top w:val="nil"/>
              <w:left w:val="single" w:sz="4" w:space="0" w:color="auto"/>
              <w:bottom w:val="single" w:sz="4" w:space="0" w:color="auto"/>
              <w:right w:val="single" w:sz="4" w:space="0" w:color="auto"/>
            </w:tcBorders>
            <w:shd w:val="clear" w:color="auto" w:fill="auto"/>
            <w:noWrap/>
            <w:vAlign w:val="bottom"/>
            <w:hideMark/>
          </w:tcPr>
          <w:p w14:paraId="08644C86" w14:textId="77777777" w:rsidR="00B45651" w:rsidRPr="00427DDB" w:rsidRDefault="00B45651" w:rsidP="00A22A27">
            <w:pPr>
              <w:spacing w:after="0" w:line="240" w:lineRule="auto"/>
              <w:ind w:firstLine="0"/>
              <w:jc w:val="left"/>
              <w:rPr>
                <w:rFonts w:eastAsia="Times New Roman"/>
                <w:sz w:val="20"/>
                <w:szCs w:val="20"/>
                <w:lang w:eastAsia="pt-BR"/>
              </w:rPr>
            </w:pPr>
            <w:r>
              <w:rPr>
                <w:rFonts w:eastAsia="Times New Roman"/>
                <w:sz w:val="20"/>
                <w:szCs w:val="20"/>
                <w:lang w:eastAsia="pt-BR"/>
              </w:rPr>
              <w:t>54</w:t>
            </w:r>
          </w:p>
        </w:tc>
        <w:tc>
          <w:tcPr>
            <w:tcW w:w="4181" w:type="pct"/>
            <w:tcBorders>
              <w:top w:val="nil"/>
              <w:left w:val="nil"/>
              <w:bottom w:val="single" w:sz="4" w:space="0" w:color="auto"/>
              <w:right w:val="single" w:sz="4" w:space="0" w:color="auto"/>
            </w:tcBorders>
            <w:shd w:val="clear" w:color="auto" w:fill="auto"/>
            <w:noWrap/>
            <w:vAlign w:val="bottom"/>
            <w:hideMark/>
          </w:tcPr>
          <w:p w14:paraId="0AD86CA0" w14:textId="77777777" w:rsidR="00B45651" w:rsidRPr="00427DDB" w:rsidRDefault="00B45651" w:rsidP="00A22A27">
            <w:pPr>
              <w:spacing w:after="0" w:line="240" w:lineRule="auto"/>
              <w:ind w:firstLine="0"/>
              <w:jc w:val="left"/>
              <w:rPr>
                <w:rFonts w:eastAsia="Times New Roman"/>
                <w:sz w:val="20"/>
                <w:szCs w:val="20"/>
                <w:lang w:eastAsia="pt-BR"/>
              </w:rPr>
            </w:pPr>
            <w:r w:rsidRPr="00427DDB">
              <w:rPr>
                <w:rFonts w:eastAsia="Times New Roman"/>
                <w:sz w:val="20"/>
                <w:szCs w:val="20"/>
                <w:lang w:eastAsia="pt-BR"/>
              </w:rPr>
              <w:t>Opções de Compra de Ações</w:t>
            </w:r>
          </w:p>
        </w:tc>
        <w:tc>
          <w:tcPr>
            <w:tcW w:w="473" w:type="pct"/>
            <w:tcBorders>
              <w:top w:val="nil"/>
              <w:left w:val="nil"/>
              <w:bottom w:val="single" w:sz="4" w:space="0" w:color="auto"/>
              <w:right w:val="single" w:sz="4" w:space="0" w:color="auto"/>
            </w:tcBorders>
            <w:shd w:val="clear" w:color="auto" w:fill="auto"/>
            <w:noWrap/>
            <w:vAlign w:val="bottom"/>
            <w:hideMark/>
          </w:tcPr>
          <w:p w14:paraId="2BCBF597" w14:textId="77777777" w:rsidR="00B45651" w:rsidRPr="00427DDB" w:rsidRDefault="00B45651" w:rsidP="00A22A27">
            <w:pPr>
              <w:spacing w:after="0" w:line="240" w:lineRule="auto"/>
              <w:ind w:firstLine="0"/>
              <w:jc w:val="left"/>
              <w:rPr>
                <w:rFonts w:eastAsia="Times New Roman"/>
                <w:sz w:val="20"/>
                <w:szCs w:val="20"/>
                <w:lang w:eastAsia="pt-BR"/>
              </w:rPr>
            </w:pPr>
            <w:r w:rsidRPr="00427DDB">
              <w:rPr>
                <w:rFonts w:eastAsia="Times New Roman"/>
                <w:sz w:val="20"/>
                <w:szCs w:val="20"/>
                <w:lang w:eastAsia="pt-BR"/>
              </w:rPr>
              <w:t>Art. 176</w:t>
            </w:r>
          </w:p>
        </w:tc>
      </w:tr>
      <w:tr w:rsidR="00B45651" w:rsidRPr="00427DDB" w14:paraId="01919678" w14:textId="77777777" w:rsidTr="00A22A27">
        <w:trPr>
          <w:trHeight w:val="255"/>
        </w:trPr>
        <w:tc>
          <w:tcPr>
            <w:tcW w:w="4527" w:type="pct"/>
            <w:gridSpan w:val="2"/>
            <w:tcBorders>
              <w:top w:val="nil"/>
              <w:left w:val="nil"/>
              <w:bottom w:val="nil"/>
              <w:right w:val="nil"/>
            </w:tcBorders>
            <w:shd w:val="clear" w:color="auto" w:fill="auto"/>
            <w:noWrap/>
            <w:vAlign w:val="center"/>
            <w:hideMark/>
          </w:tcPr>
          <w:p w14:paraId="7C4DD74A" w14:textId="77777777" w:rsidR="00B45651" w:rsidRPr="0027694A" w:rsidRDefault="00B45651" w:rsidP="00A22A27">
            <w:pPr>
              <w:spacing w:after="0" w:line="240" w:lineRule="auto"/>
              <w:ind w:firstLine="0"/>
              <w:jc w:val="left"/>
              <w:rPr>
                <w:rFonts w:eastAsia="Times New Roman"/>
                <w:sz w:val="20"/>
                <w:szCs w:val="20"/>
                <w:lang w:eastAsia="pt-BR"/>
              </w:rPr>
            </w:pPr>
            <w:r w:rsidRPr="00427DDB">
              <w:rPr>
                <w:rFonts w:eastAsia="Times New Roman"/>
                <w:sz w:val="22"/>
                <w:szCs w:val="20"/>
                <w:lang w:eastAsia="pt-BR"/>
              </w:rPr>
              <w:t>Fonte: Lei 6.404/76 e Alterações.</w:t>
            </w:r>
          </w:p>
        </w:tc>
        <w:tc>
          <w:tcPr>
            <w:tcW w:w="473" w:type="pct"/>
            <w:tcBorders>
              <w:top w:val="nil"/>
              <w:left w:val="nil"/>
              <w:bottom w:val="nil"/>
              <w:right w:val="nil"/>
            </w:tcBorders>
            <w:shd w:val="clear" w:color="auto" w:fill="auto"/>
            <w:noWrap/>
            <w:vAlign w:val="bottom"/>
            <w:hideMark/>
          </w:tcPr>
          <w:p w14:paraId="51493C0D" w14:textId="77777777" w:rsidR="00B45651" w:rsidRPr="005C24F6" w:rsidRDefault="00B45651" w:rsidP="00A22A27">
            <w:pPr>
              <w:keepNext/>
              <w:spacing w:after="0" w:line="240" w:lineRule="auto"/>
              <w:ind w:firstLine="0"/>
              <w:jc w:val="left"/>
              <w:rPr>
                <w:rFonts w:eastAsia="Times New Roman"/>
                <w:sz w:val="20"/>
                <w:szCs w:val="20"/>
                <w:lang w:eastAsia="pt-BR"/>
              </w:rPr>
            </w:pPr>
          </w:p>
        </w:tc>
      </w:tr>
    </w:tbl>
    <w:p w14:paraId="32DD9F9E" w14:textId="764B3B66" w:rsidR="00F34D9A" w:rsidRPr="00B45651" w:rsidRDefault="00B45651" w:rsidP="00B45651">
      <w:pPr>
        <w:spacing w:before="240" w:after="0"/>
        <w:ind w:firstLine="0"/>
        <w:rPr>
          <w:szCs w:val="24"/>
          <w:shd w:val="clear" w:color="auto" w:fill="FFFFFF"/>
        </w:rPr>
      </w:pPr>
      <w:r w:rsidRPr="00783EEE">
        <w:rPr>
          <w:sz w:val="22"/>
          <w:shd w:val="clear" w:color="auto" w:fill="FFFFFF"/>
        </w:rPr>
        <w:tab/>
      </w:r>
      <w:r w:rsidRPr="00783EEE">
        <w:rPr>
          <w:szCs w:val="24"/>
          <w:shd w:val="clear" w:color="auto" w:fill="FFFFFF"/>
        </w:rPr>
        <w:t xml:space="preserve">No Quadro </w:t>
      </w:r>
      <w:r>
        <w:rPr>
          <w:szCs w:val="24"/>
          <w:shd w:val="clear" w:color="auto" w:fill="FFFFFF"/>
        </w:rPr>
        <w:t>3</w:t>
      </w:r>
      <w:r w:rsidRPr="00783EEE">
        <w:rPr>
          <w:szCs w:val="24"/>
          <w:shd w:val="clear" w:color="auto" w:fill="FFFFFF"/>
        </w:rPr>
        <w:t xml:space="preserve"> estão as informações compulsórias que deveriam se</w:t>
      </w:r>
      <w:r>
        <w:rPr>
          <w:szCs w:val="24"/>
          <w:shd w:val="clear" w:color="auto" w:fill="FFFFFF"/>
        </w:rPr>
        <w:t>r</w:t>
      </w:r>
      <w:r w:rsidRPr="00783EEE">
        <w:rPr>
          <w:szCs w:val="24"/>
          <w:shd w:val="clear" w:color="auto" w:fill="FFFFFF"/>
        </w:rPr>
        <w:t xml:space="preserve"> incluídas nas notas explicativas para melhores entendimentos dos números reportados. Entende-se também que pela natureza de informação ser obrigatória, se determinado item não fosse aplicável a </w:t>
      </w:r>
      <w:r w:rsidRPr="00783EEE">
        <w:rPr>
          <w:szCs w:val="24"/>
          <w:shd w:val="clear" w:color="auto" w:fill="FFFFFF"/>
        </w:rPr>
        <w:lastRenderedPageBreak/>
        <w:t>determinada empresa, deveria existir uma nota explicativa informando as razões da não divulgação.</w:t>
      </w:r>
    </w:p>
    <w:p w14:paraId="13BB4CF9" w14:textId="30BDE172" w:rsidR="009822E0" w:rsidRPr="00E656E3" w:rsidRDefault="0063719B" w:rsidP="00B30D54">
      <w:pPr>
        <w:spacing w:after="0"/>
        <w:rPr>
          <w:szCs w:val="24"/>
        </w:rPr>
      </w:pPr>
      <w:r w:rsidRPr="00E656E3">
        <w:rPr>
          <w:szCs w:val="24"/>
        </w:rPr>
        <w:t xml:space="preserve">Os itens foram classificados em duas categorias: (0) Não Evidenciado: quando a informação não foi divulgada; (1) Evidenciado: quando a informação foi evidenciada. O índice total é definido como a razão entre o total de itens que a empresa divulgou com o total dos itens que a empresa deveria divulgar. </w:t>
      </w:r>
      <w:r w:rsidR="00B67784" w:rsidRPr="00E656E3">
        <w:rPr>
          <w:szCs w:val="24"/>
        </w:rPr>
        <w:t>O IDC varia de 0 a 1, quanto mais próximo a 1 maior o nível de divulgação da empresa. Se uma determinada empresa divulgar todos os itens o IDC dela seria de 1. Para verificar a confiabilidade interna e validação do IDC foi realizado o teste Kuder e Richardson – 20 (KR-20).</w:t>
      </w:r>
      <w:bookmarkStart w:id="16" w:name="_Toc411461685"/>
    </w:p>
    <w:bookmarkEnd w:id="16"/>
    <w:p w14:paraId="61CA6790" w14:textId="5BEA7C7A" w:rsidR="008F2993" w:rsidRPr="00E656E3" w:rsidRDefault="0063719B" w:rsidP="00E240B6">
      <w:pPr>
        <w:rPr>
          <w:szCs w:val="24"/>
        </w:rPr>
      </w:pPr>
      <w:r w:rsidRPr="00E656E3">
        <w:rPr>
          <w:szCs w:val="24"/>
        </w:rPr>
        <w:t xml:space="preserve">Com objetivo de especificar de maneira mais concisa o modelo estatístico utilizado, foram selecionadas variáveis de controle que seriam potencialmente influentes para explicar os níveis de divulgação compulsória das </w:t>
      </w:r>
      <w:r w:rsidR="002C5D2D" w:rsidRPr="00E656E3">
        <w:rPr>
          <w:szCs w:val="24"/>
        </w:rPr>
        <w:t>Empresas de Economia Mista</w:t>
      </w:r>
      <w:r w:rsidRPr="00E656E3">
        <w:rPr>
          <w:szCs w:val="24"/>
        </w:rPr>
        <w:t xml:space="preserve"> paranaense. As variáveis são: (1) Desempenho; (2) Alavancagem; (3); Tamanho da Empresa (4); Esfera de governo (5); Setor Regulado (6); Ciclo Político (7); Auditoria Independente (8).  No Quadro </w:t>
      </w:r>
      <w:r w:rsidR="005E3553">
        <w:rPr>
          <w:szCs w:val="24"/>
        </w:rPr>
        <w:t>4</w:t>
      </w:r>
      <w:r w:rsidRPr="00E656E3">
        <w:rPr>
          <w:szCs w:val="24"/>
        </w:rPr>
        <w:t xml:space="preserve"> apresenta-se o resumo das variáveis de controle estudada, a definição operacional, a forma de mensuração e a relação esperada com o nível de divulgaç</w:t>
      </w:r>
      <w:bookmarkStart w:id="17" w:name="_Toc413142528"/>
      <w:r w:rsidR="00021415" w:rsidRPr="00E656E3">
        <w:rPr>
          <w:szCs w:val="24"/>
        </w:rPr>
        <w:t>ão.</w:t>
      </w:r>
    </w:p>
    <w:p w14:paraId="2CF3F447" w14:textId="38BD37BE" w:rsidR="0063719B" w:rsidRPr="00C54A26" w:rsidRDefault="0063719B" w:rsidP="006F0933">
      <w:pPr>
        <w:pStyle w:val="Legenda"/>
        <w:spacing w:after="0" w:line="360" w:lineRule="auto"/>
        <w:ind w:firstLine="0"/>
        <w:jc w:val="center"/>
        <w:rPr>
          <w:i w:val="0"/>
          <w:iCs w:val="0"/>
          <w:color w:val="auto"/>
          <w:sz w:val="20"/>
          <w:szCs w:val="20"/>
        </w:rPr>
      </w:pPr>
      <w:r w:rsidRPr="00C54A26">
        <w:rPr>
          <w:b/>
          <w:i w:val="0"/>
          <w:iCs w:val="0"/>
          <w:color w:val="auto"/>
          <w:sz w:val="20"/>
          <w:szCs w:val="20"/>
        </w:rPr>
        <w:t xml:space="preserve">Quadro </w:t>
      </w:r>
      <w:r w:rsidR="00942AC1">
        <w:rPr>
          <w:b/>
          <w:i w:val="0"/>
          <w:iCs w:val="0"/>
          <w:color w:val="auto"/>
          <w:sz w:val="20"/>
          <w:szCs w:val="20"/>
        </w:rPr>
        <w:t>4</w:t>
      </w:r>
      <w:r w:rsidR="00942AC1" w:rsidRPr="00C54A26">
        <w:rPr>
          <w:b/>
          <w:i w:val="0"/>
          <w:iCs w:val="0"/>
          <w:color w:val="auto"/>
          <w:sz w:val="20"/>
          <w:szCs w:val="20"/>
        </w:rPr>
        <w:t>:</w:t>
      </w:r>
      <w:r w:rsidR="00942AC1" w:rsidRPr="00C54A26">
        <w:rPr>
          <w:i w:val="0"/>
          <w:iCs w:val="0"/>
          <w:color w:val="auto"/>
          <w:sz w:val="20"/>
          <w:szCs w:val="20"/>
        </w:rPr>
        <w:t xml:space="preserve"> Resumo</w:t>
      </w:r>
      <w:r w:rsidR="00B67784" w:rsidRPr="00C54A26">
        <w:rPr>
          <w:i w:val="0"/>
          <w:iCs w:val="0"/>
          <w:color w:val="auto"/>
          <w:sz w:val="20"/>
          <w:szCs w:val="20"/>
        </w:rPr>
        <w:t xml:space="preserve"> das variáveis de controle.</w:t>
      </w:r>
      <w:bookmarkEnd w:id="17"/>
    </w:p>
    <w:tbl>
      <w:tblPr>
        <w:tblW w:w="9098" w:type="dxa"/>
        <w:jc w:val="center"/>
        <w:tblLook w:val="04A0" w:firstRow="1" w:lastRow="0" w:firstColumn="1" w:lastColumn="0" w:noHBand="0" w:noVBand="1"/>
      </w:tblPr>
      <w:tblGrid>
        <w:gridCol w:w="1950"/>
        <w:gridCol w:w="850"/>
        <w:gridCol w:w="2434"/>
        <w:gridCol w:w="2810"/>
        <w:gridCol w:w="1055"/>
      </w:tblGrid>
      <w:tr w:rsidR="0063719B" w:rsidRPr="006F0933" w14:paraId="20ADA4F8" w14:textId="77777777" w:rsidTr="008F2993">
        <w:trPr>
          <w:trHeight w:val="71"/>
          <w:jc w:val="center"/>
        </w:trPr>
        <w:tc>
          <w:tcPr>
            <w:tcW w:w="1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F1007" w14:textId="77777777" w:rsidR="0063719B" w:rsidRPr="006F0933" w:rsidRDefault="0063719B" w:rsidP="006F0933">
            <w:pPr>
              <w:spacing w:after="0" w:line="240" w:lineRule="auto"/>
              <w:ind w:firstLine="0"/>
              <w:jc w:val="left"/>
              <w:rPr>
                <w:rFonts w:eastAsia="Times New Roman"/>
                <w:b/>
                <w:bCs/>
                <w:sz w:val="20"/>
                <w:szCs w:val="20"/>
                <w:lang w:val="en-US"/>
              </w:rPr>
            </w:pPr>
            <w:r w:rsidRPr="006F0933">
              <w:rPr>
                <w:rFonts w:eastAsia="Times New Roman"/>
                <w:b/>
                <w:bCs/>
                <w:sz w:val="20"/>
                <w:szCs w:val="20"/>
                <w:lang w:val="en-US"/>
              </w:rPr>
              <w:t>Nome da Variável</w:t>
            </w:r>
          </w:p>
        </w:tc>
        <w:tc>
          <w:tcPr>
            <w:tcW w:w="849" w:type="dxa"/>
            <w:tcBorders>
              <w:top w:val="single" w:sz="4" w:space="0" w:color="auto"/>
              <w:left w:val="nil"/>
              <w:bottom w:val="single" w:sz="4" w:space="0" w:color="auto"/>
              <w:right w:val="single" w:sz="4" w:space="0" w:color="auto"/>
            </w:tcBorders>
            <w:shd w:val="clear" w:color="auto" w:fill="auto"/>
            <w:noWrap/>
            <w:vAlign w:val="bottom"/>
            <w:hideMark/>
          </w:tcPr>
          <w:p w14:paraId="5F4693EA" w14:textId="77777777" w:rsidR="0063719B" w:rsidRPr="006F0933" w:rsidRDefault="0063719B" w:rsidP="006F0933">
            <w:pPr>
              <w:spacing w:after="0" w:line="240" w:lineRule="auto"/>
              <w:ind w:firstLine="0"/>
              <w:jc w:val="left"/>
              <w:rPr>
                <w:rFonts w:eastAsia="Times New Roman"/>
                <w:b/>
                <w:bCs/>
                <w:sz w:val="20"/>
                <w:szCs w:val="20"/>
                <w:lang w:val="en-US"/>
              </w:rPr>
            </w:pPr>
            <w:r w:rsidRPr="006F0933">
              <w:rPr>
                <w:rFonts w:eastAsia="Times New Roman"/>
                <w:b/>
                <w:bCs/>
                <w:sz w:val="20"/>
                <w:szCs w:val="20"/>
                <w:lang w:val="en-US"/>
              </w:rPr>
              <w:t>Sigla</w:t>
            </w:r>
          </w:p>
        </w:tc>
        <w:tc>
          <w:tcPr>
            <w:tcW w:w="2434" w:type="dxa"/>
            <w:tcBorders>
              <w:top w:val="single" w:sz="4" w:space="0" w:color="auto"/>
              <w:left w:val="nil"/>
              <w:bottom w:val="single" w:sz="4" w:space="0" w:color="auto"/>
              <w:right w:val="single" w:sz="4" w:space="0" w:color="auto"/>
            </w:tcBorders>
            <w:shd w:val="clear" w:color="auto" w:fill="auto"/>
            <w:noWrap/>
            <w:vAlign w:val="bottom"/>
            <w:hideMark/>
          </w:tcPr>
          <w:p w14:paraId="31A55AC4" w14:textId="77777777" w:rsidR="0063719B" w:rsidRPr="006F0933" w:rsidRDefault="0063719B" w:rsidP="006F0933">
            <w:pPr>
              <w:spacing w:after="0" w:line="240" w:lineRule="auto"/>
              <w:ind w:firstLine="0"/>
              <w:jc w:val="left"/>
              <w:rPr>
                <w:rFonts w:eastAsia="Times New Roman"/>
                <w:b/>
                <w:bCs/>
                <w:sz w:val="20"/>
                <w:szCs w:val="20"/>
                <w:lang w:val="en-US"/>
              </w:rPr>
            </w:pPr>
            <w:r w:rsidRPr="006F0933">
              <w:rPr>
                <w:rFonts w:eastAsia="Times New Roman"/>
                <w:b/>
                <w:bCs/>
                <w:sz w:val="20"/>
                <w:szCs w:val="20"/>
                <w:lang w:val="en-US"/>
              </w:rPr>
              <w:t>Definição Operacional</w:t>
            </w:r>
          </w:p>
        </w:tc>
        <w:tc>
          <w:tcPr>
            <w:tcW w:w="2810" w:type="dxa"/>
            <w:tcBorders>
              <w:top w:val="single" w:sz="4" w:space="0" w:color="auto"/>
              <w:left w:val="nil"/>
              <w:bottom w:val="single" w:sz="4" w:space="0" w:color="auto"/>
              <w:right w:val="single" w:sz="4" w:space="0" w:color="auto"/>
            </w:tcBorders>
            <w:shd w:val="clear" w:color="auto" w:fill="auto"/>
            <w:noWrap/>
            <w:vAlign w:val="bottom"/>
            <w:hideMark/>
          </w:tcPr>
          <w:p w14:paraId="2F97D41E" w14:textId="77777777" w:rsidR="0063719B" w:rsidRPr="006F0933" w:rsidRDefault="0063719B" w:rsidP="006F0933">
            <w:pPr>
              <w:spacing w:after="0" w:line="240" w:lineRule="auto"/>
              <w:ind w:firstLine="0"/>
              <w:jc w:val="center"/>
              <w:rPr>
                <w:rFonts w:eastAsia="Times New Roman"/>
                <w:b/>
                <w:bCs/>
                <w:sz w:val="20"/>
                <w:szCs w:val="20"/>
                <w:lang w:val="en-US"/>
              </w:rPr>
            </w:pPr>
            <w:r w:rsidRPr="006F0933">
              <w:rPr>
                <w:rFonts w:eastAsia="Times New Roman"/>
                <w:b/>
                <w:bCs/>
                <w:sz w:val="20"/>
                <w:szCs w:val="20"/>
                <w:lang w:val="en-US"/>
              </w:rPr>
              <w:t>Mensuração</w:t>
            </w:r>
          </w:p>
        </w:tc>
        <w:tc>
          <w:tcPr>
            <w:tcW w:w="1055" w:type="dxa"/>
            <w:tcBorders>
              <w:top w:val="single" w:sz="4" w:space="0" w:color="auto"/>
              <w:left w:val="nil"/>
              <w:bottom w:val="single" w:sz="4" w:space="0" w:color="auto"/>
              <w:right w:val="single" w:sz="4" w:space="0" w:color="auto"/>
            </w:tcBorders>
            <w:shd w:val="clear" w:color="auto" w:fill="auto"/>
            <w:noWrap/>
            <w:vAlign w:val="bottom"/>
            <w:hideMark/>
          </w:tcPr>
          <w:p w14:paraId="6EB13E3D" w14:textId="77777777" w:rsidR="0063719B" w:rsidRPr="006F0933" w:rsidRDefault="0063719B" w:rsidP="006F0933">
            <w:pPr>
              <w:spacing w:after="0" w:line="240" w:lineRule="auto"/>
              <w:ind w:firstLine="0"/>
              <w:jc w:val="left"/>
              <w:rPr>
                <w:rFonts w:eastAsia="Times New Roman"/>
                <w:b/>
                <w:bCs/>
                <w:sz w:val="20"/>
                <w:szCs w:val="20"/>
                <w:lang w:val="en-US"/>
              </w:rPr>
            </w:pPr>
            <w:r w:rsidRPr="006F0933">
              <w:rPr>
                <w:rFonts w:eastAsia="Times New Roman"/>
                <w:b/>
                <w:bCs/>
                <w:sz w:val="20"/>
                <w:szCs w:val="20"/>
                <w:lang w:val="en-US"/>
              </w:rPr>
              <w:t>Relação Esperada</w:t>
            </w:r>
          </w:p>
        </w:tc>
      </w:tr>
      <w:tr w:rsidR="0063719B" w:rsidRPr="006F0933" w14:paraId="4015731D" w14:textId="77777777" w:rsidTr="008F2993">
        <w:trPr>
          <w:trHeight w:val="216"/>
          <w:jc w:val="center"/>
        </w:trPr>
        <w:tc>
          <w:tcPr>
            <w:tcW w:w="1950" w:type="dxa"/>
            <w:tcBorders>
              <w:top w:val="nil"/>
              <w:left w:val="single" w:sz="4" w:space="0" w:color="auto"/>
              <w:bottom w:val="single" w:sz="4" w:space="0" w:color="auto"/>
              <w:right w:val="single" w:sz="4" w:space="0" w:color="auto"/>
            </w:tcBorders>
            <w:shd w:val="clear" w:color="auto" w:fill="auto"/>
            <w:noWrap/>
            <w:vAlign w:val="center"/>
            <w:hideMark/>
          </w:tcPr>
          <w:p w14:paraId="409E8CD8" w14:textId="77777777" w:rsidR="0063719B" w:rsidRPr="006F0933" w:rsidRDefault="0063719B" w:rsidP="006F0933">
            <w:pPr>
              <w:spacing w:after="0" w:line="240" w:lineRule="auto"/>
              <w:ind w:firstLine="0"/>
              <w:jc w:val="center"/>
              <w:rPr>
                <w:rFonts w:eastAsia="Times New Roman"/>
                <w:sz w:val="20"/>
                <w:szCs w:val="20"/>
                <w:lang w:val="en-US"/>
              </w:rPr>
            </w:pPr>
            <w:r w:rsidRPr="006F0933">
              <w:rPr>
                <w:rFonts w:eastAsia="Times New Roman"/>
                <w:sz w:val="20"/>
                <w:szCs w:val="20"/>
                <w:lang w:val="en-US"/>
              </w:rPr>
              <w:t>Desempenho</w:t>
            </w:r>
          </w:p>
        </w:tc>
        <w:tc>
          <w:tcPr>
            <w:tcW w:w="849" w:type="dxa"/>
            <w:tcBorders>
              <w:top w:val="nil"/>
              <w:left w:val="nil"/>
              <w:bottom w:val="single" w:sz="4" w:space="0" w:color="auto"/>
              <w:right w:val="single" w:sz="4" w:space="0" w:color="auto"/>
            </w:tcBorders>
            <w:shd w:val="clear" w:color="auto" w:fill="auto"/>
            <w:noWrap/>
            <w:vAlign w:val="center"/>
            <w:hideMark/>
          </w:tcPr>
          <w:p w14:paraId="1D8E10A4" w14:textId="77777777" w:rsidR="0063719B" w:rsidRPr="006F0933" w:rsidRDefault="0063719B" w:rsidP="006F0933">
            <w:pPr>
              <w:spacing w:after="0" w:line="240" w:lineRule="auto"/>
              <w:ind w:firstLine="0"/>
              <w:jc w:val="center"/>
              <w:rPr>
                <w:rFonts w:eastAsia="Times New Roman"/>
                <w:sz w:val="20"/>
                <w:szCs w:val="20"/>
                <w:lang w:val="en-US"/>
              </w:rPr>
            </w:pPr>
            <w:r w:rsidRPr="006F0933">
              <w:rPr>
                <w:rFonts w:eastAsia="Times New Roman"/>
                <w:sz w:val="20"/>
                <w:szCs w:val="20"/>
                <w:lang w:val="en-US"/>
              </w:rPr>
              <w:t>ROA</w:t>
            </w:r>
          </w:p>
        </w:tc>
        <w:tc>
          <w:tcPr>
            <w:tcW w:w="2434" w:type="dxa"/>
            <w:tcBorders>
              <w:top w:val="nil"/>
              <w:left w:val="nil"/>
              <w:bottom w:val="single" w:sz="4" w:space="0" w:color="auto"/>
              <w:right w:val="single" w:sz="4" w:space="0" w:color="auto"/>
            </w:tcBorders>
            <w:shd w:val="clear" w:color="auto" w:fill="auto"/>
            <w:vAlign w:val="center"/>
            <w:hideMark/>
          </w:tcPr>
          <w:p w14:paraId="6E2112B5" w14:textId="77777777" w:rsidR="0063719B" w:rsidRPr="006F0933" w:rsidRDefault="0063719B" w:rsidP="006F0933">
            <w:pPr>
              <w:spacing w:after="0" w:line="240" w:lineRule="auto"/>
              <w:ind w:firstLine="0"/>
              <w:jc w:val="center"/>
              <w:rPr>
                <w:rFonts w:eastAsia="Times New Roman"/>
                <w:sz w:val="20"/>
                <w:szCs w:val="20"/>
              </w:rPr>
            </w:pPr>
            <w:r w:rsidRPr="006F0933">
              <w:rPr>
                <w:rFonts w:eastAsia="Times New Roman"/>
                <w:sz w:val="20"/>
                <w:szCs w:val="20"/>
              </w:rPr>
              <w:t>Verifica o desempenho da companhia</w:t>
            </w:r>
          </w:p>
        </w:tc>
        <w:tc>
          <w:tcPr>
            <w:tcW w:w="2810" w:type="dxa"/>
            <w:tcBorders>
              <w:top w:val="nil"/>
              <w:left w:val="nil"/>
              <w:bottom w:val="single" w:sz="4" w:space="0" w:color="auto"/>
              <w:right w:val="single" w:sz="4" w:space="0" w:color="auto"/>
            </w:tcBorders>
            <w:shd w:val="clear" w:color="auto" w:fill="auto"/>
            <w:vAlign w:val="center"/>
            <w:hideMark/>
          </w:tcPr>
          <w:p w14:paraId="05D78D43" w14:textId="77777777" w:rsidR="0063719B" w:rsidRPr="006F0933" w:rsidRDefault="0063719B" w:rsidP="006F0933">
            <w:pPr>
              <w:spacing w:after="0" w:line="240" w:lineRule="auto"/>
              <w:ind w:firstLine="0"/>
              <w:jc w:val="center"/>
              <w:rPr>
                <w:rFonts w:eastAsia="Times New Roman"/>
                <w:sz w:val="20"/>
                <w:szCs w:val="20"/>
                <w:lang w:val="en-US"/>
              </w:rPr>
            </w:pPr>
            <w:r w:rsidRPr="006F0933">
              <w:rPr>
                <w:rFonts w:eastAsia="Times New Roman"/>
                <w:sz w:val="20"/>
                <w:szCs w:val="20"/>
                <w:lang w:val="en-US"/>
              </w:rPr>
              <w:t>ROA = LL/AT</w:t>
            </w:r>
          </w:p>
        </w:tc>
        <w:tc>
          <w:tcPr>
            <w:tcW w:w="1055" w:type="dxa"/>
            <w:tcBorders>
              <w:top w:val="nil"/>
              <w:left w:val="nil"/>
              <w:bottom w:val="single" w:sz="4" w:space="0" w:color="auto"/>
              <w:right w:val="single" w:sz="4" w:space="0" w:color="auto"/>
            </w:tcBorders>
            <w:shd w:val="clear" w:color="auto" w:fill="auto"/>
            <w:noWrap/>
            <w:vAlign w:val="center"/>
            <w:hideMark/>
          </w:tcPr>
          <w:p w14:paraId="3952FF35" w14:textId="77777777" w:rsidR="0063719B" w:rsidRPr="006F0933" w:rsidRDefault="0063719B" w:rsidP="006F0933">
            <w:pPr>
              <w:spacing w:after="0" w:line="240" w:lineRule="auto"/>
              <w:ind w:firstLine="0"/>
              <w:jc w:val="center"/>
              <w:rPr>
                <w:rFonts w:eastAsia="Times New Roman"/>
                <w:sz w:val="20"/>
                <w:szCs w:val="20"/>
                <w:lang w:val="en-US"/>
              </w:rPr>
            </w:pPr>
            <w:r w:rsidRPr="006F0933">
              <w:rPr>
                <w:rFonts w:eastAsia="Times New Roman"/>
                <w:sz w:val="20"/>
                <w:szCs w:val="20"/>
                <w:lang w:val="en-US"/>
              </w:rPr>
              <w:t>+</w:t>
            </w:r>
          </w:p>
        </w:tc>
      </w:tr>
      <w:tr w:rsidR="0063719B" w:rsidRPr="006F0933" w14:paraId="4E8AFCD4" w14:textId="77777777" w:rsidTr="008F2993">
        <w:trPr>
          <w:trHeight w:val="360"/>
          <w:jc w:val="center"/>
        </w:trPr>
        <w:tc>
          <w:tcPr>
            <w:tcW w:w="1950" w:type="dxa"/>
            <w:tcBorders>
              <w:top w:val="nil"/>
              <w:left w:val="single" w:sz="4" w:space="0" w:color="auto"/>
              <w:bottom w:val="single" w:sz="4" w:space="0" w:color="auto"/>
              <w:right w:val="single" w:sz="4" w:space="0" w:color="auto"/>
            </w:tcBorders>
            <w:shd w:val="clear" w:color="auto" w:fill="auto"/>
            <w:noWrap/>
            <w:vAlign w:val="center"/>
            <w:hideMark/>
          </w:tcPr>
          <w:p w14:paraId="11EDF7BB" w14:textId="77777777" w:rsidR="0063719B" w:rsidRPr="006F0933" w:rsidRDefault="0063719B" w:rsidP="006F0933">
            <w:pPr>
              <w:spacing w:after="0" w:line="240" w:lineRule="auto"/>
              <w:ind w:firstLine="0"/>
              <w:jc w:val="center"/>
              <w:rPr>
                <w:rFonts w:eastAsia="Times New Roman"/>
                <w:sz w:val="20"/>
                <w:szCs w:val="20"/>
                <w:lang w:val="en-US"/>
              </w:rPr>
            </w:pPr>
            <w:r w:rsidRPr="006F0933">
              <w:rPr>
                <w:rFonts w:eastAsia="Times New Roman"/>
                <w:sz w:val="20"/>
                <w:szCs w:val="20"/>
                <w:lang w:val="en-US"/>
              </w:rPr>
              <w:t>Alavancagem</w:t>
            </w:r>
          </w:p>
        </w:tc>
        <w:tc>
          <w:tcPr>
            <w:tcW w:w="849" w:type="dxa"/>
            <w:tcBorders>
              <w:top w:val="nil"/>
              <w:left w:val="nil"/>
              <w:bottom w:val="single" w:sz="4" w:space="0" w:color="auto"/>
              <w:right w:val="single" w:sz="4" w:space="0" w:color="auto"/>
            </w:tcBorders>
            <w:shd w:val="clear" w:color="auto" w:fill="auto"/>
            <w:noWrap/>
            <w:vAlign w:val="center"/>
            <w:hideMark/>
          </w:tcPr>
          <w:p w14:paraId="71456C64" w14:textId="77777777" w:rsidR="0063719B" w:rsidRPr="006F0933" w:rsidRDefault="0063719B" w:rsidP="006F0933">
            <w:pPr>
              <w:spacing w:after="0" w:line="240" w:lineRule="auto"/>
              <w:ind w:firstLine="0"/>
              <w:jc w:val="center"/>
              <w:rPr>
                <w:rFonts w:eastAsia="Times New Roman"/>
                <w:sz w:val="20"/>
                <w:szCs w:val="20"/>
                <w:lang w:val="en-US"/>
              </w:rPr>
            </w:pPr>
            <w:r w:rsidRPr="006F0933">
              <w:rPr>
                <w:rFonts w:eastAsia="Times New Roman"/>
                <w:sz w:val="20"/>
                <w:szCs w:val="20"/>
                <w:lang w:val="en-US"/>
              </w:rPr>
              <w:t>ALAV</w:t>
            </w:r>
          </w:p>
        </w:tc>
        <w:tc>
          <w:tcPr>
            <w:tcW w:w="2434" w:type="dxa"/>
            <w:tcBorders>
              <w:top w:val="nil"/>
              <w:left w:val="nil"/>
              <w:bottom w:val="single" w:sz="4" w:space="0" w:color="auto"/>
              <w:right w:val="single" w:sz="4" w:space="0" w:color="auto"/>
            </w:tcBorders>
            <w:shd w:val="clear" w:color="auto" w:fill="auto"/>
            <w:vAlign w:val="center"/>
            <w:hideMark/>
          </w:tcPr>
          <w:p w14:paraId="0F5C1FA8" w14:textId="77777777" w:rsidR="0063719B" w:rsidRPr="006F0933" w:rsidRDefault="0063719B" w:rsidP="006F0933">
            <w:pPr>
              <w:spacing w:after="0" w:line="240" w:lineRule="auto"/>
              <w:ind w:firstLine="0"/>
              <w:jc w:val="center"/>
              <w:rPr>
                <w:rFonts w:eastAsia="Times New Roman"/>
                <w:sz w:val="20"/>
                <w:szCs w:val="20"/>
              </w:rPr>
            </w:pPr>
            <w:r w:rsidRPr="006F0933">
              <w:rPr>
                <w:rFonts w:eastAsia="Times New Roman"/>
                <w:sz w:val="20"/>
                <w:szCs w:val="20"/>
              </w:rPr>
              <w:t>Verifica o nível de endividamento da companhia</w:t>
            </w:r>
          </w:p>
        </w:tc>
        <w:tc>
          <w:tcPr>
            <w:tcW w:w="2810" w:type="dxa"/>
            <w:tcBorders>
              <w:top w:val="nil"/>
              <w:left w:val="nil"/>
              <w:bottom w:val="single" w:sz="4" w:space="0" w:color="auto"/>
              <w:right w:val="single" w:sz="4" w:space="0" w:color="auto"/>
            </w:tcBorders>
            <w:shd w:val="clear" w:color="auto" w:fill="auto"/>
            <w:vAlign w:val="center"/>
            <w:hideMark/>
          </w:tcPr>
          <w:p w14:paraId="5C373616" w14:textId="77777777" w:rsidR="0063719B" w:rsidRPr="006F0933" w:rsidRDefault="0063719B" w:rsidP="006F0933">
            <w:pPr>
              <w:spacing w:after="0" w:line="240" w:lineRule="auto"/>
              <w:ind w:firstLine="0"/>
              <w:jc w:val="center"/>
              <w:rPr>
                <w:rFonts w:eastAsia="Times New Roman"/>
                <w:sz w:val="20"/>
                <w:szCs w:val="20"/>
                <w:lang w:val="en-US"/>
              </w:rPr>
            </w:pPr>
            <w:r w:rsidRPr="006F0933">
              <w:rPr>
                <w:rFonts w:eastAsia="Times New Roman"/>
                <w:sz w:val="20"/>
                <w:szCs w:val="20"/>
                <w:lang w:val="en-US"/>
              </w:rPr>
              <w:t>ALAV= ET/AT</w:t>
            </w:r>
          </w:p>
        </w:tc>
        <w:tc>
          <w:tcPr>
            <w:tcW w:w="1055" w:type="dxa"/>
            <w:tcBorders>
              <w:top w:val="nil"/>
              <w:left w:val="nil"/>
              <w:bottom w:val="single" w:sz="4" w:space="0" w:color="auto"/>
              <w:right w:val="single" w:sz="4" w:space="0" w:color="auto"/>
            </w:tcBorders>
            <w:shd w:val="clear" w:color="auto" w:fill="auto"/>
            <w:noWrap/>
            <w:vAlign w:val="center"/>
            <w:hideMark/>
          </w:tcPr>
          <w:p w14:paraId="4D22E3D3" w14:textId="77777777" w:rsidR="0063719B" w:rsidRPr="006F0933" w:rsidRDefault="0063719B" w:rsidP="006F0933">
            <w:pPr>
              <w:spacing w:after="0" w:line="240" w:lineRule="auto"/>
              <w:ind w:firstLine="0"/>
              <w:jc w:val="center"/>
              <w:rPr>
                <w:rFonts w:eastAsia="Times New Roman"/>
                <w:sz w:val="20"/>
                <w:szCs w:val="20"/>
                <w:lang w:val="en-US"/>
              </w:rPr>
            </w:pPr>
            <w:r w:rsidRPr="006F0933">
              <w:rPr>
                <w:rFonts w:eastAsia="Times New Roman"/>
                <w:sz w:val="20"/>
                <w:szCs w:val="20"/>
                <w:lang w:val="en-US"/>
              </w:rPr>
              <w:t>+</w:t>
            </w:r>
          </w:p>
        </w:tc>
      </w:tr>
      <w:tr w:rsidR="0063719B" w:rsidRPr="006F0933" w14:paraId="22DE7E0C" w14:textId="77777777" w:rsidTr="008F2993">
        <w:trPr>
          <w:trHeight w:val="288"/>
          <w:jc w:val="center"/>
        </w:trPr>
        <w:tc>
          <w:tcPr>
            <w:tcW w:w="1950" w:type="dxa"/>
            <w:tcBorders>
              <w:top w:val="nil"/>
              <w:left w:val="single" w:sz="4" w:space="0" w:color="auto"/>
              <w:bottom w:val="single" w:sz="4" w:space="0" w:color="auto"/>
              <w:right w:val="single" w:sz="4" w:space="0" w:color="auto"/>
            </w:tcBorders>
            <w:shd w:val="clear" w:color="auto" w:fill="auto"/>
            <w:noWrap/>
            <w:vAlign w:val="center"/>
            <w:hideMark/>
          </w:tcPr>
          <w:p w14:paraId="45122F6D" w14:textId="77777777" w:rsidR="0063719B" w:rsidRPr="006F0933" w:rsidRDefault="0063719B" w:rsidP="006F0933">
            <w:pPr>
              <w:spacing w:after="0" w:line="240" w:lineRule="auto"/>
              <w:ind w:firstLine="0"/>
              <w:jc w:val="center"/>
              <w:rPr>
                <w:rFonts w:eastAsia="Times New Roman"/>
                <w:sz w:val="20"/>
                <w:szCs w:val="20"/>
                <w:lang w:val="en-US"/>
              </w:rPr>
            </w:pPr>
            <w:r w:rsidRPr="006F0933">
              <w:rPr>
                <w:rFonts w:eastAsia="Times New Roman"/>
                <w:sz w:val="20"/>
                <w:szCs w:val="20"/>
                <w:lang w:val="en-US"/>
              </w:rPr>
              <w:t xml:space="preserve">Tamanho  </w:t>
            </w:r>
          </w:p>
        </w:tc>
        <w:tc>
          <w:tcPr>
            <w:tcW w:w="849" w:type="dxa"/>
            <w:tcBorders>
              <w:top w:val="nil"/>
              <w:left w:val="nil"/>
              <w:bottom w:val="single" w:sz="4" w:space="0" w:color="auto"/>
              <w:right w:val="single" w:sz="4" w:space="0" w:color="auto"/>
            </w:tcBorders>
            <w:shd w:val="clear" w:color="auto" w:fill="auto"/>
            <w:noWrap/>
            <w:vAlign w:val="center"/>
            <w:hideMark/>
          </w:tcPr>
          <w:p w14:paraId="65B23D57" w14:textId="77777777" w:rsidR="0063719B" w:rsidRPr="006F0933" w:rsidRDefault="0063719B" w:rsidP="006F0933">
            <w:pPr>
              <w:spacing w:after="0" w:line="240" w:lineRule="auto"/>
              <w:ind w:firstLine="0"/>
              <w:jc w:val="center"/>
              <w:rPr>
                <w:rFonts w:eastAsia="Times New Roman"/>
                <w:sz w:val="20"/>
                <w:szCs w:val="20"/>
                <w:lang w:val="en-US"/>
              </w:rPr>
            </w:pPr>
            <w:r w:rsidRPr="006F0933">
              <w:rPr>
                <w:rFonts w:eastAsia="Times New Roman"/>
                <w:sz w:val="20"/>
                <w:szCs w:val="20"/>
                <w:lang w:val="en-US"/>
              </w:rPr>
              <w:t>TAM</w:t>
            </w:r>
          </w:p>
        </w:tc>
        <w:tc>
          <w:tcPr>
            <w:tcW w:w="2434" w:type="dxa"/>
            <w:tcBorders>
              <w:top w:val="nil"/>
              <w:left w:val="nil"/>
              <w:bottom w:val="single" w:sz="4" w:space="0" w:color="auto"/>
              <w:right w:val="single" w:sz="4" w:space="0" w:color="auto"/>
            </w:tcBorders>
            <w:shd w:val="clear" w:color="auto" w:fill="auto"/>
            <w:vAlign w:val="center"/>
            <w:hideMark/>
          </w:tcPr>
          <w:p w14:paraId="01E81D28" w14:textId="77777777" w:rsidR="0063719B" w:rsidRPr="006F0933" w:rsidRDefault="0063719B" w:rsidP="006F0933">
            <w:pPr>
              <w:spacing w:after="0" w:line="240" w:lineRule="auto"/>
              <w:ind w:firstLine="0"/>
              <w:jc w:val="center"/>
              <w:rPr>
                <w:rFonts w:eastAsia="Times New Roman"/>
                <w:sz w:val="20"/>
                <w:szCs w:val="20"/>
              </w:rPr>
            </w:pPr>
            <w:r w:rsidRPr="006F0933">
              <w:rPr>
                <w:rFonts w:eastAsia="Times New Roman"/>
                <w:sz w:val="20"/>
                <w:szCs w:val="20"/>
              </w:rPr>
              <w:t xml:space="preserve">Representa uma </w:t>
            </w:r>
            <w:r w:rsidRPr="006F0933">
              <w:rPr>
                <w:rFonts w:eastAsia="Times New Roman"/>
                <w:i/>
                <w:iCs/>
                <w:sz w:val="20"/>
                <w:szCs w:val="20"/>
              </w:rPr>
              <w:t>proxy</w:t>
            </w:r>
            <w:r w:rsidRPr="006F0933">
              <w:rPr>
                <w:rFonts w:eastAsia="Times New Roman"/>
                <w:sz w:val="20"/>
                <w:szCs w:val="20"/>
              </w:rPr>
              <w:t xml:space="preserve"> do tamanho da empresa</w:t>
            </w:r>
          </w:p>
        </w:tc>
        <w:tc>
          <w:tcPr>
            <w:tcW w:w="2810" w:type="dxa"/>
            <w:tcBorders>
              <w:top w:val="nil"/>
              <w:left w:val="nil"/>
              <w:bottom w:val="single" w:sz="4" w:space="0" w:color="auto"/>
              <w:right w:val="single" w:sz="4" w:space="0" w:color="auto"/>
            </w:tcBorders>
            <w:shd w:val="clear" w:color="auto" w:fill="auto"/>
            <w:vAlign w:val="center"/>
            <w:hideMark/>
          </w:tcPr>
          <w:p w14:paraId="40B3463F" w14:textId="77777777" w:rsidR="0063719B" w:rsidRPr="006F0933" w:rsidRDefault="0063719B" w:rsidP="006F0933">
            <w:pPr>
              <w:spacing w:after="0" w:line="240" w:lineRule="auto"/>
              <w:ind w:firstLine="0"/>
              <w:jc w:val="center"/>
              <w:rPr>
                <w:rFonts w:eastAsia="Times New Roman"/>
                <w:sz w:val="20"/>
                <w:szCs w:val="20"/>
              </w:rPr>
            </w:pPr>
            <w:r w:rsidRPr="006F0933">
              <w:rPr>
                <w:rFonts w:eastAsia="Times New Roman"/>
                <w:sz w:val="20"/>
                <w:szCs w:val="20"/>
              </w:rPr>
              <w:t>Ln do Ativo Total</w:t>
            </w:r>
          </w:p>
        </w:tc>
        <w:tc>
          <w:tcPr>
            <w:tcW w:w="1055" w:type="dxa"/>
            <w:tcBorders>
              <w:top w:val="nil"/>
              <w:left w:val="nil"/>
              <w:bottom w:val="single" w:sz="4" w:space="0" w:color="auto"/>
              <w:right w:val="single" w:sz="4" w:space="0" w:color="auto"/>
            </w:tcBorders>
            <w:shd w:val="clear" w:color="auto" w:fill="auto"/>
            <w:noWrap/>
            <w:vAlign w:val="center"/>
            <w:hideMark/>
          </w:tcPr>
          <w:p w14:paraId="389ABA01" w14:textId="77777777" w:rsidR="0063719B" w:rsidRPr="006F0933" w:rsidRDefault="0063719B" w:rsidP="006F0933">
            <w:pPr>
              <w:spacing w:after="0" w:line="240" w:lineRule="auto"/>
              <w:ind w:firstLine="0"/>
              <w:jc w:val="center"/>
              <w:rPr>
                <w:rFonts w:eastAsia="Times New Roman"/>
                <w:sz w:val="20"/>
                <w:szCs w:val="20"/>
                <w:lang w:val="en-US"/>
              </w:rPr>
            </w:pPr>
            <w:r w:rsidRPr="006F0933">
              <w:rPr>
                <w:rFonts w:eastAsia="Times New Roman"/>
                <w:sz w:val="20"/>
                <w:szCs w:val="20"/>
                <w:lang w:val="en-US"/>
              </w:rPr>
              <w:t>+</w:t>
            </w:r>
          </w:p>
        </w:tc>
      </w:tr>
      <w:tr w:rsidR="0063719B" w:rsidRPr="006F0933" w14:paraId="7A8FA5D9" w14:textId="77777777" w:rsidTr="008F2993">
        <w:trPr>
          <w:trHeight w:val="577"/>
          <w:jc w:val="center"/>
        </w:trPr>
        <w:tc>
          <w:tcPr>
            <w:tcW w:w="1950" w:type="dxa"/>
            <w:tcBorders>
              <w:top w:val="nil"/>
              <w:left w:val="single" w:sz="4" w:space="0" w:color="auto"/>
              <w:bottom w:val="single" w:sz="4" w:space="0" w:color="auto"/>
              <w:right w:val="single" w:sz="4" w:space="0" w:color="auto"/>
            </w:tcBorders>
            <w:shd w:val="clear" w:color="auto" w:fill="auto"/>
            <w:noWrap/>
            <w:vAlign w:val="center"/>
            <w:hideMark/>
          </w:tcPr>
          <w:p w14:paraId="4C96695A" w14:textId="77777777" w:rsidR="0063719B" w:rsidRPr="006F0933" w:rsidRDefault="0063719B" w:rsidP="006F0933">
            <w:pPr>
              <w:spacing w:after="0" w:line="240" w:lineRule="auto"/>
              <w:ind w:firstLine="0"/>
              <w:jc w:val="center"/>
              <w:rPr>
                <w:rFonts w:eastAsia="Times New Roman"/>
                <w:sz w:val="20"/>
                <w:szCs w:val="20"/>
              </w:rPr>
            </w:pPr>
            <w:r w:rsidRPr="006F0933">
              <w:rPr>
                <w:rFonts w:eastAsia="Times New Roman"/>
                <w:sz w:val="20"/>
                <w:szCs w:val="20"/>
              </w:rPr>
              <w:t>Esfera de Governo da Companhia</w:t>
            </w:r>
          </w:p>
        </w:tc>
        <w:tc>
          <w:tcPr>
            <w:tcW w:w="849" w:type="dxa"/>
            <w:tcBorders>
              <w:top w:val="nil"/>
              <w:left w:val="nil"/>
              <w:bottom w:val="single" w:sz="4" w:space="0" w:color="auto"/>
              <w:right w:val="single" w:sz="4" w:space="0" w:color="auto"/>
            </w:tcBorders>
            <w:shd w:val="clear" w:color="auto" w:fill="auto"/>
            <w:noWrap/>
            <w:vAlign w:val="center"/>
            <w:hideMark/>
          </w:tcPr>
          <w:p w14:paraId="4154771D" w14:textId="77777777" w:rsidR="0063719B" w:rsidRPr="006F0933" w:rsidRDefault="0063719B" w:rsidP="006F0933">
            <w:pPr>
              <w:spacing w:after="0" w:line="240" w:lineRule="auto"/>
              <w:ind w:firstLine="0"/>
              <w:jc w:val="center"/>
              <w:rPr>
                <w:rFonts w:eastAsia="Times New Roman"/>
                <w:sz w:val="20"/>
                <w:szCs w:val="20"/>
                <w:lang w:val="en-US"/>
              </w:rPr>
            </w:pPr>
            <w:r w:rsidRPr="006F0933">
              <w:rPr>
                <w:rFonts w:eastAsia="Times New Roman"/>
                <w:sz w:val="20"/>
                <w:szCs w:val="20"/>
                <w:lang w:val="en-US"/>
              </w:rPr>
              <w:t>GOV</w:t>
            </w:r>
          </w:p>
        </w:tc>
        <w:tc>
          <w:tcPr>
            <w:tcW w:w="2434" w:type="dxa"/>
            <w:tcBorders>
              <w:top w:val="nil"/>
              <w:left w:val="nil"/>
              <w:bottom w:val="single" w:sz="4" w:space="0" w:color="auto"/>
              <w:right w:val="single" w:sz="4" w:space="0" w:color="auto"/>
            </w:tcBorders>
            <w:shd w:val="clear" w:color="auto" w:fill="auto"/>
            <w:vAlign w:val="center"/>
            <w:hideMark/>
          </w:tcPr>
          <w:p w14:paraId="606A7012" w14:textId="77777777" w:rsidR="0063719B" w:rsidRPr="006F0933" w:rsidRDefault="0063719B" w:rsidP="006F0933">
            <w:pPr>
              <w:spacing w:after="0" w:line="240" w:lineRule="auto"/>
              <w:ind w:firstLine="0"/>
              <w:jc w:val="center"/>
              <w:rPr>
                <w:rFonts w:eastAsia="Times New Roman"/>
                <w:sz w:val="20"/>
                <w:szCs w:val="20"/>
              </w:rPr>
            </w:pPr>
            <w:r w:rsidRPr="006F0933">
              <w:rPr>
                <w:rFonts w:eastAsia="Times New Roman"/>
                <w:sz w:val="20"/>
                <w:szCs w:val="20"/>
              </w:rPr>
              <w:t xml:space="preserve">Variável </w:t>
            </w:r>
            <w:r w:rsidRPr="006F0933">
              <w:rPr>
                <w:rFonts w:eastAsia="Times New Roman"/>
                <w:i/>
                <w:iCs/>
                <w:sz w:val="20"/>
                <w:szCs w:val="20"/>
              </w:rPr>
              <w:t>Dummy,</w:t>
            </w:r>
            <w:r w:rsidRPr="006F0933">
              <w:rPr>
                <w:rFonts w:eastAsia="Times New Roman"/>
                <w:sz w:val="20"/>
                <w:szCs w:val="20"/>
              </w:rPr>
              <w:t xml:space="preserve"> que representa a esfera de governo, se a empresa é Estadual ou Municipal.</w:t>
            </w:r>
          </w:p>
        </w:tc>
        <w:tc>
          <w:tcPr>
            <w:tcW w:w="2810" w:type="dxa"/>
            <w:tcBorders>
              <w:top w:val="nil"/>
              <w:left w:val="nil"/>
              <w:bottom w:val="single" w:sz="4" w:space="0" w:color="auto"/>
              <w:right w:val="single" w:sz="4" w:space="0" w:color="auto"/>
            </w:tcBorders>
            <w:shd w:val="clear" w:color="auto" w:fill="auto"/>
            <w:vAlign w:val="center"/>
            <w:hideMark/>
          </w:tcPr>
          <w:p w14:paraId="6E5A48E3" w14:textId="77777777" w:rsidR="0063719B" w:rsidRPr="006F0933" w:rsidRDefault="0063719B" w:rsidP="006F0933">
            <w:pPr>
              <w:spacing w:after="0" w:line="240" w:lineRule="auto"/>
              <w:ind w:firstLine="0"/>
              <w:jc w:val="center"/>
              <w:rPr>
                <w:rFonts w:eastAsia="Times New Roman"/>
                <w:sz w:val="20"/>
                <w:szCs w:val="20"/>
              </w:rPr>
            </w:pPr>
            <w:r w:rsidRPr="006F0933">
              <w:rPr>
                <w:rFonts w:eastAsia="Times New Roman"/>
                <w:sz w:val="20"/>
                <w:szCs w:val="20"/>
              </w:rPr>
              <w:t>Atribuído 0 para Estadual e 1 para Municipal</w:t>
            </w:r>
          </w:p>
        </w:tc>
        <w:tc>
          <w:tcPr>
            <w:tcW w:w="1055" w:type="dxa"/>
            <w:tcBorders>
              <w:top w:val="nil"/>
              <w:left w:val="nil"/>
              <w:bottom w:val="single" w:sz="4" w:space="0" w:color="auto"/>
              <w:right w:val="single" w:sz="4" w:space="0" w:color="auto"/>
            </w:tcBorders>
            <w:shd w:val="clear" w:color="auto" w:fill="auto"/>
            <w:noWrap/>
            <w:vAlign w:val="center"/>
            <w:hideMark/>
          </w:tcPr>
          <w:p w14:paraId="18AB3151" w14:textId="77777777" w:rsidR="0063719B" w:rsidRPr="006F0933" w:rsidRDefault="0063719B" w:rsidP="006F0933">
            <w:pPr>
              <w:spacing w:after="0" w:line="240" w:lineRule="auto"/>
              <w:ind w:firstLine="0"/>
              <w:jc w:val="center"/>
              <w:rPr>
                <w:rFonts w:eastAsia="Times New Roman"/>
                <w:sz w:val="20"/>
                <w:szCs w:val="20"/>
                <w:lang w:val="en-US"/>
              </w:rPr>
            </w:pPr>
            <w:r w:rsidRPr="006F0933">
              <w:rPr>
                <w:rFonts w:eastAsia="Times New Roman"/>
                <w:sz w:val="20"/>
                <w:szCs w:val="20"/>
                <w:lang w:val="en-US"/>
              </w:rPr>
              <w:t>+</w:t>
            </w:r>
          </w:p>
        </w:tc>
      </w:tr>
      <w:tr w:rsidR="0063719B" w:rsidRPr="006F0933" w14:paraId="17708E07" w14:textId="77777777" w:rsidTr="008F2993">
        <w:trPr>
          <w:trHeight w:val="577"/>
          <w:jc w:val="center"/>
        </w:trPr>
        <w:tc>
          <w:tcPr>
            <w:tcW w:w="1950" w:type="dxa"/>
            <w:tcBorders>
              <w:top w:val="nil"/>
              <w:left w:val="single" w:sz="4" w:space="0" w:color="auto"/>
              <w:bottom w:val="single" w:sz="4" w:space="0" w:color="auto"/>
              <w:right w:val="single" w:sz="4" w:space="0" w:color="auto"/>
            </w:tcBorders>
            <w:shd w:val="clear" w:color="auto" w:fill="auto"/>
            <w:noWrap/>
            <w:vAlign w:val="center"/>
            <w:hideMark/>
          </w:tcPr>
          <w:p w14:paraId="73DA6339" w14:textId="77777777" w:rsidR="0063719B" w:rsidRPr="006F0933" w:rsidRDefault="0063719B" w:rsidP="006F0933">
            <w:pPr>
              <w:spacing w:after="0" w:line="240" w:lineRule="auto"/>
              <w:ind w:firstLine="0"/>
              <w:jc w:val="center"/>
              <w:rPr>
                <w:rFonts w:eastAsia="Times New Roman"/>
                <w:sz w:val="20"/>
                <w:szCs w:val="20"/>
                <w:lang w:val="en-US"/>
              </w:rPr>
            </w:pPr>
            <w:r w:rsidRPr="006F0933">
              <w:rPr>
                <w:rFonts w:eastAsia="Times New Roman"/>
                <w:sz w:val="20"/>
                <w:szCs w:val="20"/>
                <w:lang w:val="en-US"/>
              </w:rPr>
              <w:t>Setor de Atuação</w:t>
            </w:r>
          </w:p>
        </w:tc>
        <w:tc>
          <w:tcPr>
            <w:tcW w:w="849" w:type="dxa"/>
            <w:tcBorders>
              <w:top w:val="nil"/>
              <w:left w:val="nil"/>
              <w:bottom w:val="single" w:sz="4" w:space="0" w:color="auto"/>
              <w:right w:val="single" w:sz="4" w:space="0" w:color="auto"/>
            </w:tcBorders>
            <w:shd w:val="clear" w:color="auto" w:fill="auto"/>
            <w:noWrap/>
            <w:vAlign w:val="center"/>
            <w:hideMark/>
          </w:tcPr>
          <w:p w14:paraId="1C1D8968" w14:textId="77777777" w:rsidR="0063719B" w:rsidRPr="006F0933" w:rsidRDefault="0063719B" w:rsidP="006F0933">
            <w:pPr>
              <w:spacing w:after="0" w:line="240" w:lineRule="auto"/>
              <w:ind w:firstLine="0"/>
              <w:jc w:val="center"/>
              <w:rPr>
                <w:rFonts w:eastAsia="Times New Roman"/>
                <w:sz w:val="20"/>
                <w:szCs w:val="20"/>
                <w:lang w:val="en-US"/>
              </w:rPr>
            </w:pPr>
            <w:r w:rsidRPr="006F0933">
              <w:rPr>
                <w:rFonts w:eastAsia="Times New Roman"/>
                <w:sz w:val="20"/>
                <w:szCs w:val="20"/>
                <w:lang w:val="en-US"/>
              </w:rPr>
              <w:t>SETOR</w:t>
            </w:r>
          </w:p>
        </w:tc>
        <w:tc>
          <w:tcPr>
            <w:tcW w:w="2434" w:type="dxa"/>
            <w:tcBorders>
              <w:top w:val="nil"/>
              <w:left w:val="nil"/>
              <w:bottom w:val="single" w:sz="4" w:space="0" w:color="auto"/>
              <w:right w:val="single" w:sz="4" w:space="0" w:color="auto"/>
            </w:tcBorders>
            <w:shd w:val="clear" w:color="auto" w:fill="auto"/>
            <w:vAlign w:val="center"/>
            <w:hideMark/>
          </w:tcPr>
          <w:p w14:paraId="342D0C76" w14:textId="77777777" w:rsidR="0063719B" w:rsidRPr="006F0933" w:rsidRDefault="0063719B" w:rsidP="006F0933">
            <w:pPr>
              <w:spacing w:after="0" w:line="240" w:lineRule="auto"/>
              <w:ind w:firstLine="0"/>
              <w:jc w:val="center"/>
              <w:rPr>
                <w:rFonts w:eastAsia="Times New Roman"/>
                <w:sz w:val="20"/>
                <w:szCs w:val="20"/>
              </w:rPr>
            </w:pPr>
            <w:r w:rsidRPr="006F0933">
              <w:rPr>
                <w:rFonts w:eastAsia="Times New Roman"/>
                <w:sz w:val="20"/>
                <w:szCs w:val="20"/>
              </w:rPr>
              <w:t xml:space="preserve">Variável </w:t>
            </w:r>
            <w:r w:rsidRPr="006F0933">
              <w:rPr>
                <w:rFonts w:eastAsia="Times New Roman"/>
                <w:i/>
                <w:iCs/>
                <w:sz w:val="20"/>
                <w:szCs w:val="20"/>
              </w:rPr>
              <w:t>Dummy,</w:t>
            </w:r>
            <w:r w:rsidRPr="006F0933">
              <w:rPr>
                <w:rFonts w:eastAsia="Times New Roman"/>
                <w:sz w:val="20"/>
                <w:szCs w:val="20"/>
              </w:rPr>
              <w:t xml:space="preserve"> que representa se o setor da empresa é regulado por orgãos específicos.</w:t>
            </w:r>
          </w:p>
        </w:tc>
        <w:tc>
          <w:tcPr>
            <w:tcW w:w="2810" w:type="dxa"/>
            <w:tcBorders>
              <w:top w:val="nil"/>
              <w:left w:val="nil"/>
              <w:bottom w:val="single" w:sz="4" w:space="0" w:color="auto"/>
              <w:right w:val="single" w:sz="4" w:space="0" w:color="auto"/>
            </w:tcBorders>
            <w:shd w:val="clear" w:color="auto" w:fill="auto"/>
            <w:vAlign w:val="center"/>
            <w:hideMark/>
          </w:tcPr>
          <w:p w14:paraId="3F43CEC1" w14:textId="77777777" w:rsidR="0063719B" w:rsidRPr="006F0933" w:rsidRDefault="0063719B" w:rsidP="006F0933">
            <w:pPr>
              <w:spacing w:after="0" w:line="240" w:lineRule="auto"/>
              <w:ind w:firstLine="0"/>
              <w:jc w:val="center"/>
              <w:rPr>
                <w:rFonts w:eastAsia="Times New Roman"/>
                <w:sz w:val="20"/>
                <w:szCs w:val="20"/>
              </w:rPr>
            </w:pPr>
            <w:r w:rsidRPr="006F0933">
              <w:rPr>
                <w:rFonts w:eastAsia="Times New Roman"/>
                <w:sz w:val="20"/>
                <w:szCs w:val="20"/>
              </w:rPr>
              <w:t>Atribuído 0 para Não e 1 para Sim</w:t>
            </w:r>
          </w:p>
        </w:tc>
        <w:tc>
          <w:tcPr>
            <w:tcW w:w="1055" w:type="dxa"/>
            <w:tcBorders>
              <w:top w:val="nil"/>
              <w:left w:val="nil"/>
              <w:bottom w:val="single" w:sz="4" w:space="0" w:color="auto"/>
              <w:right w:val="single" w:sz="4" w:space="0" w:color="auto"/>
            </w:tcBorders>
            <w:shd w:val="clear" w:color="auto" w:fill="auto"/>
            <w:noWrap/>
            <w:vAlign w:val="center"/>
            <w:hideMark/>
          </w:tcPr>
          <w:p w14:paraId="275F8B52" w14:textId="77777777" w:rsidR="0063719B" w:rsidRPr="006F0933" w:rsidRDefault="0063719B" w:rsidP="006F0933">
            <w:pPr>
              <w:spacing w:after="0" w:line="240" w:lineRule="auto"/>
              <w:ind w:firstLine="0"/>
              <w:jc w:val="center"/>
              <w:rPr>
                <w:rFonts w:eastAsia="Times New Roman"/>
                <w:sz w:val="20"/>
                <w:szCs w:val="20"/>
                <w:lang w:val="en-US"/>
              </w:rPr>
            </w:pPr>
            <w:r w:rsidRPr="006F0933">
              <w:rPr>
                <w:rFonts w:eastAsia="Times New Roman"/>
                <w:sz w:val="20"/>
                <w:szCs w:val="20"/>
                <w:lang w:val="en-US"/>
              </w:rPr>
              <w:t>+</w:t>
            </w:r>
          </w:p>
        </w:tc>
      </w:tr>
      <w:tr w:rsidR="0063719B" w:rsidRPr="006F0933" w14:paraId="7A96B961" w14:textId="77777777" w:rsidTr="008F2993">
        <w:trPr>
          <w:trHeight w:val="433"/>
          <w:jc w:val="center"/>
        </w:trPr>
        <w:tc>
          <w:tcPr>
            <w:tcW w:w="1950" w:type="dxa"/>
            <w:tcBorders>
              <w:top w:val="nil"/>
              <w:left w:val="single" w:sz="4" w:space="0" w:color="auto"/>
              <w:bottom w:val="single" w:sz="4" w:space="0" w:color="auto"/>
              <w:right w:val="single" w:sz="4" w:space="0" w:color="auto"/>
            </w:tcBorders>
            <w:shd w:val="clear" w:color="auto" w:fill="auto"/>
            <w:noWrap/>
            <w:vAlign w:val="center"/>
            <w:hideMark/>
          </w:tcPr>
          <w:p w14:paraId="54054FB9" w14:textId="77777777" w:rsidR="0063719B" w:rsidRPr="006F0933" w:rsidRDefault="0063719B" w:rsidP="006F0933">
            <w:pPr>
              <w:spacing w:after="0" w:line="240" w:lineRule="auto"/>
              <w:ind w:firstLine="0"/>
              <w:jc w:val="center"/>
              <w:rPr>
                <w:rFonts w:eastAsia="Times New Roman"/>
                <w:sz w:val="20"/>
                <w:szCs w:val="20"/>
                <w:lang w:val="en-US"/>
              </w:rPr>
            </w:pPr>
            <w:r w:rsidRPr="006F0933">
              <w:rPr>
                <w:rFonts w:eastAsia="Times New Roman"/>
                <w:sz w:val="20"/>
                <w:szCs w:val="20"/>
                <w:lang w:val="en-US"/>
              </w:rPr>
              <w:t>Cíclo Político</w:t>
            </w:r>
          </w:p>
        </w:tc>
        <w:tc>
          <w:tcPr>
            <w:tcW w:w="849" w:type="dxa"/>
            <w:tcBorders>
              <w:top w:val="nil"/>
              <w:left w:val="nil"/>
              <w:bottom w:val="single" w:sz="4" w:space="0" w:color="auto"/>
              <w:right w:val="single" w:sz="4" w:space="0" w:color="auto"/>
            </w:tcBorders>
            <w:shd w:val="clear" w:color="auto" w:fill="auto"/>
            <w:noWrap/>
            <w:vAlign w:val="center"/>
            <w:hideMark/>
          </w:tcPr>
          <w:p w14:paraId="6AD05A59" w14:textId="77777777" w:rsidR="0063719B" w:rsidRPr="006F0933" w:rsidRDefault="0063719B" w:rsidP="006F0933">
            <w:pPr>
              <w:spacing w:after="0" w:line="240" w:lineRule="auto"/>
              <w:ind w:firstLine="0"/>
              <w:jc w:val="center"/>
              <w:rPr>
                <w:rFonts w:eastAsia="Times New Roman"/>
                <w:sz w:val="20"/>
                <w:szCs w:val="20"/>
                <w:lang w:val="en-US"/>
              </w:rPr>
            </w:pPr>
            <w:r w:rsidRPr="006F0933">
              <w:rPr>
                <w:rFonts w:eastAsia="Times New Roman"/>
                <w:sz w:val="20"/>
                <w:szCs w:val="20"/>
                <w:lang w:val="en-US"/>
              </w:rPr>
              <w:t>CICLO</w:t>
            </w:r>
          </w:p>
        </w:tc>
        <w:tc>
          <w:tcPr>
            <w:tcW w:w="2434" w:type="dxa"/>
            <w:tcBorders>
              <w:top w:val="nil"/>
              <w:left w:val="nil"/>
              <w:bottom w:val="single" w:sz="4" w:space="0" w:color="auto"/>
              <w:right w:val="single" w:sz="4" w:space="0" w:color="auto"/>
            </w:tcBorders>
            <w:shd w:val="clear" w:color="auto" w:fill="auto"/>
            <w:vAlign w:val="center"/>
            <w:hideMark/>
          </w:tcPr>
          <w:p w14:paraId="562708FC" w14:textId="77777777" w:rsidR="0063719B" w:rsidRPr="006F0933" w:rsidRDefault="0063719B" w:rsidP="006F0933">
            <w:pPr>
              <w:spacing w:after="0" w:line="240" w:lineRule="auto"/>
              <w:ind w:firstLine="0"/>
              <w:jc w:val="center"/>
              <w:rPr>
                <w:rFonts w:eastAsia="Times New Roman"/>
                <w:sz w:val="20"/>
                <w:szCs w:val="20"/>
              </w:rPr>
            </w:pPr>
            <w:r w:rsidRPr="006F0933">
              <w:rPr>
                <w:rFonts w:eastAsia="Times New Roman"/>
                <w:sz w:val="20"/>
                <w:szCs w:val="20"/>
              </w:rPr>
              <w:t xml:space="preserve">Variável </w:t>
            </w:r>
            <w:r w:rsidRPr="006F0933">
              <w:rPr>
                <w:rFonts w:eastAsia="Times New Roman"/>
                <w:i/>
                <w:iCs/>
                <w:sz w:val="20"/>
                <w:szCs w:val="20"/>
              </w:rPr>
              <w:t>Dummy,</w:t>
            </w:r>
            <w:r w:rsidRPr="006F0933">
              <w:rPr>
                <w:rFonts w:eastAsia="Times New Roman"/>
                <w:sz w:val="20"/>
                <w:szCs w:val="20"/>
              </w:rPr>
              <w:t xml:space="preserve"> que representa se o período é de ciclo político.</w:t>
            </w:r>
          </w:p>
        </w:tc>
        <w:tc>
          <w:tcPr>
            <w:tcW w:w="2810" w:type="dxa"/>
            <w:tcBorders>
              <w:top w:val="nil"/>
              <w:left w:val="nil"/>
              <w:bottom w:val="single" w:sz="4" w:space="0" w:color="auto"/>
              <w:right w:val="single" w:sz="4" w:space="0" w:color="auto"/>
            </w:tcBorders>
            <w:shd w:val="clear" w:color="auto" w:fill="auto"/>
            <w:vAlign w:val="center"/>
            <w:hideMark/>
          </w:tcPr>
          <w:p w14:paraId="329080BE" w14:textId="77777777" w:rsidR="0063719B" w:rsidRPr="006F0933" w:rsidRDefault="0063719B" w:rsidP="006F0933">
            <w:pPr>
              <w:spacing w:after="0" w:line="240" w:lineRule="auto"/>
              <w:ind w:firstLine="0"/>
              <w:jc w:val="center"/>
              <w:rPr>
                <w:rFonts w:eastAsia="Times New Roman"/>
                <w:sz w:val="20"/>
                <w:szCs w:val="20"/>
              </w:rPr>
            </w:pPr>
            <w:r w:rsidRPr="006F0933">
              <w:rPr>
                <w:rFonts w:eastAsia="Times New Roman"/>
                <w:sz w:val="20"/>
                <w:szCs w:val="20"/>
              </w:rPr>
              <w:t>Atribuído 0 para Não e 1 para Sim</w:t>
            </w:r>
          </w:p>
        </w:tc>
        <w:tc>
          <w:tcPr>
            <w:tcW w:w="1055" w:type="dxa"/>
            <w:tcBorders>
              <w:top w:val="nil"/>
              <w:left w:val="nil"/>
              <w:bottom w:val="single" w:sz="4" w:space="0" w:color="auto"/>
              <w:right w:val="single" w:sz="4" w:space="0" w:color="auto"/>
            </w:tcBorders>
            <w:shd w:val="clear" w:color="auto" w:fill="auto"/>
            <w:noWrap/>
            <w:vAlign w:val="center"/>
            <w:hideMark/>
          </w:tcPr>
          <w:p w14:paraId="6CA7C0A7" w14:textId="77777777" w:rsidR="0063719B" w:rsidRPr="006F0933" w:rsidRDefault="0063719B" w:rsidP="006F0933">
            <w:pPr>
              <w:spacing w:after="0" w:line="240" w:lineRule="auto"/>
              <w:ind w:firstLine="0"/>
              <w:jc w:val="center"/>
              <w:rPr>
                <w:rFonts w:eastAsia="Times New Roman"/>
                <w:sz w:val="20"/>
                <w:szCs w:val="20"/>
                <w:lang w:val="en-US"/>
              </w:rPr>
            </w:pPr>
            <w:r w:rsidRPr="006F0933">
              <w:rPr>
                <w:rFonts w:eastAsia="Times New Roman"/>
                <w:sz w:val="20"/>
                <w:szCs w:val="20"/>
                <w:lang w:val="en-US"/>
              </w:rPr>
              <w:t>-</w:t>
            </w:r>
          </w:p>
        </w:tc>
      </w:tr>
      <w:tr w:rsidR="0063719B" w:rsidRPr="006F0933" w14:paraId="2EDDAA65" w14:textId="77777777" w:rsidTr="008F2993">
        <w:trPr>
          <w:trHeight w:val="505"/>
          <w:jc w:val="center"/>
        </w:trPr>
        <w:tc>
          <w:tcPr>
            <w:tcW w:w="1950" w:type="dxa"/>
            <w:tcBorders>
              <w:top w:val="nil"/>
              <w:left w:val="single" w:sz="4" w:space="0" w:color="auto"/>
              <w:bottom w:val="single" w:sz="4" w:space="0" w:color="auto"/>
              <w:right w:val="single" w:sz="4" w:space="0" w:color="auto"/>
            </w:tcBorders>
            <w:shd w:val="clear" w:color="auto" w:fill="auto"/>
            <w:noWrap/>
            <w:vAlign w:val="center"/>
            <w:hideMark/>
          </w:tcPr>
          <w:p w14:paraId="0352C20B" w14:textId="77777777" w:rsidR="0063719B" w:rsidRPr="006F0933" w:rsidRDefault="0063719B" w:rsidP="006F0933">
            <w:pPr>
              <w:spacing w:after="0" w:line="240" w:lineRule="auto"/>
              <w:ind w:firstLine="0"/>
              <w:jc w:val="center"/>
              <w:rPr>
                <w:rFonts w:eastAsia="Times New Roman"/>
                <w:sz w:val="20"/>
                <w:szCs w:val="20"/>
                <w:lang w:val="en-US"/>
              </w:rPr>
            </w:pPr>
            <w:r w:rsidRPr="006F0933">
              <w:rPr>
                <w:rFonts w:eastAsia="Times New Roman"/>
                <w:sz w:val="20"/>
                <w:szCs w:val="20"/>
                <w:lang w:val="en-US"/>
              </w:rPr>
              <w:t>Auditoria Independente</w:t>
            </w:r>
          </w:p>
        </w:tc>
        <w:tc>
          <w:tcPr>
            <w:tcW w:w="849" w:type="dxa"/>
            <w:tcBorders>
              <w:top w:val="nil"/>
              <w:left w:val="nil"/>
              <w:bottom w:val="single" w:sz="4" w:space="0" w:color="auto"/>
              <w:right w:val="single" w:sz="4" w:space="0" w:color="auto"/>
            </w:tcBorders>
            <w:shd w:val="clear" w:color="auto" w:fill="auto"/>
            <w:noWrap/>
            <w:vAlign w:val="center"/>
            <w:hideMark/>
          </w:tcPr>
          <w:p w14:paraId="18EAC098" w14:textId="77777777" w:rsidR="0063719B" w:rsidRPr="006F0933" w:rsidRDefault="0063719B" w:rsidP="006F0933">
            <w:pPr>
              <w:spacing w:after="0" w:line="240" w:lineRule="auto"/>
              <w:ind w:firstLine="0"/>
              <w:jc w:val="center"/>
              <w:rPr>
                <w:rFonts w:eastAsia="Times New Roman"/>
                <w:sz w:val="20"/>
                <w:szCs w:val="20"/>
                <w:lang w:val="en-US"/>
              </w:rPr>
            </w:pPr>
            <w:r w:rsidRPr="006F0933">
              <w:rPr>
                <w:rFonts w:eastAsia="Times New Roman"/>
                <w:sz w:val="20"/>
                <w:szCs w:val="20"/>
                <w:lang w:val="en-US"/>
              </w:rPr>
              <w:t>AUD</w:t>
            </w:r>
          </w:p>
        </w:tc>
        <w:tc>
          <w:tcPr>
            <w:tcW w:w="2434" w:type="dxa"/>
            <w:tcBorders>
              <w:top w:val="nil"/>
              <w:left w:val="nil"/>
              <w:bottom w:val="single" w:sz="4" w:space="0" w:color="auto"/>
              <w:right w:val="single" w:sz="4" w:space="0" w:color="auto"/>
            </w:tcBorders>
            <w:shd w:val="clear" w:color="auto" w:fill="auto"/>
            <w:vAlign w:val="center"/>
            <w:hideMark/>
          </w:tcPr>
          <w:p w14:paraId="00EB3B3A" w14:textId="77777777" w:rsidR="0063719B" w:rsidRPr="006F0933" w:rsidRDefault="0063719B" w:rsidP="006F0933">
            <w:pPr>
              <w:spacing w:after="0" w:line="240" w:lineRule="auto"/>
              <w:ind w:firstLine="0"/>
              <w:jc w:val="center"/>
              <w:rPr>
                <w:rFonts w:eastAsia="Times New Roman"/>
                <w:sz w:val="20"/>
                <w:szCs w:val="20"/>
              </w:rPr>
            </w:pPr>
            <w:r w:rsidRPr="006F0933">
              <w:rPr>
                <w:rFonts w:eastAsia="Times New Roman"/>
                <w:sz w:val="20"/>
                <w:szCs w:val="20"/>
              </w:rPr>
              <w:t xml:space="preserve">Variável </w:t>
            </w:r>
            <w:r w:rsidRPr="006F0933">
              <w:rPr>
                <w:rFonts w:eastAsia="Times New Roman"/>
                <w:i/>
                <w:iCs/>
                <w:sz w:val="20"/>
                <w:szCs w:val="20"/>
              </w:rPr>
              <w:t>Dummy,</w:t>
            </w:r>
            <w:r w:rsidRPr="006F0933">
              <w:rPr>
                <w:rFonts w:eastAsia="Times New Roman"/>
                <w:sz w:val="20"/>
                <w:szCs w:val="20"/>
              </w:rPr>
              <w:t xml:space="preserve"> que representa se a empresa possui auditoria independente.</w:t>
            </w:r>
          </w:p>
        </w:tc>
        <w:tc>
          <w:tcPr>
            <w:tcW w:w="2810" w:type="dxa"/>
            <w:tcBorders>
              <w:top w:val="nil"/>
              <w:left w:val="nil"/>
              <w:bottom w:val="single" w:sz="4" w:space="0" w:color="auto"/>
              <w:right w:val="single" w:sz="4" w:space="0" w:color="auto"/>
            </w:tcBorders>
            <w:shd w:val="clear" w:color="auto" w:fill="auto"/>
            <w:vAlign w:val="center"/>
            <w:hideMark/>
          </w:tcPr>
          <w:p w14:paraId="5B4BC66F" w14:textId="77777777" w:rsidR="0063719B" w:rsidRPr="006F0933" w:rsidRDefault="0063719B" w:rsidP="006F0933">
            <w:pPr>
              <w:spacing w:after="0" w:line="240" w:lineRule="auto"/>
              <w:ind w:firstLine="0"/>
              <w:jc w:val="center"/>
              <w:rPr>
                <w:rFonts w:eastAsia="Times New Roman"/>
                <w:sz w:val="20"/>
                <w:szCs w:val="20"/>
              </w:rPr>
            </w:pPr>
            <w:r w:rsidRPr="006F0933">
              <w:rPr>
                <w:rFonts w:eastAsia="Times New Roman"/>
                <w:sz w:val="20"/>
                <w:szCs w:val="20"/>
              </w:rPr>
              <w:t>Atribuído 0 para Não e 1 para Sim</w:t>
            </w:r>
          </w:p>
        </w:tc>
        <w:tc>
          <w:tcPr>
            <w:tcW w:w="1055" w:type="dxa"/>
            <w:tcBorders>
              <w:top w:val="nil"/>
              <w:left w:val="nil"/>
              <w:bottom w:val="single" w:sz="4" w:space="0" w:color="auto"/>
              <w:right w:val="single" w:sz="4" w:space="0" w:color="auto"/>
            </w:tcBorders>
            <w:shd w:val="clear" w:color="auto" w:fill="auto"/>
            <w:noWrap/>
            <w:vAlign w:val="center"/>
            <w:hideMark/>
          </w:tcPr>
          <w:p w14:paraId="05086A2B" w14:textId="77777777" w:rsidR="0063719B" w:rsidRPr="006F0933" w:rsidRDefault="0063719B" w:rsidP="006F0933">
            <w:pPr>
              <w:spacing w:after="0" w:line="240" w:lineRule="auto"/>
              <w:ind w:firstLine="0"/>
              <w:jc w:val="center"/>
              <w:rPr>
                <w:rFonts w:eastAsia="Times New Roman"/>
                <w:sz w:val="20"/>
                <w:szCs w:val="20"/>
                <w:lang w:val="en-US"/>
              </w:rPr>
            </w:pPr>
            <w:r w:rsidRPr="006F0933">
              <w:rPr>
                <w:rFonts w:eastAsia="Times New Roman"/>
                <w:sz w:val="20"/>
                <w:szCs w:val="20"/>
                <w:lang w:val="en-US"/>
              </w:rPr>
              <w:t>+</w:t>
            </w:r>
          </w:p>
        </w:tc>
      </w:tr>
    </w:tbl>
    <w:p w14:paraId="08DEB611" w14:textId="77777777" w:rsidR="0063719B" w:rsidRPr="00E656E3" w:rsidRDefault="0063719B" w:rsidP="00E240B6">
      <w:pPr>
        <w:ind w:firstLine="0"/>
        <w:jc w:val="left"/>
        <w:rPr>
          <w:szCs w:val="24"/>
        </w:rPr>
      </w:pPr>
      <w:r w:rsidRPr="00E656E3">
        <w:rPr>
          <w:szCs w:val="24"/>
        </w:rPr>
        <w:t>Fonte: Dados da pesquisa. Org.: MACHADO, R. F. 2014.</w:t>
      </w:r>
    </w:p>
    <w:p w14:paraId="61C5D002" w14:textId="5F557B4D" w:rsidR="0063719B" w:rsidRDefault="0063719B" w:rsidP="00E240B6">
      <w:pPr>
        <w:spacing w:after="0"/>
        <w:ind w:firstLine="0"/>
        <w:rPr>
          <w:szCs w:val="24"/>
        </w:rPr>
      </w:pPr>
      <w:r w:rsidRPr="00E656E3">
        <w:rPr>
          <w:szCs w:val="24"/>
        </w:rPr>
        <w:lastRenderedPageBreak/>
        <w:tab/>
      </w:r>
      <w:r w:rsidR="005E3553" w:rsidRPr="00E656E3">
        <w:rPr>
          <w:szCs w:val="24"/>
        </w:rPr>
        <w:t>Os modelos</w:t>
      </w:r>
      <w:r w:rsidR="00081EB1">
        <w:rPr>
          <w:szCs w:val="24"/>
        </w:rPr>
        <w:t xml:space="preserve"> econométricos</w:t>
      </w:r>
      <w:r w:rsidR="00F34D9A" w:rsidRPr="005E3553">
        <w:rPr>
          <w:szCs w:val="24"/>
        </w:rPr>
        <w:t xml:space="preserve"> para detecção da suavização de resultados contábeis utilizados na pesquisa </w:t>
      </w:r>
      <w:r w:rsidRPr="005E3553">
        <w:rPr>
          <w:szCs w:val="24"/>
        </w:rPr>
        <w:t>usad</w:t>
      </w:r>
      <w:r w:rsidRPr="00E656E3">
        <w:rPr>
          <w:szCs w:val="24"/>
        </w:rPr>
        <w:t xml:space="preserve">os na pesquisa têm por objetivo ajudar a compreender a suavização de resultados como possível explicação para os níveis de divulgação compulsória em </w:t>
      </w:r>
      <w:r w:rsidR="002C5D2D" w:rsidRPr="00E656E3">
        <w:rPr>
          <w:szCs w:val="24"/>
        </w:rPr>
        <w:t>Empresas de Economia Mista</w:t>
      </w:r>
      <w:r w:rsidRPr="00E656E3">
        <w:rPr>
          <w:szCs w:val="24"/>
        </w:rPr>
        <w:t xml:space="preserve"> do Estado do Paraná. </w:t>
      </w:r>
    </w:p>
    <w:p w14:paraId="7CC9CD57" w14:textId="77777777" w:rsidR="006F0933" w:rsidRPr="00E656E3" w:rsidRDefault="006F0933" w:rsidP="00E240B6">
      <w:pPr>
        <w:spacing w:after="0"/>
        <w:ind w:firstLine="0"/>
        <w:rPr>
          <w:szCs w:val="24"/>
        </w:rPr>
      </w:pPr>
    </w:p>
    <w:p w14:paraId="64D78308" w14:textId="4F6CDF1D" w:rsidR="0063719B" w:rsidRPr="006F0933" w:rsidRDefault="0063719B" w:rsidP="006F0933">
      <w:pPr>
        <w:spacing w:after="0"/>
        <w:ind w:firstLine="0"/>
        <w:jc w:val="center"/>
        <w:rPr>
          <w:sz w:val="20"/>
          <w:szCs w:val="20"/>
          <w:vertAlign w:val="subscript"/>
        </w:rPr>
      </w:pPr>
      <w:r w:rsidRPr="006F0933">
        <w:rPr>
          <w:sz w:val="20"/>
          <w:szCs w:val="20"/>
        </w:rPr>
        <w:t>IDC= β</w:t>
      </w:r>
      <w:r w:rsidRPr="006F0933">
        <w:rPr>
          <w:sz w:val="20"/>
          <w:szCs w:val="20"/>
          <w:vertAlign w:val="subscript"/>
        </w:rPr>
        <w:t xml:space="preserve">0 </w:t>
      </w:r>
      <w:r w:rsidRPr="006F0933">
        <w:rPr>
          <w:sz w:val="20"/>
          <w:szCs w:val="20"/>
        </w:rPr>
        <w:t>+ β</w:t>
      </w:r>
      <w:r w:rsidRPr="006F0933">
        <w:rPr>
          <w:sz w:val="20"/>
          <w:szCs w:val="20"/>
          <w:vertAlign w:val="subscript"/>
        </w:rPr>
        <w:t>1</w:t>
      </w:r>
      <w:r w:rsidRPr="006F0933">
        <w:rPr>
          <w:sz w:val="20"/>
          <w:szCs w:val="20"/>
        </w:rPr>
        <w:t>ISE + β</w:t>
      </w:r>
      <w:r w:rsidRPr="006F0933">
        <w:rPr>
          <w:sz w:val="20"/>
          <w:szCs w:val="20"/>
          <w:vertAlign w:val="subscript"/>
        </w:rPr>
        <w:t xml:space="preserve">2 </w:t>
      </w:r>
      <w:r w:rsidRPr="006F0933">
        <w:rPr>
          <w:sz w:val="20"/>
          <w:szCs w:val="20"/>
        </w:rPr>
        <w:t>ROA + β</w:t>
      </w:r>
      <w:r w:rsidRPr="006F0933">
        <w:rPr>
          <w:sz w:val="20"/>
          <w:szCs w:val="20"/>
          <w:vertAlign w:val="subscript"/>
        </w:rPr>
        <w:t xml:space="preserve">3 </w:t>
      </w:r>
      <w:r w:rsidRPr="006F0933">
        <w:rPr>
          <w:sz w:val="20"/>
          <w:szCs w:val="20"/>
        </w:rPr>
        <w:t>ALAV + β</w:t>
      </w:r>
      <w:r w:rsidRPr="006F0933">
        <w:rPr>
          <w:sz w:val="20"/>
          <w:szCs w:val="20"/>
          <w:vertAlign w:val="subscript"/>
        </w:rPr>
        <w:t xml:space="preserve">4 </w:t>
      </w:r>
      <w:r w:rsidRPr="006F0933">
        <w:rPr>
          <w:sz w:val="20"/>
          <w:szCs w:val="20"/>
        </w:rPr>
        <w:t>TAM + β</w:t>
      </w:r>
      <w:r w:rsidRPr="006F0933">
        <w:rPr>
          <w:sz w:val="20"/>
          <w:szCs w:val="20"/>
          <w:vertAlign w:val="subscript"/>
        </w:rPr>
        <w:t xml:space="preserve">5 </w:t>
      </w:r>
      <w:r w:rsidRPr="006F0933">
        <w:rPr>
          <w:sz w:val="20"/>
          <w:szCs w:val="20"/>
        </w:rPr>
        <w:t>GOV + β</w:t>
      </w:r>
      <w:r w:rsidRPr="006F0933">
        <w:rPr>
          <w:sz w:val="20"/>
          <w:szCs w:val="20"/>
          <w:vertAlign w:val="subscript"/>
        </w:rPr>
        <w:t xml:space="preserve">6 </w:t>
      </w:r>
      <w:r w:rsidRPr="006F0933">
        <w:rPr>
          <w:sz w:val="20"/>
          <w:szCs w:val="20"/>
        </w:rPr>
        <w:t>SETOR + β</w:t>
      </w:r>
      <w:r w:rsidRPr="006F0933">
        <w:rPr>
          <w:sz w:val="20"/>
          <w:szCs w:val="20"/>
          <w:vertAlign w:val="subscript"/>
        </w:rPr>
        <w:t xml:space="preserve">7 </w:t>
      </w:r>
      <w:r w:rsidRPr="006F0933">
        <w:rPr>
          <w:sz w:val="20"/>
          <w:szCs w:val="20"/>
        </w:rPr>
        <w:t>CICLO + β</w:t>
      </w:r>
      <w:r w:rsidRPr="006F0933">
        <w:rPr>
          <w:sz w:val="20"/>
          <w:szCs w:val="20"/>
          <w:vertAlign w:val="subscript"/>
        </w:rPr>
        <w:t xml:space="preserve">8 </w:t>
      </w:r>
      <w:r w:rsidRPr="006F0933">
        <w:rPr>
          <w:sz w:val="20"/>
          <w:szCs w:val="20"/>
        </w:rPr>
        <w:t>AUD + ε</w:t>
      </w:r>
      <w:r w:rsidRPr="006F0933">
        <w:rPr>
          <w:sz w:val="20"/>
          <w:szCs w:val="20"/>
          <w:vertAlign w:val="subscript"/>
        </w:rPr>
        <w:t>it</w:t>
      </w:r>
      <w:r w:rsidR="009E3A92">
        <w:rPr>
          <w:sz w:val="20"/>
          <w:szCs w:val="20"/>
          <w:vertAlign w:val="subscript"/>
        </w:rPr>
        <w:t xml:space="preserve">    </w:t>
      </w:r>
      <w:r w:rsidRPr="006F0933">
        <w:rPr>
          <w:sz w:val="20"/>
          <w:szCs w:val="20"/>
          <w:vertAlign w:val="subscript"/>
        </w:rPr>
        <w:t xml:space="preserve">   </w:t>
      </w:r>
      <w:r w:rsidRPr="009E3A92">
        <w:rPr>
          <w:szCs w:val="24"/>
          <w:vertAlign w:val="subscript"/>
        </w:rPr>
        <w:t xml:space="preserve"> </w:t>
      </w:r>
      <w:r w:rsidR="009E3A92">
        <w:rPr>
          <w:szCs w:val="24"/>
          <w:vertAlign w:val="subscript"/>
        </w:rPr>
        <w:t xml:space="preserve">     </w:t>
      </w:r>
      <w:r w:rsidRPr="009E3A92">
        <w:rPr>
          <w:sz w:val="20"/>
          <w:szCs w:val="20"/>
        </w:rPr>
        <w:t>(</w:t>
      </w:r>
      <w:r w:rsidR="006C63EB">
        <w:rPr>
          <w:sz w:val="20"/>
          <w:szCs w:val="20"/>
        </w:rPr>
        <w:t>4</w:t>
      </w:r>
      <w:r w:rsidRPr="009E3A92">
        <w:rPr>
          <w:sz w:val="20"/>
          <w:szCs w:val="20"/>
        </w:rPr>
        <w:t>)</w:t>
      </w:r>
    </w:p>
    <w:p w14:paraId="3ACAB0A2" w14:textId="1C7FAE91" w:rsidR="0063719B" w:rsidRPr="006F0933" w:rsidRDefault="0063719B" w:rsidP="009E3A92">
      <w:pPr>
        <w:spacing w:after="0"/>
        <w:ind w:firstLine="0"/>
        <w:jc w:val="center"/>
        <w:rPr>
          <w:sz w:val="20"/>
          <w:szCs w:val="20"/>
          <w:vertAlign w:val="subscript"/>
        </w:rPr>
      </w:pPr>
      <w:r w:rsidRPr="006F0933">
        <w:rPr>
          <w:sz w:val="20"/>
          <w:szCs w:val="20"/>
        </w:rPr>
        <w:t>IDC= β</w:t>
      </w:r>
      <w:r w:rsidRPr="006F0933">
        <w:rPr>
          <w:sz w:val="20"/>
          <w:szCs w:val="20"/>
          <w:vertAlign w:val="subscript"/>
        </w:rPr>
        <w:t xml:space="preserve">0 </w:t>
      </w:r>
      <w:r w:rsidRPr="006F0933">
        <w:rPr>
          <w:sz w:val="20"/>
          <w:szCs w:val="20"/>
        </w:rPr>
        <w:t>+ β</w:t>
      </w:r>
      <w:r w:rsidRPr="006F0933">
        <w:rPr>
          <w:sz w:val="20"/>
          <w:szCs w:val="20"/>
          <w:vertAlign w:val="subscript"/>
        </w:rPr>
        <w:t xml:space="preserve">1 </w:t>
      </w:r>
      <w:r w:rsidRPr="006F0933">
        <w:rPr>
          <w:sz w:val="20"/>
          <w:szCs w:val="20"/>
        </w:rPr>
        <w:t>EM1 + β</w:t>
      </w:r>
      <w:r w:rsidRPr="006F0933">
        <w:rPr>
          <w:sz w:val="20"/>
          <w:szCs w:val="20"/>
          <w:vertAlign w:val="subscript"/>
        </w:rPr>
        <w:t xml:space="preserve">2 </w:t>
      </w:r>
      <w:r w:rsidRPr="006F0933">
        <w:rPr>
          <w:sz w:val="20"/>
          <w:szCs w:val="20"/>
        </w:rPr>
        <w:t>ROA + β</w:t>
      </w:r>
      <w:r w:rsidRPr="006F0933">
        <w:rPr>
          <w:sz w:val="20"/>
          <w:szCs w:val="20"/>
          <w:vertAlign w:val="subscript"/>
        </w:rPr>
        <w:t xml:space="preserve">3 </w:t>
      </w:r>
      <w:r w:rsidRPr="006F0933">
        <w:rPr>
          <w:sz w:val="20"/>
          <w:szCs w:val="20"/>
        </w:rPr>
        <w:t>ALAV + β</w:t>
      </w:r>
      <w:r w:rsidRPr="006F0933">
        <w:rPr>
          <w:sz w:val="20"/>
          <w:szCs w:val="20"/>
          <w:vertAlign w:val="subscript"/>
        </w:rPr>
        <w:t xml:space="preserve">4 </w:t>
      </w:r>
      <w:r w:rsidRPr="006F0933">
        <w:rPr>
          <w:sz w:val="20"/>
          <w:szCs w:val="20"/>
        </w:rPr>
        <w:t>TAM + β</w:t>
      </w:r>
      <w:r w:rsidRPr="006F0933">
        <w:rPr>
          <w:sz w:val="20"/>
          <w:szCs w:val="20"/>
          <w:vertAlign w:val="subscript"/>
        </w:rPr>
        <w:t xml:space="preserve">5 </w:t>
      </w:r>
      <w:r w:rsidRPr="006F0933">
        <w:rPr>
          <w:sz w:val="20"/>
          <w:szCs w:val="20"/>
        </w:rPr>
        <w:t>GOV + β</w:t>
      </w:r>
      <w:r w:rsidRPr="006F0933">
        <w:rPr>
          <w:sz w:val="20"/>
          <w:szCs w:val="20"/>
          <w:vertAlign w:val="subscript"/>
        </w:rPr>
        <w:t xml:space="preserve">6 </w:t>
      </w:r>
      <w:r w:rsidRPr="006F0933">
        <w:rPr>
          <w:sz w:val="20"/>
          <w:szCs w:val="20"/>
        </w:rPr>
        <w:t>SETOR + β</w:t>
      </w:r>
      <w:r w:rsidRPr="006F0933">
        <w:rPr>
          <w:sz w:val="20"/>
          <w:szCs w:val="20"/>
          <w:vertAlign w:val="subscript"/>
        </w:rPr>
        <w:t xml:space="preserve">7 </w:t>
      </w:r>
      <w:r w:rsidRPr="006F0933">
        <w:rPr>
          <w:sz w:val="20"/>
          <w:szCs w:val="20"/>
        </w:rPr>
        <w:t>CICLO + β</w:t>
      </w:r>
      <w:r w:rsidRPr="006F0933">
        <w:rPr>
          <w:sz w:val="20"/>
          <w:szCs w:val="20"/>
          <w:vertAlign w:val="subscript"/>
        </w:rPr>
        <w:t xml:space="preserve">8 </w:t>
      </w:r>
      <w:r w:rsidRPr="006F0933">
        <w:rPr>
          <w:sz w:val="20"/>
          <w:szCs w:val="20"/>
        </w:rPr>
        <w:t>AUD + ε</w:t>
      </w:r>
      <w:r w:rsidRPr="006F0933">
        <w:rPr>
          <w:sz w:val="20"/>
          <w:szCs w:val="20"/>
          <w:vertAlign w:val="subscript"/>
        </w:rPr>
        <w:t xml:space="preserve">it </w:t>
      </w:r>
      <w:r w:rsidR="009E3A92">
        <w:rPr>
          <w:sz w:val="20"/>
          <w:szCs w:val="20"/>
          <w:vertAlign w:val="subscript"/>
        </w:rPr>
        <w:t xml:space="preserve">        </w:t>
      </w:r>
      <w:r w:rsidRPr="006F0933">
        <w:rPr>
          <w:sz w:val="20"/>
          <w:szCs w:val="20"/>
          <w:vertAlign w:val="subscript"/>
        </w:rPr>
        <w:t xml:space="preserve"> </w:t>
      </w:r>
      <w:r w:rsidRPr="009E3A92">
        <w:rPr>
          <w:sz w:val="20"/>
          <w:szCs w:val="20"/>
        </w:rPr>
        <w:t>(</w:t>
      </w:r>
      <w:r w:rsidR="006C63EB">
        <w:rPr>
          <w:sz w:val="20"/>
          <w:szCs w:val="20"/>
        </w:rPr>
        <w:t>5</w:t>
      </w:r>
      <w:r w:rsidRPr="009E3A92">
        <w:rPr>
          <w:sz w:val="20"/>
          <w:szCs w:val="20"/>
        </w:rPr>
        <w:t>)</w:t>
      </w:r>
    </w:p>
    <w:p w14:paraId="0CE711D1" w14:textId="09B2316E" w:rsidR="0063719B" w:rsidRPr="006F0933" w:rsidRDefault="0063719B" w:rsidP="009E3A92">
      <w:pPr>
        <w:spacing w:after="0"/>
        <w:ind w:firstLine="0"/>
        <w:jc w:val="center"/>
        <w:rPr>
          <w:sz w:val="20"/>
          <w:szCs w:val="20"/>
        </w:rPr>
      </w:pPr>
      <w:r w:rsidRPr="006F0933">
        <w:rPr>
          <w:sz w:val="20"/>
          <w:szCs w:val="20"/>
        </w:rPr>
        <w:t>IDC= β</w:t>
      </w:r>
      <w:r w:rsidRPr="006F0933">
        <w:rPr>
          <w:sz w:val="20"/>
          <w:szCs w:val="20"/>
          <w:vertAlign w:val="subscript"/>
        </w:rPr>
        <w:t xml:space="preserve">0 </w:t>
      </w:r>
      <w:r w:rsidRPr="006F0933">
        <w:rPr>
          <w:sz w:val="20"/>
          <w:szCs w:val="20"/>
        </w:rPr>
        <w:t>+ β</w:t>
      </w:r>
      <w:r w:rsidRPr="006F0933">
        <w:rPr>
          <w:sz w:val="20"/>
          <w:szCs w:val="20"/>
          <w:vertAlign w:val="subscript"/>
        </w:rPr>
        <w:t xml:space="preserve">1 </w:t>
      </w:r>
      <w:r w:rsidRPr="006F0933">
        <w:rPr>
          <w:sz w:val="20"/>
          <w:szCs w:val="20"/>
        </w:rPr>
        <w:t>EM3 + β</w:t>
      </w:r>
      <w:r w:rsidRPr="006F0933">
        <w:rPr>
          <w:sz w:val="20"/>
          <w:szCs w:val="20"/>
          <w:vertAlign w:val="subscript"/>
        </w:rPr>
        <w:t xml:space="preserve">2 </w:t>
      </w:r>
      <w:r w:rsidRPr="006F0933">
        <w:rPr>
          <w:sz w:val="20"/>
          <w:szCs w:val="20"/>
        </w:rPr>
        <w:t>ROA + β</w:t>
      </w:r>
      <w:r w:rsidRPr="006F0933">
        <w:rPr>
          <w:sz w:val="20"/>
          <w:szCs w:val="20"/>
          <w:vertAlign w:val="subscript"/>
        </w:rPr>
        <w:t xml:space="preserve">3 </w:t>
      </w:r>
      <w:r w:rsidRPr="006F0933">
        <w:rPr>
          <w:sz w:val="20"/>
          <w:szCs w:val="20"/>
        </w:rPr>
        <w:t>ALAV + β</w:t>
      </w:r>
      <w:r w:rsidRPr="006F0933">
        <w:rPr>
          <w:sz w:val="20"/>
          <w:szCs w:val="20"/>
          <w:vertAlign w:val="subscript"/>
        </w:rPr>
        <w:t xml:space="preserve">4 </w:t>
      </w:r>
      <w:r w:rsidRPr="006F0933">
        <w:rPr>
          <w:sz w:val="20"/>
          <w:szCs w:val="20"/>
        </w:rPr>
        <w:t>TAM + β</w:t>
      </w:r>
      <w:r w:rsidRPr="006F0933">
        <w:rPr>
          <w:sz w:val="20"/>
          <w:szCs w:val="20"/>
          <w:vertAlign w:val="subscript"/>
        </w:rPr>
        <w:t xml:space="preserve">5 </w:t>
      </w:r>
      <w:r w:rsidRPr="006F0933">
        <w:rPr>
          <w:sz w:val="20"/>
          <w:szCs w:val="20"/>
        </w:rPr>
        <w:t>GOV + β</w:t>
      </w:r>
      <w:r w:rsidRPr="006F0933">
        <w:rPr>
          <w:sz w:val="20"/>
          <w:szCs w:val="20"/>
          <w:vertAlign w:val="subscript"/>
        </w:rPr>
        <w:t xml:space="preserve">6 </w:t>
      </w:r>
      <w:r w:rsidRPr="006F0933">
        <w:rPr>
          <w:sz w:val="20"/>
          <w:szCs w:val="20"/>
        </w:rPr>
        <w:t>SETOR + β</w:t>
      </w:r>
      <w:r w:rsidRPr="006F0933">
        <w:rPr>
          <w:sz w:val="20"/>
          <w:szCs w:val="20"/>
          <w:vertAlign w:val="subscript"/>
        </w:rPr>
        <w:t xml:space="preserve">7 </w:t>
      </w:r>
      <w:r w:rsidRPr="006F0933">
        <w:rPr>
          <w:sz w:val="20"/>
          <w:szCs w:val="20"/>
        </w:rPr>
        <w:t>CICLO + β</w:t>
      </w:r>
      <w:r w:rsidRPr="006F0933">
        <w:rPr>
          <w:sz w:val="20"/>
          <w:szCs w:val="20"/>
          <w:vertAlign w:val="subscript"/>
        </w:rPr>
        <w:t xml:space="preserve">8 </w:t>
      </w:r>
      <w:r w:rsidRPr="006F0933">
        <w:rPr>
          <w:sz w:val="20"/>
          <w:szCs w:val="20"/>
        </w:rPr>
        <w:t>AUD + ε</w:t>
      </w:r>
      <w:r w:rsidRPr="006F0933">
        <w:rPr>
          <w:sz w:val="20"/>
          <w:szCs w:val="20"/>
          <w:vertAlign w:val="subscript"/>
        </w:rPr>
        <w:t xml:space="preserve">it  </w:t>
      </w:r>
      <w:r w:rsidR="009E3A92">
        <w:rPr>
          <w:sz w:val="20"/>
          <w:szCs w:val="20"/>
          <w:vertAlign w:val="subscript"/>
        </w:rPr>
        <w:t xml:space="preserve">        </w:t>
      </w:r>
      <w:r w:rsidRPr="009E3A92">
        <w:rPr>
          <w:sz w:val="20"/>
          <w:szCs w:val="20"/>
        </w:rPr>
        <w:t>(</w:t>
      </w:r>
      <w:r w:rsidR="006C63EB">
        <w:rPr>
          <w:sz w:val="20"/>
          <w:szCs w:val="20"/>
        </w:rPr>
        <w:t>6</w:t>
      </w:r>
      <w:r w:rsidRPr="009E3A92">
        <w:rPr>
          <w:sz w:val="20"/>
          <w:szCs w:val="20"/>
        </w:rPr>
        <w:t>)</w:t>
      </w:r>
    </w:p>
    <w:p w14:paraId="17A34609" w14:textId="77777777" w:rsidR="006F0933" w:rsidRDefault="006F0933" w:rsidP="00E240B6">
      <w:pPr>
        <w:spacing w:after="0"/>
        <w:ind w:firstLine="0"/>
        <w:rPr>
          <w:szCs w:val="24"/>
        </w:rPr>
      </w:pPr>
    </w:p>
    <w:p w14:paraId="347CD124" w14:textId="6B372C23" w:rsidR="0063719B" w:rsidRPr="00E656E3" w:rsidRDefault="0063719B" w:rsidP="00C23D69">
      <w:pPr>
        <w:spacing w:after="0"/>
        <w:ind w:firstLine="0"/>
        <w:rPr>
          <w:szCs w:val="24"/>
        </w:rPr>
      </w:pPr>
      <w:r w:rsidRPr="00E656E3">
        <w:rPr>
          <w:szCs w:val="24"/>
        </w:rPr>
        <w:t>Em que,</w:t>
      </w:r>
      <w:r w:rsidR="00AC7FB8" w:rsidRPr="00AC7FB8">
        <w:rPr>
          <w:szCs w:val="24"/>
        </w:rPr>
        <w:t xml:space="preserve"> </w:t>
      </w:r>
      <w:r w:rsidR="00AC7FB8" w:rsidRPr="00E656E3">
        <w:rPr>
          <w:szCs w:val="24"/>
        </w:rPr>
        <w:t>IDC = Índice de Divulgação Compulsória;</w:t>
      </w:r>
      <w:r w:rsidR="00AC7FB8" w:rsidRPr="00AC7FB8">
        <w:rPr>
          <w:szCs w:val="24"/>
        </w:rPr>
        <w:t xml:space="preserve"> </w:t>
      </w:r>
      <w:r w:rsidR="00AC7FB8" w:rsidRPr="00E656E3">
        <w:rPr>
          <w:szCs w:val="24"/>
        </w:rPr>
        <w:t>ISE = Índice de Suavização de Eckel (1981);</w:t>
      </w:r>
      <w:r w:rsidR="00AC7FB8" w:rsidRPr="00AC7FB8">
        <w:rPr>
          <w:szCs w:val="24"/>
        </w:rPr>
        <w:t xml:space="preserve"> </w:t>
      </w:r>
      <w:r w:rsidR="00AC7FB8" w:rsidRPr="00E656E3">
        <w:rPr>
          <w:szCs w:val="24"/>
        </w:rPr>
        <w:t>EM1, EM3 = Métrica de Suavização de Leuz, Nanda, Wysocki (2003);</w:t>
      </w:r>
      <w:r w:rsidR="00AC7FB8" w:rsidRPr="00AC7FB8">
        <w:rPr>
          <w:szCs w:val="24"/>
        </w:rPr>
        <w:t xml:space="preserve"> </w:t>
      </w:r>
      <w:r w:rsidR="00AC7FB8" w:rsidRPr="00E656E3">
        <w:rPr>
          <w:szCs w:val="24"/>
        </w:rPr>
        <w:t>ROA = Desempenho da empresa, representado pelo Retorno do Ativo;</w:t>
      </w:r>
      <w:r w:rsidR="00AC7FB8" w:rsidRPr="00AC7FB8">
        <w:rPr>
          <w:szCs w:val="24"/>
        </w:rPr>
        <w:t xml:space="preserve"> </w:t>
      </w:r>
      <w:r w:rsidR="00AC7FB8" w:rsidRPr="00E656E3">
        <w:rPr>
          <w:szCs w:val="24"/>
        </w:rPr>
        <w:t>ALAV= Alavancagem;</w:t>
      </w:r>
      <w:r w:rsidR="00AC7FB8" w:rsidRPr="00AC7FB8">
        <w:rPr>
          <w:szCs w:val="24"/>
        </w:rPr>
        <w:t xml:space="preserve"> </w:t>
      </w:r>
      <w:r w:rsidR="00AC7FB8" w:rsidRPr="00E656E3">
        <w:rPr>
          <w:szCs w:val="24"/>
        </w:rPr>
        <w:t>TAM= Tamanho da Empresa;</w:t>
      </w:r>
      <w:r w:rsidR="00AC7FB8">
        <w:rPr>
          <w:szCs w:val="24"/>
        </w:rPr>
        <w:t xml:space="preserve"> </w:t>
      </w:r>
      <w:r w:rsidR="00AC7FB8" w:rsidRPr="00E656E3">
        <w:rPr>
          <w:szCs w:val="24"/>
        </w:rPr>
        <w:t>GOV= Esfera de Governo;</w:t>
      </w:r>
      <w:r w:rsidR="00AC7FB8">
        <w:rPr>
          <w:szCs w:val="24"/>
        </w:rPr>
        <w:t xml:space="preserve"> </w:t>
      </w:r>
      <w:r w:rsidR="00AC7FB8" w:rsidRPr="00E656E3">
        <w:rPr>
          <w:szCs w:val="24"/>
        </w:rPr>
        <w:t>SETOR = Setor Regulado;</w:t>
      </w:r>
      <w:r w:rsidR="00AC7FB8">
        <w:rPr>
          <w:szCs w:val="24"/>
        </w:rPr>
        <w:t xml:space="preserve"> </w:t>
      </w:r>
      <w:r w:rsidR="00AC7FB8" w:rsidRPr="00E656E3">
        <w:rPr>
          <w:szCs w:val="24"/>
        </w:rPr>
        <w:t>CICLO = Período de Ciclo Político;</w:t>
      </w:r>
      <w:r w:rsidR="00AC7FB8">
        <w:rPr>
          <w:szCs w:val="24"/>
        </w:rPr>
        <w:t xml:space="preserve"> </w:t>
      </w:r>
      <w:r w:rsidR="00AC7FB8" w:rsidRPr="00E656E3">
        <w:rPr>
          <w:szCs w:val="24"/>
        </w:rPr>
        <w:t xml:space="preserve">AUD = Auditoria </w:t>
      </w:r>
    </w:p>
    <w:p w14:paraId="32D0FCFB" w14:textId="38C63265" w:rsidR="003100AE" w:rsidRPr="00E656E3" w:rsidRDefault="0063719B" w:rsidP="00E240B6">
      <w:pPr>
        <w:ind w:firstLine="0"/>
        <w:rPr>
          <w:szCs w:val="24"/>
        </w:rPr>
      </w:pPr>
      <w:r w:rsidRPr="00E656E3">
        <w:rPr>
          <w:szCs w:val="24"/>
        </w:rPr>
        <w:tab/>
        <w:t xml:space="preserve">Os modelos econométricos foram elaborados com base nas possíveis associações teóricas entre as variáveis independentes e de controle com a variável dependente. </w:t>
      </w:r>
      <w:bookmarkStart w:id="18" w:name="_Toc411452235"/>
      <w:bookmarkStart w:id="19" w:name="_Toc411461687"/>
      <w:r w:rsidR="00B67784" w:rsidRPr="00E656E3">
        <w:rPr>
          <w:szCs w:val="24"/>
        </w:rPr>
        <w:t xml:space="preserve">O objetivo </w:t>
      </w:r>
      <w:r w:rsidR="00A22A27">
        <w:rPr>
          <w:szCs w:val="24"/>
        </w:rPr>
        <w:t xml:space="preserve">foi </w:t>
      </w:r>
      <w:r w:rsidR="00A22A27" w:rsidRPr="00E656E3">
        <w:rPr>
          <w:szCs w:val="24"/>
        </w:rPr>
        <w:t>testar</w:t>
      </w:r>
      <w:r w:rsidR="00B67784" w:rsidRPr="00E656E3">
        <w:rPr>
          <w:szCs w:val="24"/>
        </w:rPr>
        <w:t xml:space="preserve"> a </w:t>
      </w:r>
      <w:r w:rsidR="00F34D9A">
        <w:rPr>
          <w:szCs w:val="24"/>
        </w:rPr>
        <w:t xml:space="preserve">seguinte </w:t>
      </w:r>
      <w:r w:rsidR="00B67784" w:rsidRPr="00E656E3">
        <w:rPr>
          <w:szCs w:val="24"/>
        </w:rPr>
        <w:t>hipótese estatística:</w:t>
      </w:r>
    </w:p>
    <w:p w14:paraId="1685F8D6" w14:textId="6974EFF3" w:rsidR="00B67784" w:rsidRDefault="00B67784" w:rsidP="006F0933">
      <w:pPr>
        <w:spacing w:after="0"/>
        <w:ind w:firstLine="0"/>
        <w:rPr>
          <w:szCs w:val="24"/>
        </w:rPr>
      </w:pPr>
      <w:r w:rsidRPr="00E656E3">
        <w:rPr>
          <w:b/>
          <w:szCs w:val="24"/>
        </w:rPr>
        <w:t>H1: Quanto maior o nível de suavização de resultados maior o índice de divulgação compulsória</w:t>
      </w:r>
      <w:r w:rsidR="00DC4473">
        <w:rPr>
          <w:b/>
          <w:szCs w:val="24"/>
        </w:rPr>
        <w:t>.</w:t>
      </w:r>
      <w:r w:rsidRPr="00E656E3">
        <w:rPr>
          <w:szCs w:val="24"/>
        </w:rPr>
        <w:tab/>
      </w:r>
    </w:p>
    <w:p w14:paraId="2CA7E071" w14:textId="77777777" w:rsidR="006D7B41" w:rsidRPr="006F0933" w:rsidRDefault="006D7B41" w:rsidP="006F0933">
      <w:pPr>
        <w:spacing w:after="0"/>
        <w:ind w:firstLine="0"/>
        <w:rPr>
          <w:b/>
          <w:szCs w:val="24"/>
        </w:rPr>
      </w:pPr>
    </w:p>
    <w:p w14:paraId="3F5A1974" w14:textId="77777777" w:rsidR="00F24669" w:rsidRPr="006F0933" w:rsidRDefault="006F0933" w:rsidP="00E240B6">
      <w:pPr>
        <w:pStyle w:val="Ttulo1"/>
        <w:numPr>
          <w:ilvl w:val="0"/>
          <w:numId w:val="0"/>
        </w:numPr>
        <w:spacing w:after="0" w:line="360" w:lineRule="auto"/>
        <w:rPr>
          <w:b w:val="0"/>
          <w:szCs w:val="24"/>
          <w:lang w:val="pt-BR"/>
        </w:rPr>
      </w:pPr>
      <w:bookmarkStart w:id="20" w:name="_Toc411452238"/>
      <w:bookmarkStart w:id="21" w:name="_Toc411461690"/>
      <w:bookmarkEnd w:id="18"/>
      <w:bookmarkEnd w:id="19"/>
      <w:r w:rsidRPr="006F0933">
        <w:rPr>
          <w:b w:val="0"/>
          <w:szCs w:val="24"/>
          <w:lang w:val="pt-BR"/>
        </w:rPr>
        <w:t xml:space="preserve">4 </w:t>
      </w:r>
      <w:bookmarkStart w:id="22" w:name="_Toc411461691"/>
      <w:bookmarkEnd w:id="20"/>
      <w:bookmarkEnd w:id="21"/>
      <w:r w:rsidRPr="006F0933">
        <w:rPr>
          <w:b w:val="0"/>
          <w:szCs w:val="24"/>
          <w:lang w:val="pt-BR"/>
        </w:rPr>
        <w:t>DESCRIÇÃO E ANÁLISE DOS RESULTADOS</w:t>
      </w:r>
    </w:p>
    <w:p w14:paraId="7E8F5F23" w14:textId="77777777" w:rsidR="00F24669" w:rsidRPr="00E656E3" w:rsidRDefault="0013740E" w:rsidP="00E240B6">
      <w:pPr>
        <w:pStyle w:val="Ttulo1"/>
        <w:numPr>
          <w:ilvl w:val="0"/>
          <w:numId w:val="0"/>
        </w:numPr>
        <w:spacing w:after="0" w:line="360" w:lineRule="auto"/>
        <w:rPr>
          <w:szCs w:val="24"/>
          <w:lang w:val="pt-BR" w:eastAsia="pt-BR"/>
        </w:rPr>
      </w:pPr>
      <w:r w:rsidRPr="00E656E3">
        <w:rPr>
          <w:szCs w:val="24"/>
          <w:lang w:eastAsia="pt-BR"/>
        </w:rPr>
        <w:t xml:space="preserve">4.1 </w:t>
      </w:r>
      <w:r w:rsidR="00886FF9" w:rsidRPr="00E656E3">
        <w:rPr>
          <w:szCs w:val="24"/>
          <w:lang w:val="pt-BR" w:eastAsia="pt-BR"/>
        </w:rPr>
        <w:t xml:space="preserve">Evidências </w:t>
      </w:r>
      <w:r w:rsidRPr="00E656E3">
        <w:rPr>
          <w:szCs w:val="24"/>
          <w:lang w:eastAsia="pt-BR"/>
        </w:rPr>
        <w:t xml:space="preserve"> descritiva</w:t>
      </w:r>
      <w:bookmarkStart w:id="23" w:name="_Toc411461692"/>
      <w:bookmarkEnd w:id="22"/>
      <w:r w:rsidR="00886FF9" w:rsidRPr="00E656E3">
        <w:rPr>
          <w:szCs w:val="24"/>
          <w:lang w:val="pt-BR" w:eastAsia="pt-BR"/>
        </w:rPr>
        <w:t>s</w:t>
      </w:r>
    </w:p>
    <w:bookmarkEnd w:id="23"/>
    <w:p w14:paraId="5D41C669" w14:textId="71873114" w:rsidR="0063719B" w:rsidRPr="00E656E3" w:rsidRDefault="0063719B" w:rsidP="00E240B6">
      <w:pPr>
        <w:autoSpaceDE w:val="0"/>
        <w:autoSpaceDN w:val="0"/>
        <w:adjustRightInd w:val="0"/>
        <w:spacing w:after="0"/>
        <w:ind w:firstLine="0"/>
        <w:rPr>
          <w:szCs w:val="24"/>
          <w:lang w:eastAsia="pt-BR"/>
        </w:rPr>
      </w:pPr>
      <w:r w:rsidRPr="00E656E3">
        <w:rPr>
          <w:szCs w:val="24"/>
          <w:lang w:eastAsia="pt-BR"/>
        </w:rPr>
        <w:tab/>
        <w:t xml:space="preserve"> </w:t>
      </w:r>
    </w:p>
    <w:p w14:paraId="3F659E5C" w14:textId="5626E4A2" w:rsidR="0063719B" w:rsidRPr="00E656E3" w:rsidRDefault="0063719B" w:rsidP="00E240B6">
      <w:pPr>
        <w:autoSpaceDE w:val="0"/>
        <w:autoSpaceDN w:val="0"/>
        <w:adjustRightInd w:val="0"/>
        <w:spacing w:after="0"/>
        <w:ind w:firstLine="0"/>
        <w:rPr>
          <w:szCs w:val="24"/>
          <w:lang w:eastAsia="pt-BR"/>
        </w:rPr>
      </w:pPr>
      <w:r w:rsidRPr="00E656E3">
        <w:rPr>
          <w:szCs w:val="24"/>
          <w:lang w:eastAsia="pt-BR"/>
        </w:rPr>
        <w:tab/>
        <w:t>O teste de Kuder e Richardson – 20 foi utilizado para validação da métrica de divulgação compulsória, tendo em vista que as respostas foram dicotômicas (divulga ou não divulga). Os resultados do teste Kuder e Richardson variam de 0 a 1, quanto mais próximo a 1, melhor a consistência interna do instrumento, os</w:t>
      </w:r>
      <w:r w:rsidR="003100AE" w:rsidRPr="00E656E3">
        <w:rPr>
          <w:szCs w:val="24"/>
          <w:lang w:eastAsia="pt-BR"/>
        </w:rPr>
        <w:t xml:space="preserve"> resultado</w:t>
      </w:r>
      <w:r w:rsidR="00C54A26">
        <w:rPr>
          <w:szCs w:val="24"/>
          <w:lang w:eastAsia="pt-BR"/>
        </w:rPr>
        <w:t>s</w:t>
      </w:r>
      <w:r w:rsidR="003100AE" w:rsidRPr="00E656E3">
        <w:rPr>
          <w:szCs w:val="24"/>
          <w:lang w:eastAsia="pt-BR"/>
        </w:rPr>
        <w:t xml:space="preserve"> em todos </w:t>
      </w:r>
      <w:r w:rsidR="0016423F" w:rsidRPr="00E656E3">
        <w:rPr>
          <w:szCs w:val="24"/>
          <w:lang w:eastAsia="pt-BR"/>
        </w:rPr>
        <w:t>os anos</w:t>
      </w:r>
      <w:r w:rsidRPr="00E656E3">
        <w:rPr>
          <w:szCs w:val="24"/>
          <w:lang w:eastAsia="pt-BR"/>
        </w:rPr>
        <w:t xml:space="preserve"> os resultados foram superiores a 0,90.</w:t>
      </w:r>
      <w:r w:rsidR="00886FF9" w:rsidRPr="00E656E3">
        <w:rPr>
          <w:szCs w:val="24"/>
          <w:lang w:eastAsia="pt-BR"/>
        </w:rPr>
        <w:t xml:space="preserve"> Na Tabela </w:t>
      </w:r>
      <w:r w:rsidR="00901D62">
        <w:rPr>
          <w:szCs w:val="24"/>
          <w:lang w:eastAsia="pt-BR"/>
        </w:rPr>
        <w:t>1</w:t>
      </w:r>
      <w:r w:rsidR="00886FF9" w:rsidRPr="00E656E3">
        <w:rPr>
          <w:szCs w:val="24"/>
          <w:lang w:eastAsia="pt-BR"/>
        </w:rPr>
        <w:t xml:space="preserve"> apresentam-se as estatísticas descritivas para o IDC nos períodos de 2010 a 2013.</w:t>
      </w:r>
    </w:p>
    <w:p w14:paraId="3878FEB2" w14:textId="74297A79" w:rsidR="0063719B" w:rsidRDefault="0063719B" w:rsidP="00E240B6">
      <w:pPr>
        <w:autoSpaceDE w:val="0"/>
        <w:autoSpaceDN w:val="0"/>
        <w:adjustRightInd w:val="0"/>
        <w:ind w:firstLine="0"/>
        <w:rPr>
          <w:szCs w:val="24"/>
          <w:lang w:eastAsia="pt-BR"/>
        </w:rPr>
      </w:pPr>
      <w:r w:rsidRPr="00E656E3">
        <w:rPr>
          <w:szCs w:val="24"/>
          <w:lang w:eastAsia="pt-BR"/>
        </w:rPr>
        <w:tab/>
        <w:t xml:space="preserve">Na Tabela </w:t>
      </w:r>
      <w:r w:rsidR="00901D62">
        <w:rPr>
          <w:szCs w:val="24"/>
          <w:lang w:eastAsia="pt-BR"/>
        </w:rPr>
        <w:t>1</w:t>
      </w:r>
      <w:r w:rsidRPr="00E656E3">
        <w:rPr>
          <w:szCs w:val="24"/>
          <w:lang w:eastAsia="pt-BR"/>
        </w:rPr>
        <w:t xml:space="preserve"> apresentam-se as estatísticas descritivas para o IDC nos períodos de 2010 a 2013. </w:t>
      </w:r>
    </w:p>
    <w:p w14:paraId="46263490" w14:textId="77777777" w:rsidR="00DC4473" w:rsidRDefault="00DC4473" w:rsidP="00E240B6">
      <w:pPr>
        <w:autoSpaceDE w:val="0"/>
        <w:autoSpaceDN w:val="0"/>
        <w:adjustRightInd w:val="0"/>
        <w:ind w:firstLine="0"/>
        <w:rPr>
          <w:szCs w:val="24"/>
          <w:lang w:eastAsia="pt-BR"/>
        </w:rPr>
      </w:pPr>
    </w:p>
    <w:p w14:paraId="42BB58BF" w14:textId="77777777" w:rsidR="00DC4473" w:rsidRPr="00E656E3" w:rsidRDefault="00DC4473" w:rsidP="00E240B6">
      <w:pPr>
        <w:autoSpaceDE w:val="0"/>
        <w:autoSpaceDN w:val="0"/>
        <w:adjustRightInd w:val="0"/>
        <w:ind w:firstLine="0"/>
        <w:rPr>
          <w:szCs w:val="24"/>
          <w:lang w:eastAsia="pt-BR"/>
        </w:rPr>
      </w:pPr>
    </w:p>
    <w:tbl>
      <w:tblPr>
        <w:tblW w:w="8520" w:type="dxa"/>
        <w:tblInd w:w="55" w:type="dxa"/>
        <w:tblCellMar>
          <w:left w:w="70" w:type="dxa"/>
          <w:right w:w="70" w:type="dxa"/>
        </w:tblCellMar>
        <w:tblLook w:val="04A0" w:firstRow="1" w:lastRow="0" w:firstColumn="1" w:lastColumn="0" w:noHBand="0" w:noVBand="1"/>
      </w:tblPr>
      <w:tblGrid>
        <w:gridCol w:w="3571"/>
        <w:gridCol w:w="910"/>
        <w:gridCol w:w="910"/>
        <w:gridCol w:w="910"/>
        <w:gridCol w:w="910"/>
        <w:gridCol w:w="1309"/>
      </w:tblGrid>
      <w:tr w:rsidR="0063719B" w:rsidRPr="00BC76DE" w14:paraId="03E7F6E6" w14:textId="77777777" w:rsidTr="0064799D">
        <w:trPr>
          <w:trHeight w:val="189"/>
        </w:trPr>
        <w:tc>
          <w:tcPr>
            <w:tcW w:w="8520" w:type="dxa"/>
            <w:gridSpan w:val="6"/>
            <w:tcBorders>
              <w:top w:val="nil"/>
              <w:left w:val="nil"/>
              <w:bottom w:val="single" w:sz="12" w:space="0" w:color="auto"/>
              <w:right w:val="nil"/>
            </w:tcBorders>
            <w:shd w:val="clear" w:color="auto" w:fill="auto"/>
            <w:noWrap/>
            <w:vAlign w:val="bottom"/>
            <w:hideMark/>
          </w:tcPr>
          <w:p w14:paraId="14CFD340" w14:textId="5FD68C1A" w:rsidR="0063719B" w:rsidRPr="00BC76DE" w:rsidRDefault="0063719B" w:rsidP="00901D62">
            <w:pPr>
              <w:spacing w:line="240" w:lineRule="auto"/>
              <w:ind w:firstLine="0"/>
              <w:jc w:val="center"/>
              <w:rPr>
                <w:sz w:val="20"/>
                <w:szCs w:val="20"/>
              </w:rPr>
            </w:pPr>
            <w:bookmarkStart w:id="24" w:name="_Toc413140832"/>
            <w:r w:rsidRPr="00E62722">
              <w:rPr>
                <w:b/>
                <w:sz w:val="20"/>
                <w:szCs w:val="20"/>
              </w:rPr>
              <w:lastRenderedPageBreak/>
              <w:t xml:space="preserve">Tabela </w:t>
            </w:r>
            <w:r w:rsidR="00901D62">
              <w:rPr>
                <w:b/>
                <w:sz w:val="20"/>
                <w:szCs w:val="20"/>
              </w:rPr>
              <w:t>1</w:t>
            </w:r>
            <w:r w:rsidR="00886FF9" w:rsidRPr="00E62722">
              <w:rPr>
                <w:b/>
                <w:sz w:val="20"/>
                <w:szCs w:val="20"/>
              </w:rPr>
              <w:t>:</w:t>
            </w:r>
            <w:r w:rsidR="00886FF9" w:rsidRPr="00BC76DE">
              <w:rPr>
                <w:sz w:val="20"/>
                <w:szCs w:val="20"/>
              </w:rPr>
              <w:t xml:space="preserve"> </w:t>
            </w:r>
            <w:r w:rsidR="00886FF9" w:rsidRPr="00BC76DE">
              <w:rPr>
                <w:rFonts w:eastAsia="Times New Roman"/>
                <w:sz w:val="20"/>
                <w:szCs w:val="20"/>
                <w:lang w:eastAsia="pt-BR"/>
              </w:rPr>
              <w:t>Estatística descritiva da variável Índice de Divulgação Compulsória (IDC).</w:t>
            </w:r>
            <w:bookmarkEnd w:id="24"/>
          </w:p>
        </w:tc>
      </w:tr>
      <w:tr w:rsidR="0063719B" w:rsidRPr="00BC76DE" w14:paraId="766DE25F" w14:textId="77777777" w:rsidTr="0064799D">
        <w:trPr>
          <w:trHeight w:val="180"/>
        </w:trPr>
        <w:tc>
          <w:tcPr>
            <w:tcW w:w="3571" w:type="dxa"/>
            <w:vMerge w:val="restart"/>
            <w:tcBorders>
              <w:top w:val="single" w:sz="12" w:space="0" w:color="auto"/>
              <w:left w:val="nil"/>
              <w:bottom w:val="single" w:sz="4" w:space="0" w:color="000000"/>
              <w:right w:val="single" w:sz="4" w:space="0" w:color="auto"/>
            </w:tcBorders>
            <w:shd w:val="clear" w:color="auto" w:fill="auto"/>
            <w:noWrap/>
            <w:vAlign w:val="center"/>
            <w:hideMark/>
          </w:tcPr>
          <w:p w14:paraId="74F79551" w14:textId="77777777" w:rsidR="0063719B" w:rsidRPr="00BC76DE" w:rsidRDefault="0063719B" w:rsidP="00BC76DE">
            <w:pPr>
              <w:spacing w:after="0" w:line="240" w:lineRule="auto"/>
              <w:ind w:firstLine="0"/>
              <w:jc w:val="left"/>
              <w:rPr>
                <w:rFonts w:eastAsia="Times New Roman"/>
                <w:b/>
                <w:bCs/>
                <w:sz w:val="20"/>
                <w:szCs w:val="20"/>
                <w:lang w:eastAsia="pt-BR"/>
              </w:rPr>
            </w:pPr>
            <w:r w:rsidRPr="00BC76DE">
              <w:rPr>
                <w:rFonts w:eastAsia="Times New Roman"/>
                <w:b/>
                <w:bCs/>
                <w:sz w:val="20"/>
                <w:szCs w:val="20"/>
                <w:lang w:eastAsia="pt-BR"/>
              </w:rPr>
              <w:t>Medidas Estatísticas</w:t>
            </w:r>
          </w:p>
        </w:tc>
        <w:tc>
          <w:tcPr>
            <w:tcW w:w="4949" w:type="dxa"/>
            <w:gridSpan w:val="5"/>
            <w:tcBorders>
              <w:top w:val="single" w:sz="12" w:space="0" w:color="auto"/>
              <w:left w:val="nil"/>
              <w:bottom w:val="single" w:sz="4" w:space="0" w:color="auto"/>
              <w:right w:val="nil"/>
            </w:tcBorders>
            <w:shd w:val="clear" w:color="auto" w:fill="auto"/>
            <w:noWrap/>
            <w:vAlign w:val="bottom"/>
            <w:hideMark/>
          </w:tcPr>
          <w:p w14:paraId="5928345E" w14:textId="77777777" w:rsidR="0063719B" w:rsidRPr="00BC76DE" w:rsidRDefault="0063719B" w:rsidP="00BC76DE">
            <w:pPr>
              <w:spacing w:after="0" w:line="240" w:lineRule="auto"/>
              <w:ind w:firstLine="0"/>
              <w:jc w:val="center"/>
              <w:rPr>
                <w:rFonts w:eastAsia="Times New Roman"/>
                <w:b/>
                <w:bCs/>
                <w:sz w:val="20"/>
                <w:szCs w:val="20"/>
                <w:lang w:eastAsia="pt-BR"/>
              </w:rPr>
            </w:pPr>
            <w:r w:rsidRPr="00BC76DE">
              <w:rPr>
                <w:rFonts w:eastAsia="Times New Roman"/>
                <w:b/>
                <w:bCs/>
                <w:sz w:val="20"/>
                <w:szCs w:val="20"/>
                <w:lang w:eastAsia="pt-BR"/>
              </w:rPr>
              <w:t xml:space="preserve"> Período </w:t>
            </w:r>
          </w:p>
        </w:tc>
      </w:tr>
      <w:tr w:rsidR="0063719B" w:rsidRPr="00BC76DE" w14:paraId="5F7ECEDC" w14:textId="77777777" w:rsidTr="0064799D">
        <w:trPr>
          <w:trHeight w:val="180"/>
        </w:trPr>
        <w:tc>
          <w:tcPr>
            <w:tcW w:w="3571" w:type="dxa"/>
            <w:vMerge/>
            <w:tcBorders>
              <w:top w:val="nil"/>
              <w:left w:val="nil"/>
              <w:bottom w:val="single" w:sz="4" w:space="0" w:color="000000"/>
              <w:right w:val="single" w:sz="4" w:space="0" w:color="auto"/>
            </w:tcBorders>
            <w:vAlign w:val="center"/>
            <w:hideMark/>
          </w:tcPr>
          <w:p w14:paraId="709249C0" w14:textId="77777777" w:rsidR="0063719B" w:rsidRPr="00BC76DE" w:rsidRDefault="0063719B" w:rsidP="00BC76DE">
            <w:pPr>
              <w:spacing w:after="0" w:line="240" w:lineRule="auto"/>
              <w:ind w:firstLine="0"/>
              <w:jc w:val="left"/>
              <w:rPr>
                <w:rFonts w:eastAsia="Times New Roman"/>
                <w:b/>
                <w:bCs/>
                <w:sz w:val="20"/>
                <w:szCs w:val="20"/>
                <w:lang w:eastAsia="pt-BR"/>
              </w:rPr>
            </w:pPr>
          </w:p>
        </w:tc>
        <w:tc>
          <w:tcPr>
            <w:tcW w:w="910" w:type="dxa"/>
            <w:tcBorders>
              <w:top w:val="nil"/>
              <w:left w:val="nil"/>
              <w:bottom w:val="single" w:sz="4" w:space="0" w:color="auto"/>
              <w:right w:val="single" w:sz="4" w:space="0" w:color="auto"/>
            </w:tcBorders>
            <w:shd w:val="clear" w:color="auto" w:fill="auto"/>
            <w:noWrap/>
            <w:vAlign w:val="bottom"/>
            <w:hideMark/>
          </w:tcPr>
          <w:p w14:paraId="372432AD" w14:textId="77777777" w:rsidR="0063719B" w:rsidRPr="00BC76DE" w:rsidRDefault="0063719B" w:rsidP="00BC76DE">
            <w:pPr>
              <w:spacing w:after="0" w:line="240" w:lineRule="auto"/>
              <w:ind w:firstLine="0"/>
              <w:jc w:val="center"/>
              <w:rPr>
                <w:rFonts w:eastAsia="Times New Roman"/>
                <w:b/>
                <w:bCs/>
                <w:sz w:val="20"/>
                <w:szCs w:val="20"/>
                <w:lang w:eastAsia="pt-BR"/>
              </w:rPr>
            </w:pPr>
            <w:r w:rsidRPr="00BC76DE">
              <w:rPr>
                <w:rFonts w:eastAsia="Times New Roman"/>
                <w:b/>
                <w:bCs/>
                <w:sz w:val="20"/>
                <w:szCs w:val="20"/>
                <w:lang w:eastAsia="pt-BR"/>
              </w:rPr>
              <w:t>2010</w:t>
            </w:r>
          </w:p>
        </w:tc>
        <w:tc>
          <w:tcPr>
            <w:tcW w:w="910" w:type="dxa"/>
            <w:tcBorders>
              <w:top w:val="nil"/>
              <w:left w:val="nil"/>
              <w:bottom w:val="single" w:sz="4" w:space="0" w:color="auto"/>
              <w:right w:val="single" w:sz="4" w:space="0" w:color="auto"/>
            </w:tcBorders>
            <w:shd w:val="clear" w:color="auto" w:fill="auto"/>
            <w:noWrap/>
            <w:vAlign w:val="bottom"/>
            <w:hideMark/>
          </w:tcPr>
          <w:p w14:paraId="02B8EE4B" w14:textId="77777777" w:rsidR="0063719B" w:rsidRPr="00BC76DE" w:rsidRDefault="0063719B" w:rsidP="00BC76DE">
            <w:pPr>
              <w:spacing w:after="0" w:line="240" w:lineRule="auto"/>
              <w:ind w:firstLine="0"/>
              <w:jc w:val="center"/>
              <w:rPr>
                <w:rFonts w:eastAsia="Times New Roman"/>
                <w:b/>
                <w:bCs/>
                <w:sz w:val="20"/>
                <w:szCs w:val="20"/>
                <w:lang w:eastAsia="pt-BR"/>
              </w:rPr>
            </w:pPr>
            <w:r w:rsidRPr="00BC76DE">
              <w:rPr>
                <w:rFonts w:eastAsia="Times New Roman"/>
                <w:b/>
                <w:bCs/>
                <w:sz w:val="20"/>
                <w:szCs w:val="20"/>
                <w:lang w:eastAsia="pt-BR"/>
              </w:rPr>
              <w:t>2011</w:t>
            </w:r>
          </w:p>
        </w:tc>
        <w:tc>
          <w:tcPr>
            <w:tcW w:w="910" w:type="dxa"/>
            <w:tcBorders>
              <w:top w:val="nil"/>
              <w:left w:val="nil"/>
              <w:bottom w:val="single" w:sz="4" w:space="0" w:color="auto"/>
              <w:right w:val="single" w:sz="4" w:space="0" w:color="auto"/>
            </w:tcBorders>
            <w:shd w:val="clear" w:color="auto" w:fill="auto"/>
            <w:noWrap/>
            <w:vAlign w:val="bottom"/>
            <w:hideMark/>
          </w:tcPr>
          <w:p w14:paraId="0B9A65C0" w14:textId="77777777" w:rsidR="0063719B" w:rsidRPr="00BC76DE" w:rsidRDefault="0063719B" w:rsidP="00BC76DE">
            <w:pPr>
              <w:spacing w:after="0" w:line="240" w:lineRule="auto"/>
              <w:ind w:firstLine="0"/>
              <w:jc w:val="center"/>
              <w:rPr>
                <w:rFonts w:eastAsia="Times New Roman"/>
                <w:b/>
                <w:bCs/>
                <w:sz w:val="20"/>
                <w:szCs w:val="20"/>
                <w:lang w:eastAsia="pt-BR"/>
              </w:rPr>
            </w:pPr>
            <w:r w:rsidRPr="00BC76DE">
              <w:rPr>
                <w:rFonts w:eastAsia="Times New Roman"/>
                <w:b/>
                <w:bCs/>
                <w:sz w:val="20"/>
                <w:szCs w:val="20"/>
                <w:lang w:eastAsia="pt-BR"/>
              </w:rPr>
              <w:t>2012</w:t>
            </w:r>
          </w:p>
        </w:tc>
        <w:tc>
          <w:tcPr>
            <w:tcW w:w="910" w:type="dxa"/>
            <w:tcBorders>
              <w:top w:val="nil"/>
              <w:left w:val="nil"/>
              <w:bottom w:val="single" w:sz="4" w:space="0" w:color="auto"/>
              <w:right w:val="nil"/>
            </w:tcBorders>
            <w:shd w:val="clear" w:color="auto" w:fill="auto"/>
            <w:noWrap/>
            <w:vAlign w:val="bottom"/>
            <w:hideMark/>
          </w:tcPr>
          <w:p w14:paraId="3D3E3A90" w14:textId="77777777" w:rsidR="0063719B" w:rsidRPr="00BC76DE" w:rsidRDefault="0063719B" w:rsidP="00BC76DE">
            <w:pPr>
              <w:spacing w:after="0" w:line="240" w:lineRule="auto"/>
              <w:ind w:firstLine="0"/>
              <w:jc w:val="center"/>
              <w:rPr>
                <w:rFonts w:eastAsia="Times New Roman"/>
                <w:b/>
                <w:bCs/>
                <w:sz w:val="20"/>
                <w:szCs w:val="20"/>
                <w:lang w:eastAsia="pt-BR"/>
              </w:rPr>
            </w:pPr>
            <w:r w:rsidRPr="00BC76DE">
              <w:rPr>
                <w:rFonts w:eastAsia="Times New Roman"/>
                <w:b/>
                <w:bCs/>
                <w:sz w:val="20"/>
                <w:szCs w:val="20"/>
                <w:lang w:eastAsia="pt-BR"/>
              </w:rPr>
              <w:t>2013</w:t>
            </w:r>
          </w:p>
        </w:tc>
        <w:tc>
          <w:tcPr>
            <w:tcW w:w="1309" w:type="dxa"/>
            <w:tcBorders>
              <w:top w:val="nil"/>
              <w:left w:val="single" w:sz="4" w:space="0" w:color="auto"/>
              <w:bottom w:val="single" w:sz="4" w:space="0" w:color="auto"/>
              <w:right w:val="nil"/>
            </w:tcBorders>
            <w:shd w:val="clear" w:color="auto" w:fill="auto"/>
            <w:noWrap/>
            <w:vAlign w:val="bottom"/>
            <w:hideMark/>
          </w:tcPr>
          <w:p w14:paraId="17597F8C" w14:textId="77777777" w:rsidR="0063719B" w:rsidRPr="00BC76DE" w:rsidRDefault="0063719B" w:rsidP="00BC76DE">
            <w:pPr>
              <w:spacing w:after="0" w:line="240" w:lineRule="auto"/>
              <w:ind w:firstLine="0"/>
              <w:jc w:val="center"/>
              <w:rPr>
                <w:rFonts w:eastAsia="Times New Roman"/>
                <w:b/>
                <w:bCs/>
                <w:sz w:val="20"/>
                <w:szCs w:val="20"/>
                <w:lang w:eastAsia="pt-BR"/>
              </w:rPr>
            </w:pPr>
            <w:r w:rsidRPr="00BC76DE">
              <w:rPr>
                <w:rFonts w:eastAsia="Times New Roman"/>
                <w:b/>
                <w:bCs/>
                <w:sz w:val="20"/>
                <w:szCs w:val="20"/>
                <w:lang w:eastAsia="pt-BR"/>
              </w:rPr>
              <w:t>2010-2013</w:t>
            </w:r>
          </w:p>
        </w:tc>
      </w:tr>
      <w:tr w:rsidR="0063719B" w:rsidRPr="00BC76DE" w14:paraId="72786CC7" w14:textId="77777777" w:rsidTr="0064799D">
        <w:trPr>
          <w:trHeight w:val="180"/>
        </w:trPr>
        <w:tc>
          <w:tcPr>
            <w:tcW w:w="3571" w:type="dxa"/>
            <w:tcBorders>
              <w:top w:val="nil"/>
              <w:left w:val="nil"/>
              <w:bottom w:val="single" w:sz="4" w:space="0" w:color="auto"/>
              <w:right w:val="nil"/>
            </w:tcBorders>
            <w:shd w:val="clear" w:color="auto" w:fill="auto"/>
            <w:noWrap/>
            <w:vAlign w:val="bottom"/>
            <w:hideMark/>
          </w:tcPr>
          <w:p w14:paraId="1ED2C62F" w14:textId="77777777" w:rsidR="0063719B" w:rsidRPr="00BC76DE" w:rsidRDefault="0063719B" w:rsidP="00BC76DE">
            <w:pPr>
              <w:spacing w:after="0" w:line="240" w:lineRule="auto"/>
              <w:ind w:firstLine="0"/>
              <w:jc w:val="left"/>
              <w:rPr>
                <w:rFonts w:eastAsia="Times New Roman"/>
                <w:sz w:val="20"/>
                <w:szCs w:val="20"/>
                <w:lang w:eastAsia="pt-BR"/>
              </w:rPr>
            </w:pPr>
            <w:r w:rsidRPr="00BC76DE">
              <w:rPr>
                <w:rFonts w:eastAsia="Times New Roman"/>
                <w:sz w:val="20"/>
                <w:szCs w:val="20"/>
                <w:lang w:eastAsia="pt-BR"/>
              </w:rPr>
              <w:t>Média</w:t>
            </w:r>
          </w:p>
        </w:tc>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1709C102" w14:textId="77777777" w:rsidR="0063719B" w:rsidRPr="00BC76DE" w:rsidRDefault="0063719B" w:rsidP="00BC76DE">
            <w:pPr>
              <w:spacing w:after="0" w:line="240" w:lineRule="auto"/>
              <w:ind w:firstLine="0"/>
              <w:jc w:val="center"/>
              <w:rPr>
                <w:rFonts w:eastAsia="Times New Roman"/>
                <w:sz w:val="20"/>
                <w:szCs w:val="20"/>
                <w:lang w:eastAsia="pt-BR"/>
              </w:rPr>
            </w:pPr>
            <w:r w:rsidRPr="00BC76DE">
              <w:rPr>
                <w:rFonts w:eastAsia="Times New Roman"/>
                <w:sz w:val="20"/>
                <w:szCs w:val="20"/>
                <w:lang w:eastAsia="pt-BR"/>
              </w:rPr>
              <w:t>0,73</w:t>
            </w:r>
          </w:p>
        </w:tc>
        <w:tc>
          <w:tcPr>
            <w:tcW w:w="910" w:type="dxa"/>
            <w:tcBorders>
              <w:top w:val="nil"/>
              <w:left w:val="nil"/>
              <w:bottom w:val="single" w:sz="4" w:space="0" w:color="auto"/>
              <w:right w:val="single" w:sz="4" w:space="0" w:color="auto"/>
            </w:tcBorders>
            <w:shd w:val="clear" w:color="auto" w:fill="auto"/>
            <w:noWrap/>
            <w:vAlign w:val="bottom"/>
            <w:hideMark/>
          </w:tcPr>
          <w:p w14:paraId="6C3E2B96" w14:textId="77777777" w:rsidR="0063719B" w:rsidRPr="00BC76DE" w:rsidRDefault="0063719B" w:rsidP="00BC76DE">
            <w:pPr>
              <w:spacing w:after="0" w:line="240" w:lineRule="auto"/>
              <w:ind w:firstLine="0"/>
              <w:jc w:val="center"/>
              <w:rPr>
                <w:rFonts w:eastAsia="Times New Roman"/>
                <w:sz w:val="20"/>
                <w:szCs w:val="20"/>
                <w:lang w:eastAsia="pt-BR"/>
              </w:rPr>
            </w:pPr>
            <w:r w:rsidRPr="00BC76DE">
              <w:rPr>
                <w:rFonts w:eastAsia="Times New Roman"/>
                <w:sz w:val="20"/>
                <w:szCs w:val="20"/>
                <w:lang w:eastAsia="pt-BR"/>
              </w:rPr>
              <w:t>0,73</w:t>
            </w:r>
          </w:p>
        </w:tc>
        <w:tc>
          <w:tcPr>
            <w:tcW w:w="910" w:type="dxa"/>
            <w:tcBorders>
              <w:top w:val="nil"/>
              <w:left w:val="nil"/>
              <w:bottom w:val="single" w:sz="4" w:space="0" w:color="auto"/>
              <w:right w:val="single" w:sz="4" w:space="0" w:color="auto"/>
            </w:tcBorders>
            <w:shd w:val="clear" w:color="auto" w:fill="auto"/>
            <w:noWrap/>
            <w:vAlign w:val="bottom"/>
            <w:hideMark/>
          </w:tcPr>
          <w:p w14:paraId="281B0CBC" w14:textId="77777777" w:rsidR="0063719B" w:rsidRPr="00BC76DE" w:rsidRDefault="0063719B" w:rsidP="00BC76DE">
            <w:pPr>
              <w:spacing w:after="0" w:line="240" w:lineRule="auto"/>
              <w:ind w:firstLine="0"/>
              <w:jc w:val="center"/>
              <w:rPr>
                <w:rFonts w:eastAsia="Times New Roman"/>
                <w:sz w:val="20"/>
                <w:szCs w:val="20"/>
                <w:lang w:eastAsia="pt-BR"/>
              </w:rPr>
            </w:pPr>
            <w:r w:rsidRPr="00BC76DE">
              <w:rPr>
                <w:rFonts w:eastAsia="Times New Roman"/>
                <w:sz w:val="20"/>
                <w:szCs w:val="20"/>
                <w:lang w:eastAsia="pt-BR"/>
              </w:rPr>
              <w:t>0,74</w:t>
            </w:r>
          </w:p>
        </w:tc>
        <w:tc>
          <w:tcPr>
            <w:tcW w:w="910" w:type="dxa"/>
            <w:tcBorders>
              <w:top w:val="nil"/>
              <w:left w:val="nil"/>
              <w:bottom w:val="single" w:sz="4" w:space="0" w:color="auto"/>
              <w:right w:val="nil"/>
            </w:tcBorders>
            <w:shd w:val="clear" w:color="auto" w:fill="auto"/>
            <w:noWrap/>
            <w:vAlign w:val="bottom"/>
            <w:hideMark/>
          </w:tcPr>
          <w:p w14:paraId="30C449DC" w14:textId="77777777" w:rsidR="0063719B" w:rsidRPr="00BC76DE" w:rsidRDefault="0063719B" w:rsidP="00BC76DE">
            <w:pPr>
              <w:spacing w:after="0" w:line="240" w:lineRule="auto"/>
              <w:ind w:firstLine="0"/>
              <w:jc w:val="center"/>
              <w:rPr>
                <w:rFonts w:eastAsia="Times New Roman"/>
                <w:sz w:val="20"/>
                <w:szCs w:val="20"/>
                <w:lang w:eastAsia="pt-BR"/>
              </w:rPr>
            </w:pPr>
            <w:r w:rsidRPr="00BC76DE">
              <w:rPr>
                <w:rFonts w:eastAsia="Times New Roman"/>
                <w:sz w:val="20"/>
                <w:szCs w:val="20"/>
                <w:lang w:eastAsia="pt-BR"/>
              </w:rPr>
              <w:t>0,74</w:t>
            </w:r>
          </w:p>
        </w:tc>
        <w:tc>
          <w:tcPr>
            <w:tcW w:w="1309" w:type="dxa"/>
            <w:tcBorders>
              <w:top w:val="nil"/>
              <w:left w:val="single" w:sz="4" w:space="0" w:color="auto"/>
              <w:bottom w:val="single" w:sz="4" w:space="0" w:color="auto"/>
              <w:right w:val="nil"/>
            </w:tcBorders>
            <w:shd w:val="clear" w:color="auto" w:fill="auto"/>
            <w:noWrap/>
            <w:vAlign w:val="bottom"/>
            <w:hideMark/>
          </w:tcPr>
          <w:p w14:paraId="75525449" w14:textId="77777777" w:rsidR="0063719B" w:rsidRPr="00BC76DE" w:rsidRDefault="0063719B" w:rsidP="00BC76DE">
            <w:pPr>
              <w:spacing w:after="0" w:line="240" w:lineRule="auto"/>
              <w:ind w:firstLine="0"/>
              <w:jc w:val="center"/>
              <w:rPr>
                <w:rFonts w:eastAsia="Times New Roman"/>
                <w:sz w:val="20"/>
                <w:szCs w:val="20"/>
                <w:lang w:eastAsia="pt-BR"/>
              </w:rPr>
            </w:pPr>
            <w:r w:rsidRPr="00BC76DE">
              <w:rPr>
                <w:rFonts w:eastAsia="Times New Roman"/>
                <w:sz w:val="20"/>
                <w:szCs w:val="20"/>
                <w:lang w:eastAsia="pt-BR"/>
              </w:rPr>
              <w:t>0,73</w:t>
            </w:r>
          </w:p>
        </w:tc>
      </w:tr>
      <w:tr w:rsidR="0063719B" w:rsidRPr="00BC76DE" w14:paraId="165440CC" w14:textId="77777777" w:rsidTr="0064799D">
        <w:trPr>
          <w:trHeight w:val="180"/>
        </w:trPr>
        <w:tc>
          <w:tcPr>
            <w:tcW w:w="3571" w:type="dxa"/>
            <w:tcBorders>
              <w:top w:val="nil"/>
              <w:left w:val="nil"/>
              <w:bottom w:val="single" w:sz="4" w:space="0" w:color="auto"/>
              <w:right w:val="nil"/>
            </w:tcBorders>
            <w:shd w:val="clear" w:color="auto" w:fill="auto"/>
            <w:noWrap/>
            <w:vAlign w:val="bottom"/>
            <w:hideMark/>
          </w:tcPr>
          <w:p w14:paraId="10F1FCAA" w14:textId="77777777" w:rsidR="0063719B" w:rsidRPr="00BC76DE" w:rsidRDefault="0063719B" w:rsidP="00BC76DE">
            <w:pPr>
              <w:spacing w:after="0" w:line="240" w:lineRule="auto"/>
              <w:ind w:firstLine="0"/>
              <w:jc w:val="left"/>
              <w:rPr>
                <w:rFonts w:eastAsia="Times New Roman"/>
                <w:sz w:val="20"/>
                <w:szCs w:val="20"/>
                <w:lang w:eastAsia="pt-BR"/>
              </w:rPr>
            </w:pPr>
            <w:r w:rsidRPr="00BC76DE">
              <w:rPr>
                <w:rFonts w:eastAsia="Times New Roman"/>
                <w:sz w:val="20"/>
                <w:szCs w:val="20"/>
                <w:lang w:eastAsia="pt-BR"/>
              </w:rPr>
              <w:t>Desvio Padrão</w:t>
            </w:r>
          </w:p>
        </w:tc>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2E76CEAA" w14:textId="77777777" w:rsidR="0063719B" w:rsidRPr="00BC76DE" w:rsidRDefault="0063719B" w:rsidP="00BC76DE">
            <w:pPr>
              <w:spacing w:after="0" w:line="240" w:lineRule="auto"/>
              <w:ind w:firstLine="0"/>
              <w:jc w:val="center"/>
              <w:rPr>
                <w:rFonts w:eastAsia="Times New Roman"/>
                <w:sz w:val="20"/>
                <w:szCs w:val="20"/>
                <w:lang w:eastAsia="pt-BR"/>
              </w:rPr>
            </w:pPr>
            <w:r w:rsidRPr="00BC76DE">
              <w:rPr>
                <w:rFonts w:eastAsia="Times New Roman"/>
                <w:sz w:val="20"/>
                <w:szCs w:val="20"/>
                <w:lang w:eastAsia="pt-BR"/>
              </w:rPr>
              <w:t>0,17</w:t>
            </w:r>
          </w:p>
        </w:tc>
        <w:tc>
          <w:tcPr>
            <w:tcW w:w="910" w:type="dxa"/>
            <w:tcBorders>
              <w:top w:val="nil"/>
              <w:left w:val="nil"/>
              <w:bottom w:val="single" w:sz="4" w:space="0" w:color="auto"/>
              <w:right w:val="single" w:sz="4" w:space="0" w:color="auto"/>
            </w:tcBorders>
            <w:shd w:val="clear" w:color="auto" w:fill="auto"/>
            <w:noWrap/>
            <w:vAlign w:val="bottom"/>
            <w:hideMark/>
          </w:tcPr>
          <w:p w14:paraId="1EE31F7C" w14:textId="77777777" w:rsidR="0063719B" w:rsidRPr="00BC76DE" w:rsidRDefault="0063719B" w:rsidP="00BC76DE">
            <w:pPr>
              <w:spacing w:after="0" w:line="240" w:lineRule="auto"/>
              <w:ind w:firstLine="0"/>
              <w:jc w:val="center"/>
              <w:rPr>
                <w:rFonts w:eastAsia="Times New Roman"/>
                <w:sz w:val="20"/>
                <w:szCs w:val="20"/>
                <w:lang w:eastAsia="pt-BR"/>
              </w:rPr>
            </w:pPr>
            <w:r w:rsidRPr="00BC76DE">
              <w:rPr>
                <w:rFonts w:eastAsia="Times New Roman"/>
                <w:sz w:val="20"/>
                <w:szCs w:val="20"/>
                <w:lang w:eastAsia="pt-BR"/>
              </w:rPr>
              <w:t>0,15</w:t>
            </w:r>
          </w:p>
        </w:tc>
        <w:tc>
          <w:tcPr>
            <w:tcW w:w="910" w:type="dxa"/>
            <w:tcBorders>
              <w:top w:val="nil"/>
              <w:left w:val="nil"/>
              <w:bottom w:val="single" w:sz="4" w:space="0" w:color="auto"/>
              <w:right w:val="single" w:sz="4" w:space="0" w:color="auto"/>
            </w:tcBorders>
            <w:shd w:val="clear" w:color="auto" w:fill="auto"/>
            <w:noWrap/>
            <w:vAlign w:val="bottom"/>
            <w:hideMark/>
          </w:tcPr>
          <w:p w14:paraId="0A3B95B7" w14:textId="77777777" w:rsidR="0063719B" w:rsidRPr="00BC76DE" w:rsidRDefault="0063719B" w:rsidP="00BC76DE">
            <w:pPr>
              <w:spacing w:after="0" w:line="240" w:lineRule="auto"/>
              <w:ind w:firstLine="0"/>
              <w:jc w:val="center"/>
              <w:rPr>
                <w:rFonts w:eastAsia="Times New Roman"/>
                <w:sz w:val="20"/>
                <w:szCs w:val="20"/>
                <w:lang w:eastAsia="pt-BR"/>
              </w:rPr>
            </w:pPr>
            <w:r w:rsidRPr="00BC76DE">
              <w:rPr>
                <w:rFonts w:eastAsia="Times New Roman"/>
                <w:sz w:val="20"/>
                <w:szCs w:val="20"/>
                <w:lang w:eastAsia="pt-BR"/>
              </w:rPr>
              <w:t>0,14</w:t>
            </w:r>
          </w:p>
        </w:tc>
        <w:tc>
          <w:tcPr>
            <w:tcW w:w="910" w:type="dxa"/>
            <w:tcBorders>
              <w:top w:val="nil"/>
              <w:left w:val="nil"/>
              <w:bottom w:val="single" w:sz="4" w:space="0" w:color="auto"/>
              <w:right w:val="nil"/>
            </w:tcBorders>
            <w:shd w:val="clear" w:color="auto" w:fill="auto"/>
            <w:noWrap/>
            <w:vAlign w:val="bottom"/>
            <w:hideMark/>
          </w:tcPr>
          <w:p w14:paraId="2AEB53C4" w14:textId="77777777" w:rsidR="0063719B" w:rsidRPr="00BC76DE" w:rsidRDefault="0063719B" w:rsidP="00BC76DE">
            <w:pPr>
              <w:spacing w:after="0" w:line="240" w:lineRule="auto"/>
              <w:ind w:firstLine="0"/>
              <w:jc w:val="center"/>
              <w:rPr>
                <w:rFonts w:eastAsia="Times New Roman"/>
                <w:sz w:val="20"/>
                <w:szCs w:val="20"/>
                <w:lang w:eastAsia="pt-BR"/>
              </w:rPr>
            </w:pPr>
            <w:r w:rsidRPr="00BC76DE">
              <w:rPr>
                <w:rFonts w:eastAsia="Times New Roman"/>
                <w:sz w:val="20"/>
                <w:szCs w:val="20"/>
                <w:lang w:eastAsia="pt-BR"/>
              </w:rPr>
              <w:t>0,14</w:t>
            </w:r>
          </w:p>
        </w:tc>
        <w:tc>
          <w:tcPr>
            <w:tcW w:w="1309" w:type="dxa"/>
            <w:tcBorders>
              <w:top w:val="nil"/>
              <w:left w:val="single" w:sz="4" w:space="0" w:color="auto"/>
              <w:bottom w:val="single" w:sz="4" w:space="0" w:color="auto"/>
              <w:right w:val="nil"/>
            </w:tcBorders>
            <w:shd w:val="clear" w:color="auto" w:fill="auto"/>
            <w:noWrap/>
            <w:vAlign w:val="bottom"/>
            <w:hideMark/>
          </w:tcPr>
          <w:p w14:paraId="20F94838" w14:textId="77777777" w:rsidR="0063719B" w:rsidRPr="00BC76DE" w:rsidRDefault="0063719B" w:rsidP="00BC76DE">
            <w:pPr>
              <w:spacing w:after="0" w:line="240" w:lineRule="auto"/>
              <w:ind w:firstLine="0"/>
              <w:jc w:val="center"/>
              <w:rPr>
                <w:rFonts w:eastAsia="Times New Roman"/>
                <w:sz w:val="20"/>
                <w:szCs w:val="20"/>
                <w:lang w:eastAsia="pt-BR"/>
              </w:rPr>
            </w:pPr>
            <w:r w:rsidRPr="00BC76DE">
              <w:rPr>
                <w:rFonts w:eastAsia="Times New Roman"/>
                <w:sz w:val="20"/>
                <w:szCs w:val="20"/>
                <w:lang w:eastAsia="pt-BR"/>
              </w:rPr>
              <w:t>0,15</w:t>
            </w:r>
          </w:p>
        </w:tc>
      </w:tr>
      <w:tr w:rsidR="0063719B" w:rsidRPr="00BC76DE" w14:paraId="0956FFA3" w14:textId="77777777" w:rsidTr="0064799D">
        <w:trPr>
          <w:trHeight w:val="180"/>
        </w:trPr>
        <w:tc>
          <w:tcPr>
            <w:tcW w:w="3571" w:type="dxa"/>
            <w:tcBorders>
              <w:top w:val="nil"/>
              <w:left w:val="nil"/>
              <w:bottom w:val="single" w:sz="4" w:space="0" w:color="auto"/>
              <w:right w:val="nil"/>
            </w:tcBorders>
            <w:shd w:val="clear" w:color="auto" w:fill="auto"/>
            <w:noWrap/>
            <w:vAlign w:val="bottom"/>
            <w:hideMark/>
          </w:tcPr>
          <w:p w14:paraId="39468B48" w14:textId="77777777" w:rsidR="0063719B" w:rsidRPr="00BC76DE" w:rsidRDefault="0063719B" w:rsidP="00BC76DE">
            <w:pPr>
              <w:spacing w:after="0" w:line="240" w:lineRule="auto"/>
              <w:ind w:firstLine="0"/>
              <w:jc w:val="left"/>
              <w:rPr>
                <w:rFonts w:eastAsia="Times New Roman"/>
                <w:sz w:val="20"/>
                <w:szCs w:val="20"/>
                <w:lang w:eastAsia="pt-BR"/>
              </w:rPr>
            </w:pPr>
            <w:r w:rsidRPr="00BC76DE">
              <w:rPr>
                <w:rFonts w:eastAsia="Times New Roman"/>
                <w:sz w:val="20"/>
                <w:szCs w:val="20"/>
                <w:lang w:eastAsia="pt-BR"/>
              </w:rPr>
              <w:t>Coef. De variação</w:t>
            </w:r>
          </w:p>
        </w:tc>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625A1355" w14:textId="77777777" w:rsidR="0063719B" w:rsidRPr="00BC76DE" w:rsidRDefault="0063719B" w:rsidP="00BC76DE">
            <w:pPr>
              <w:spacing w:after="0" w:line="240" w:lineRule="auto"/>
              <w:ind w:firstLine="0"/>
              <w:jc w:val="center"/>
              <w:rPr>
                <w:rFonts w:eastAsia="Times New Roman"/>
                <w:sz w:val="20"/>
                <w:szCs w:val="20"/>
                <w:lang w:eastAsia="pt-BR"/>
              </w:rPr>
            </w:pPr>
            <w:r w:rsidRPr="00BC76DE">
              <w:rPr>
                <w:rFonts w:eastAsia="Times New Roman"/>
                <w:sz w:val="20"/>
                <w:szCs w:val="20"/>
                <w:lang w:eastAsia="pt-BR"/>
              </w:rPr>
              <w:t>0,23</w:t>
            </w:r>
          </w:p>
        </w:tc>
        <w:tc>
          <w:tcPr>
            <w:tcW w:w="910" w:type="dxa"/>
            <w:tcBorders>
              <w:top w:val="nil"/>
              <w:left w:val="nil"/>
              <w:bottom w:val="single" w:sz="4" w:space="0" w:color="auto"/>
              <w:right w:val="single" w:sz="4" w:space="0" w:color="auto"/>
            </w:tcBorders>
            <w:shd w:val="clear" w:color="auto" w:fill="auto"/>
            <w:noWrap/>
            <w:vAlign w:val="bottom"/>
            <w:hideMark/>
          </w:tcPr>
          <w:p w14:paraId="34A49D57" w14:textId="77777777" w:rsidR="0063719B" w:rsidRPr="00BC76DE" w:rsidRDefault="0063719B" w:rsidP="00BC76DE">
            <w:pPr>
              <w:spacing w:after="0" w:line="240" w:lineRule="auto"/>
              <w:ind w:firstLine="0"/>
              <w:jc w:val="center"/>
              <w:rPr>
                <w:rFonts w:eastAsia="Times New Roman"/>
                <w:sz w:val="20"/>
                <w:szCs w:val="20"/>
                <w:lang w:eastAsia="pt-BR"/>
              </w:rPr>
            </w:pPr>
            <w:r w:rsidRPr="00BC76DE">
              <w:rPr>
                <w:rFonts w:eastAsia="Times New Roman"/>
                <w:sz w:val="20"/>
                <w:szCs w:val="20"/>
                <w:lang w:eastAsia="pt-BR"/>
              </w:rPr>
              <w:t>0,21</w:t>
            </w:r>
          </w:p>
        </w:tc>
        <w:tc>
          <w:tcPr>
            <w:tcW w:w="910" w:type="dxa"/>
            <w:tcBorders>
              <w:top w:val="nil"/>
              <w:left w:val="nil"/>
              <w:bottom w:val="single" w:sz="4" w:space="0" w:color="auto"/>
              <w:right w:val="single" w:sz="4" w:space="0" w:color="auto"/>
            </w:tcBorders>
            <w:shd w:val="clear" w:color="auto" w:fill="auto"/>
            <w:noWrap/>
            <w:vAlign w:val="bottom"/>
            <w:hideMark/>
          </w:tcPr>
          <w:p w14:paraId="2A34D6F1" w14:textId="77777777" w:rsidR="0063719B" w:rsidRPr="00BC76DE" w:rsidRDefault="0063719B" w:rsidP="00BC76DE">
            <w:pPr>
              <w:spacing w:after="0" w:line="240" w:lineRule="auto"/>
              <w:ind w:firstLine="0"/>
              <w:jc w:val="center"/>
              <w:rPr>
                <w:rFonts w:eastAsia="Times New Roman"/>
                <w:sz w:val="20"/>
                <w:szCs w:val="20"/>
                <w:lang w:eastAsia="pt-BR"/>
              </w:rPr>
            </w:pPr>
            <w:r w:rsidRPr="00BC76DE">
              <w:rPr>
                <w:rFonts w:eastAsia="Times New Roman"/>
                <w:sz w:val="20"/>
                <w:szCs w:val="20"/>
                <w:lang w:eastAsia="pt-BR"/>
              </w:rPr>
              <w:t>0,19</w:t>
            </w:r>
          </w:p>
        </w:tc>
        <w:tc>
          <w:tcPr>
            <w:tcW w:w="910" w:type="dxa"/>
            <w:tcBorders>
              <w:top w:val="nil"/>
              <w:left w:val="nil"/>
              <w:bottom w:val="single" w:sz="4" w:space="0" w:color="auto"/>
              <w:right w:val="nil"/>
            </w:tcBorders>
            <w:shd w:val="clear" w:color="auto" w:fill="auto"/>
            <w:noWrap/>
            <w:vAlign w:val="bottom"/>
            <w:hideMark/>
          </w:tcPr>
          <w:p w14:paraId="4826A834" w14:textId="77777777" w:rsidR="0063719B" w:rsidRPr="00BC76DE" w:rsidRDefault="0063719B" w:rsidP="00BC76DE">
            <w:pPr>
              <w:spacing w:after="0" w:line="240" w:lineRule="auto"/>
              <w:ind w:firstLine="0"/>
              <w:jc w:val="center"/>
              <w:rPr>
                <w:rFonts w:eastAsia="Times New Roman"/>
                <w:sz w:val="20"/>
                <w:szCs w:val="20"/>
                <w:lang w:eastAsia="pt-BR"/>
              </w:rPr>
            </w:pPr>
            <w:r w:rsidRPr="00BC76DE">
              <w:rPr>
                <w:rFonts w:eastAsia="Times New Roman"/>
                <w:sz w:val="20"/>
                <w:szCs w:val="20"/>
                <w:lang w:eastAsia="pt-BR"/>
              </w:rPr>
              <w:t>0,19</w:t>
            </w:r>
          </w:p>
        </w:tc>
        <w:tc>
          <w:tcPr>
            <w:tcW w:w="1309" w:type="dxa"/>
            <w:tcBorders>
              <w:top w:val="nil"/>
              <w:left w:val="single" w:sz="4" w:space="0" w:color="auto"/>
              <w:bottom w:val="single" w:sz="4" w:space="0" w:color="auto"/>
              <w:right w:val="nil"/>
            </w:tcBorders>
            <w:shd w:val="clear" w:color="auto" w:fill="auto"/>
            <w:noWrap/>
            <w:vAlign w:val="bottom"/>
            <w:hideMark/>
          </w:tcPr>
          <w:p w14:paraId="0E0FA5C4" w14:textId="77777777" w:rsidR="0063719B" w:rsidRPr="00BC76DE" w:rsidRDefault="0063719B" w:rsidP="00BC76DE">
            <w:pPr>
              <w:spacing w:after="0" w:line="240" w:lineRule="auto"/>
              <w:ind w:firstLine="0"/>
              <w:jc w:val="center"/>
              <w:rPr>
                <w:rFonts w:eastAsia="Times New Roman"/>
                <w:sz w:val="20"/>
                <w:szCs w:val="20"/>
                <w:lang w:eastAsia="pt-BR"/>
              </w:rPr>
            </w:pPr>
            <w:r w:rsidRPr="00BC76DE">
              <w:rPr>
                <w:rFonts w:eastAsia="Times New Roman"/>
                <w:sz w:val="20"/>
                <w:szCs w:val="20"/>
                <w:lang w:eastAsia="pt-BR"/>
              </w:rPr>
              <w:t>0,20</w:t>
            </w:r>
          </w:p>
        </w:tc>
      </w:tr>
      <w:tr w:rsidR="0063719B" w:rsidRPr="00BC76DE" w14:paraId="4630FC98" w14:textId="77777777" w:rsidTr="0064799D">
        <w:trPr>
          <w:trHeight w:val="180"/>
        </w:trPr>
        <w:tc>
          <w:tcPr>
            <w:tcW w:w="3571" w:type="dxa"/>
            <w:tcBorders>
              <w:top w:val="nil"/>
              <w:left w:val="nil"/>
              <w:bottom w:val="single" w:sz="4" w:space="0" w:color="auto"/>
              <w:right w:val="nil"/>
            </w:tcBorders>
            <w:shd w:val="clear" w:color="auto" w:fill="auto"/>
            <w:noWrap/>
            <w:vAlign w:val="bottom"/>
            <w:hideMark/>
          </w:tcPr>
          <w:p w14:paraId="6999C2DD" w14:textId="77777777" w:rsidR="0063719B" w:rsidRPr="00BC76DE" w:rsidRDefault="0063719B" w:rsidP="00BC76DE">
            <w:pPr>
              <w:spacing w:after="0" w:line="240" w:lineRule="auto"/>
              <w:ind w:firstLine="0"/>
              <w:jc w:val="left"/>
              <w:rPr>
                <w:rFonts w:eastAsia="Times New Roman"/>
                <w:sz w:val="20"/>
                <w:szCs w:val="20"/>
                <w:lang w:eastAsia="pt-BR"/>
              </w:rPr>
            </w:pPr>
            <w:r w:rsidRPr="00BC76DE">
              <w:rPr>
                <w:rFonts w:eastAsia="Times New Roman"/>
                <w:sz w:val="20"/>
                <w:szCs w:val="20"/>
                <w:lang w:eastAsia="pt-BR"/>
              </w:rPr>
              <w:t>Mínimo</w:t>
            </w:r>
          </w:p>
        </w:tc>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4AD59065" w14:textId="77777777" w:rsidR="0063719B" w:rsidRPr="00BC76DE" w:rsidRDefault="0063719B" w:rsidP="00BC76DE">
            <w:pPr>
              <w:spacing w:after="0" w:line="240" w:lineRule="auto"/>
              <w:ind w:firstLine="0"/>
              <w:jc w:val="center"/>
              <w:rPr>
                <w:rFonts w:eastAsia="Times New Roman"/>
                <w:sz w:val="20"/>
                <w:szCs w:val="20"/>
                <w:lang w:eastAsia="pt-BR"/>
              </w:rPr>
            </w:pPr>
            <w:r w:rsidRPr="00BC76DE">
              <w:rPr>
                <w:rFonts w:eastAsia="Times New Roman"/>
                <w:sz w:val="20"/>
                <w:szCs w:val="20"/>
                <w:lang w:eastAsia="pt-BR"/>
              </w:rPr>
              <w:t>0,39</w:t>
            </w:r>
          </w:p>
        </w:tc>
        <w:tc>
          <w:tcPr>
            <w:tcW w:w="910" w:type="dxa"/>
            <w:tcBorders>
              <w:top w:val="nil"/>
              <w:left w:val="nil"/>
              <w:bottom w:val="single" w:sz="4" w:space="0" w:color="auto"/>
              <w:right w:val="single" w:sz="4" w:space="0" w:color="auto"/>
            </w:tcBorders>
            <w:shd w:val="clear" w:color="auto" w:fill="auto"/>
            <w:noWrap/>
            <w:vAlign w:val="bottom"/>
            <w:hideMark/>
          </w:tcPr>
          <w:p w14:paraId="7E11530C" w14:textId="77777777" w:rsidR="0063719B" w:rsidRPr="00BC76DE" w:rsidRDefault="0063719B" w:rsidP="00BC76DE">
            <w:pPr>
              <w:spacing w:after="0" w:line="240" w:lineRule="auto"/>
              <w:ind w:firstLine="0"/>
              <w:jc w:val="center"/>
              <w:rPr>
                <w:rFonts w:eastAsia="Times New Roman"/>
                <w:sz w:val="20"/>
                <w:szCs w:val="20"/>
                <w:lang w:eastAsia="pt-BR"/>
              </w:rPr>
            </w:pPr>
            <w:r w:rsidRPr="00BC76DE">
              <w:rPr>
                <w:rFonts w:eastAsia="Times New Roman"/>
                <w:sz w:val="20"/>
                <w:szCs w:val="20"/>
                <w:lang w:eastAsia="pt-BR"/>
              </w:rPr>
              <w:t>0,39</w:t>
            </w:r>
          </w:p>
        </w:tc>
        <w:tc>
          <w:tcPr>
            <w:tcW w:w="910" w:type="dxa"/>
            <w:tcBorders>
              <w:top w:val="nil"/>
              <w:left w:val="nil"/>
              <w:bottom w:val="single" w:sz="4" w:space="0" w:color="auto"/>
              <w:right w:val="single" w:sz="4" w:space="0" w:color="auto"/>
            </w:tcBorders>
            <w:shd w:val="clear" w:color="auto" w:fill="auto"/>
            <w:noWrap/>
            <w:vAlign w:val="bottom"/>
            <w:hideMark/>
          </w:tcPr>
          <w:p w14:paraId="79ABE3D3" w14:textId="77777777" w:rsidR="0063719B" w:rsidRPr="00BC76DE" w:rsidRDefault="0063719B" w:rsidP="00BC76DE">
            <w:pPr>
              <w:spacing w:after="0" w:line="240" w:lineRule="auto"/>
              <w:ind w:firstLine="0"/>
              <w:jc w:val="center"/>
              <w:rPr>
                <w:rFonts w:eastAsia="Times New Roman"/>
                <w:sz w:val="20"/>
                <w:szCs w:val="20"/>
                <w:lang w:eastAsia="pt-BR"/>
              </w:rPr>
            </w:pPr>
            <w:r w:rsidRPr="00BC76DE">
              <w:rPr>
                <w:rFonts w:eastAsia="Times New Roman"/>
                <w:sz w:val="20"/>
                <w:szCs w:val="20"/>
                <w:lang w:eastAsia="pt-BR"/>
              </w:rPr>
              <w:t>0,50</w:t>
            </w:r>
          </w:p>
        </w:tc>
        <w:tc>
          <w:tcPr>
            <w:tcW w:w="910" w:type="dxa"/>
            <w:tcBorders>
              <w:top w:val="nil"/>
              <w:left w:val="nil"/>
              <w:bottom w:val="single" w:sz="4" w:space="0" w:color="auto"/>
              <w:right w:val="nil"/>
            </w:tcBorders>
            <w:shd w:val="clear" w:color="auto" w:fill="auto"/>
            <w:noWrap/>
            <w:vAlign w:val="bottom"/>
            <w:hideMark/>
          </w:tcPr>
          <w:p w14:paraId="52500838" w14:textId="77777777" w:rsidR="0063719B" w:rsidRPr="00BC76DE" w:rsidRDefault="0063719B" w:rsidP="00BC76DE">
            <w:pPr>
              <w:spacing w:after="0" w:line="240" w:lineRule="auto"/>
              <w:ind w:firstLine="0"/>
              <w:jc w:val="center"/>
              <w:rPr>
                <w:rFonts w:eastAsia="Times New Roman"/>
                <w:sz w:val="20"/>
                <w:szCs w:val="20"/>
                <w:lang w:eastAsia="pt-BR"/>
              </w:rPr>
            </w:pPr>
            <w:r w:rsidRPr="00BC76DE">
              <w:rPr>
                <w:rFonts w:eastAsia="Times New Roman"/>
                <w:sz w:val="20"/>
                <w:szCs w:val="20"/>
                <w:lang w:eastAsia="pt-BR"/>
              </w:rPr>
              <w:t>0,50</w:t>
            </w:r>
          </w:p>
        </w:tc>
        <w:tc>
          <w:tcPr>
            <w:tcW w:w="1309" w:type="dxa"/>
            <w:tcBorders>
              <w:top w:val="nil"/>
              <w:left w:val="single" w:sz="4" w:space="0" w:color="auto"/>
              <w:bottom w:val="single" w:sz="4" w:space="0" w:color="auto"/>
              <w:right w:val="nil"/>
            </w:tcBorders>
            <w:shd w:val="clear" w:color="auto" w:fill="auto"/>
            <w:noWrap/>
            <w:vAlign w:val="bottom"/>
            <w:hideMark/>
          </w:tcPr>
          <w:p w14:paraId="63581BD7" w14:textId="77777777" w:rsidR="0063719B" w:rsidRPr="00BC76DE" w:rsidRDefault="0063719B" w:rsidP="00BC76DE">
            <w:pPr>
              <w:spacing w:after="0" w:line="240" w:lineRule="auto"/>
              <w:ind w:firstLine="0"/>
              <w:jc w:val="center"/>
              <w:rPr>
                <w:rFonts w:eastAsia="Times New Roman"/>
                <w:sz w:val="20"/>
                <w:szCs w:val="20"/>
                <w:lang w:eastAsia="pt-BR"/>
              </w:rPr>
            </w:pPr>
            <w:r w:rsidRPr="00BC76DE">
              <w:rPr>
                <w:rFonts w:eastAsia="Times New Roman"/>
                <w:sz w:val="20"/>
                <w:szCs w:val="20"/>
                <w:lang w:eastAsia="pt-BR"/>
              </w:rPr>
              <w:t>0,39</w:t>
            </w:r>
          </w:p>
        </w:tc>
      </w:tr>
      <w:tr w:rsidR="0063719B" w:rsidRPr="00BC76DE" w14:paraId="1DF86FD5" w14:textId="77777777" w:rsidTr="0064799D">
        <w:trPr>
          <w:trHeight w:val="180"/>
        </w:trPr>
        <w:tc>
          <w:tcPr>
            <w:tcW w:w="3571" w:type="dxa"/>
            <w:tcBorders>
              <w:top w:val="nil"/>
              <w:left w:val="nil"/>
              <w:bottom w:val="single" w:sz="4" w:space="0" w:color="auto"/>
              <w:right w:val="nil"/>
            </w:tcBorders>
            <w:shd w:val="clear" w:color="auto" w:fill="auto"/>
            <w:noWrap/>
            <w:vAlign w:val="bottom"/>
            <w:hideMark/>
          </w:tcPr>
          <w:p w14:paraId="605725DD" w14:textId="77777777" w:rsidR="0063719B" w:rsidRPr="00BC76DE" w:rsidRDefault="0063719B" w:rsidP="00BC76DE">
            <w:pPr>
              <w:spacing w:after="0" w:line="240" w:lineRule="auto"/>
              <w:ind w:firstLine="0"/>
              <w:jc w:val="left"/>
              <w:rPr>
                <w:rFonts w:eastAsia="Times New Roman"/>
                <w:sz w:val="20"/>
                <w:szCs w:val="20"/>
                <w:lang w:eastAsia="pt-BR"/>
              </w:rPr>
            </w:pPr>
            <w:r w:rsidRPr="00BC76DE">
              <w:rPr>
                <w:rFonts w:eastAsia="Times New Roman"/>
                <w:sz w:val="20"/>
                <w:szCs w:val="20"/>
                <w:lang w:eastAsia="pt-BR"/>
              </w:rPr>
              <w:t>Máximo</w:t>
            </w:r>
          </w:p>
        </w:tc>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0A54768A" w14:textId="77777777" w:rsidR="0063719B" w:rsidRPr="00BC76DE" w:rsidRDefault="0063719B" w:rsidP="00BC76DE">
            <w:pPr>
              <w:spacing w:after="0" w:line="240" w:lineRule="auto"/>
              <w:ind w:firstLine="0"/>
              <w:jc w:val="center"/>
              <w:rPr>
                <w:rFonts w:eastAsia="Times New Roman"/>
                <w:sz w:val="20"/>
                <w:szCs w:val="20"/>
                <w:lang w:eastAsia="pt-BR"/>
              </w:rPr>
            </w:pPr>
            <w:r w:rsidRPr="00BC76DE">
              <w:rPr>
                <w:rFonts w:eastAsia="Times New Roman"/>
                <w:sz w:val="20"/>
                <w:szCs w:val="20"/>
                <w:lang w:eastAsia="pt-BR"/>
              </w:rPr>
              <w:t>0,96</w:t>
            </w:r>
          </w:p>
        </w:tc>
        <w:tc>
          <w:tcPr>
            <w:tcW w:w="910" w:type="dxa"/>
            <w:tcBorders>
              <w:top w:val="nil"/>
              <w:left w:val="nil"/>
              <w:bottom w:val="single" w:sz="4" w:space="0" w:color="auto"/>
              <w:right w:val="single" w:sz="4" w:space="0" w:color="auto"/>
            </w:tcBorders>
            <w:shd w:val="clear" w:color="auto" w:fill="auto"/>
            <w:noWrap/>
            <w:vAlign w:val="bottom"/>
            <w:hideMark/>
          </w:tcPr>
          <w:p w14:paraId="65544B25" w14:textId="77777777" w:rsidR="0063719B" w:rsidRPr="00BC76DE" w:rsidRDefault="0063719B" w:rsidP="00BC76DE">
            <w:pPr>
              <w:spacing w:after="0" w:line="240" w:lineRule="auto"/>
              <w:ind w:firstLine="0"/>
              <w:jc w:val="center"/>
              <w:rPr>
                <w:rFonts w:eastAsia="Times New Roman"/>
                <w:sz w:val="20"/>
                <w:szCs w:val="20"/>
                <w:lang w:eastAsia="pt-BR"/>
              </w:rPr>
            </w:pPr>
            <w:r w:rsidRPr="00BC76DE">
              <w:rPr>
                <w:rFonts w:eastAsia="Times New Roman"/>
                <w:sz w:val="20"/>
                <w:szCs w:val="20"/>
                <w:lang w:eastAsia="pt-BR"/>
              </w:rPr>
              <w:t>0,96</w:t>
            </w:r>
          </w:p>
        </w:tc>
        <w:tc>
          <w:tcPr>
            <w:tcW w:w="910" w:type="dxa"/>
            <w:tcBorders>
              <w:top w:val="nil"/>
              <w:left w:val="nil"/>
              <w:bottom w:val="single" w:sz="4" w:space="0" w:color="auto"/>
              <w:right w:val="single" w:sz="4" w:space="0" w:color="auto"/>
            </w:tcBorders>
            <w:shd w:val="clear" w:color="auto" w:fill="auto"/>
            <w:noWrap/>
            <w:vAlign w:val="bottom"/>
            <w:hideMark/>
          </w:tcPr>
          <w:p w14:paraId="6DD3C16D" w14:textId="77777777" w:rsidR="0063719B" w:rsidRPr="00BC76DE" w:rsidRDefault="0063719B" w:rsidP="00BC76DE">
            <w:pPr>
              <w:spacing w:after="0" w:line="240" w:lineRule="auto"/>
              <w:ind w:firstLine="0"/>
              <w:jc w:val="center"/>
              <w:rPr>
                <w:rFonts w:eastAsia="Times New Roman"/>
                <w:sz w:val="20"/>
                <w:szCs w:val="20"/>
                <w:lang w:eastAsia="pt-BR"/>
              </w:rPr>
            </w:pPr>
            <w:r w:rsidRPr="00BC76DE">
              <w:rPr>
                <w:rFonts w:eastAsia="Times New Roman"/>
                <w:sz w:val="20"/>
                <w:szCs w:val="20"/>
                <w:lang w:eastAsia="pt-BR"/>
              </w:rPr>
              <w:t>0,96</w:t>
            </w:r>
          </w:p>
        </w:tc>
        <w:tc>
          <w:tcPr>
            <w:tcW w:w="910" w:type="dxa"/>
            <w:tcBorders>
              <w:top w:val="nil"/>
              <w:left w:val="nil"/>
              <w:bottom w:val="single" w:sz="4" w:space="0" w:color="auto"/>
              <w:right w:val="nil"/>
            </w:tcBorders>
            <w:shd w:val="clear" w:color="auto" w:fill="auto"/>
            <w:noWrap/>
            <w:vAlign w:val="bottom"/>
            <w:hideMark/>
          </w:tcPr>
          <w:p w14:paraId="6FB05D85" w14:textId="77777777" w:rsidR="0063719B" w:rsidRPr="00BC76DE" w:rsidRDefault="0063719B" w:rsidP="00BC76DE">
            <w:pPr>
              <w:spacing w:after="0" w:line="240" w:lineRule="auto"/>
              <w:ind w:firstLine="0"/>
              <w:jc w:val="center"/>
              <w:rPr>
                <w:rFonts w:eastAsia="Times New Roman"/>
                <w:sz w:val="20"/>
                <w:szCs w:val="20"/>
                <w:lang w:eastAsia="pt-BR"/>
              </w:rPr>
            </w:pPr>
            <w:r w:rsidRPr="00BC76DE">
              <w:rPr>
                <w:rFonts w:eastAsia="Times New Roman"/>
                <w:sz w:val="20"/>
                <w:szCs w:val="20"/>
                <w:lang w:eastAsia="pt-BR"/>
              </w:rPr>
              <w:t>0,96</w:t>
            </w:r>
          </w:p>
        </w:tc>
        <w:tc>
          <w:tcPr>
            <w:tcW w:w="1309" w:type="dxa"/>
            <w:tcBorders>
              <w:top w:val="nil"/>
              <w:left w:val="single" w:sz="4" w:space="0" w:color="auto"/>
              <w:bottom w:val="single" w:sz="4" w:space="0" w:color="auto"/>
              <w:right w:val="nil"/>
            </w:tcBorders>
            <w:shd w:val="clear" w:color="auto" w:fill="auto"/>
            <w:noWrap/>
            <w:vAlign w:val="bottom"/>
            <w:hideMark/>
          </w:tcPr>
          <w:p w14:paraId="5C0098F2" w14:textId="77777777" w:rsidR="0063719B" w:rsidRPr="00BC76DE" w:rsidRDefault="0063719B" w:rsidP="00BC76DE">
            <w:pPr>
              <w:spacing w:after="0" w:line="240" w:lineRule="auto"/>
              <w:ind w:firstLine="0"/>
              <w:jc w:val="center"/>
              <w:rPr>
                <w:rFonts w:eastAsia="Times New Roman"/>
                <w:sz w:val="20"/>
                <w:szCs w:val="20"/>
                <w:lang w:eastAsia="pt-BR"/>
              </w:rPr>
            </w:pPr>
            <w:r w:rsidRPr="00BC76DE">
              <w:rPr>
                <w:rFonts w:eastAsia="Times New Roman"/>
                <w:sz w:val="20"/>
                <w:szCs w:val="20"/>
                <w:lang w:eastAsia="pt-BR"/>
              </w:rPr>
              <w:t>0,96</w:t>
            </w:r>
          </w:p>
        </w:tc>
      </w:tr>
      <w:tr w:rsidR="0063719B" w:rsidRPr="00BC76DE" w14:paraId="4494D67A" w14:textId="77777777" w:rsidTr="0064799D">
        <w:trPr>
          <w:trHeight w:val="180"/>
        </w:trPr>
        <w:tc>
          <w:tcPr>
            <w:tcW w:w="3571" w:type="dxa"/>
            <w:tcBorders>
              <w:top w:val="nil"/>
              <w:left w:val="nil"/>
              <w:bottom w:val="single" w:sz="4" w:space="0" w:color="auto"/>
              <w:right w:val="nil"/>
            </w:tcBorders>
            <w:shd w:val="clear" w:color="auto" w:fill="auto"/>
            <w:noWrap/>
            <w:vAlign w:val="bottom"/>
            <w:hideMark/>
          </w:tcPr>
          <w:p w14:paraId="5EE6F1C7" w14:textId="77777777" w:rsidR="0063719B" w:rsidRPr="00BC76DE" w:rsidRDefault="0063719B" w:rsidP="00BC76DE">
            <w:pPr>
              <w:spacing w:after="0" w:line="240" w:lineRule="auto"/>
              <w:ind w:firstLine="0"/>
              <w:jc w:val="left"/>
              <w:rPr>
                <w:rFonts w:eastAsia="Times New Roman"/>
                <w:sz w:val="20"/>
                <w:szCs w:val="20"/>
                <w:lang w:eastAsia="pt-BR"/>
              </w:rPr>
            </w:pPr>
            <w:r w:rsidRPr="00BC76DE">
              <w:rPr>
                <w:rFonts w:eastAsia="Times New Roman"/>
                <w:sz w:val="20"/>
                <w:szCs w:val="20"/>
                <w:lang w:eastAsia="pt-BR"/>
              </w:rPr>
              <w:t>Primeiro Quartil</w:t>
            </w:r>
          </w:p>
        </w:tc>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5CD6505C" w14:textId="77777777" w:rsidR="0063719B" w:rsidRPr="00BC76DE" w:rsidRDefault="0063719B" w:rsidP="00BC76DE">
            <w:pPr>
              <w:spacing w:after="0" w:line="240" w:lineRule="auto"/>
              <w:ind w:firstLine="0"/>
              <w:jc w:val="center"/>
              <w:rPr>
                <w:rFonts w:eastAsia="Times New Roman"/>
                <w:sz w:val="20"/>
                <w:szCs w:val="20"/>
                <w:lang w:eastAsia="pt-BR"/>
              </w:rPr>
            </w:pPr>
            <w:r w:rsidRPr="00BC76DE">
              <w:rPr>
                <w:rFonts w:eastAsia="Times New Roman"/>
                <w:sz w:val="20"/>
                <w:szCs w:val="20"/>
                <w:lang w:eastAsia="pt-BR"/>
              </w:rPr>
              <w:t>0,58</w:t>
            </w:r>
          </w:p>
        </w:tc>
        <w:tc>
          <w:tcPr>
            <w:tcW w:w="910" w:type="dxa"/>
            <w:tcBorders>
              <w:top w:val="nil"/>
              <w:left w:val="nil"/>
              <w:bottom w:val="single" w:sz="4" w:space="0" w:color="auto"/>
              <w:right w:val="single" w:sz="4" w:space="0" w:color="auto"/>
            </w:tcBorders>
            <w:shd w:val="clear" w:color="auto" w:fill="auto"/>
            <w:noWrap/>
            <w:vAlign w:val="bottom"/>
            <w:hideMark/>
          </w:tcPr>
          <w:p w14:paraId="24D5B6EF" w14:textId="77777777" w:rsidR="0063719B" w:rsidRPr="00BC76DE" w:rsidRDefault="0063719B" w:rsidP="00BC76DE">
            <w:pPr>
              <w:spacing w:after="0" w:line="240" w:lineRule="auto"/>
              <w:ind w:firstLine="0"/>
              <w:jc w:val="center"/>
              <w:rPr>
                <w:rFonts w:eastAsia="Times New Roman"/>
                <w:sz w:val="20"/>
                <w:szCs w:val="20"/>
                <w:lang w:eastAsia="pt-BR"/>
              </w:rPr>
            </w:pPr>
            <w:r w:rsidRPr="00BC76DE">
              <w:rPr>
                <w:rFonts w:eastAsia="Times New Roman"/>
                <w:sz w:val="20"/>
                <w:szCs w:val="20"/>
                <w:lang w:eastAsia="pt-BR"/>
              </w:rPr>
              <w:t>0,64</w:t>
            </w:r>
          </w:p>
        </w:tc>
        <w:tc>
          <w:tcPr>
            <w:tcW w:w="910" w:type="dxa"/>
            <w:tcBorders>
              <w:top w:val="nil"/>
              <w:left w:val="nil"/>
              <w:bottom w:val="single" w:sz="4" w:space="0" w:color="auto"/>
              <w:right w:val="single" w:sz="4" w:space="0" w:color="auto"/>
            </w:tcBorders>
            <w:shd w:val="clear" w:color="auto" w:fill="auto"/>
            <w:noWrap/>
            <w:vAlign w:val="bottom"/>
            <w:hideMark/>
          </w:tcPr>
          <w:p w14:paraId="35D7BCAD" w14:textId="77777777" w:rsidR="0063719B" w:rsidRPr="00BC76DE" w:rsidRDefault="0063719B" w:rsidP="00BC76DE">
            <w:pPr>
              <w:spacing w:after="0" w:line="240" w:lineRule="auto"/>
              <w:ind w:firstLine="0"/>
              <w:jc w:val="center"/>
              <w:rPr>
                <w:rFonts w:eastAsia="Times New Roman"/>
                <w:sz w:val="20"/>
                <w:szCs w:val="20"/>
                <w:lang w:eastAsia="pt-BR"/>
              </w:rPr>
            </w:pPr>
            <w:r w:rsidRPr="00BC76DE">
              <w:rPr>
                <w:rFonts w:eastAsia="Times New Roman"/>
                <w:sz w:val="20"/>
                <w:szCs w:val="20"/>
                <w:lang w:eastAsia="pt-BR"/>
              </w:rPr>
              <w:t>0,63</w:t>
            </w:r>
          </w:p>
        </w:tc>
        <w:tc>
          <w:tcPr>
            <w:tcW w:w="910" w:type="dxa"/>
            <w:tcBorders>
              <w:top w:val="nil"/>
              <w:left w:val="nil"/>
              <w:bottom w:val="single" w:sz="4" w:space="0" w:color="auto"/>
              <w:right w:val="nil"/>
            </w:tcBorders>
            <w:shd w:val="clear" w:color="auto" w:fill="auto"/>
            <w:noWrap/>
            <w:vAlign w:val="bottom"/>
            <w:hideMark/>
          </w:tcPr>
          <w:p w14:paraId="306E0820" w14:textId="77777777" w:rsidR="0063719B" w:rsidRPr="00BC76DE" w:rsidRDefault="0063719B" w:rsidP="00BC76DE">
            <w:pPr>
              <w:spacing w:after="0" w:line="240" w:lineRule="auto"/>
              <w:ind w:firstLine="0"/>
              <w:jc w:val="center"/>
              <w:rPr>
                <w:rFonts w:eastAsia="Times New Roman"/>
                <w:sz w:val="20"/>
                <w:szCs w:val="20"/>
                <w:lang w:eastAsia="pt-BR"/>
              </w:rPr>
            </w:pPr>
            <w:r w:rsidRPr="00BC76DE">
              <w:rPr>
                <w:rFonts w:eastAsia="Times New Roman"/>
                <w:sz w:val="20"/>
                <w:szCs w:val="20"/>
                <w:lang w:eastAsia="pt-BR"/>
              </w:rPr>
              <w:t>0,63</w:t>
            </w:r>
          </w:p>
        </w:tc>
        <w:tc>
          <w:tcPr>
            <w:tcW w:w="1309" w:type="dxa"/>
            <w:tcBorders>
              <w:top w:val="nil"/>
              <w:left w:val="single" w:sz="4" w:space="0" w:color="auto"/>
              <w:bottom w:val="single" w:sz="4" w:space="0" w:color="auto"/>
              <w:right w:val="nil"/>
            </w:tcBorders>
            <w:shd w:val="clear" w:color="auto" w:fill="auto"/>
            <w:noWrap/>
            <w:vAlign w:val="bottom"/>
            <w:hideMark/>
          </w:tcPr>
          <w:p w14:paraId="083A6DD9" w14:textId="77777777" w:rsidR="0063719B" w:rsidRPr="00BC76DE" w:rsidRDefault="0063719B" w:rsidP="00BC76DE">
            <w:pPr>
              <w:spacing w:after="0" w:line="240" w:lineRule="auto"/>
              <w:ind w:firstLine="0"/>
              <w:jc w:val="center"/>
              <w:rPr>
                <w:rFonts w:eastAsia="Times New Roman"/>
                <w:sz w:val="20"/>
                <w:szCs w:val="20"/>
                <w:lang w:eastAsia="pt-BR"/>
              </w:rPr>
            </w:pPr>
            <w:r w:rsidRPr="00BC76DE">
              <w:rPr>
                <w:rFonts w:eastAsia="Times New Roman"/>
                <w:sz w:val="20"/>
                <w:szCs w:val="20"/>
                <w:lang w:eastAsia="pt-BR"/>
              </w:rPr>
              <w:t>0,63</w:t>
            </w:r>
          </w:p>
        </w:tc>
      </w:tr>
      <w:tr w:rsidR="0063719B" w:rsidRPr="00BC76DE" w14:paraId="73C2B165" w14:textId="77777777" w:rsidTr="0064799D">
        <w:trPr>
          <w:trHeight w:val="180"/>
        </w:trPr>
        <w:tc>
          <w:tcPr>
            <w:tcW w:w="3571" w:type="dxa"/>
            <w:tcBorders>
              <w:top w:val="nil"/>
              <w:left w:val="nil"/>
              <w:bottom w:val="single" w:sz="4" w:space="0" w:color="auto"/>
              <w:right w:val="nil"/>
            </w:tcBorders>
            <w:shd w:val="clear" w:color="auto" w:fill="auto"/>
            <w:noWrap/>
            <w:vAlign w:val="bottom"/>
            <w:hideMark/>
          </w:tcPr>
          <w:p w14:paraId="1CF4EC73" w14:textId="77777777" w:rsidR="0063719B" w:rsidRPr="00BC76DE" w:rsidRDefault="0063719B" w:rsidP="00BC76DE">
            <w:pPr>
              <w:spacing w:after="0" w:line="240" w:lineRule="auto"/>
              <w:ind w:firstLine="0"/>
              <w:jc w:val="left"/>
              <w:rPr>
                <w:rFonts w:eastAsia="Times New Roman"/>
                <w:sz w:val="20"/>
                <w:szCs w:val="20"/>
                <w:lang w:eastAsia="pt-BR"/>
              </w:rPr>
            </w:pPr>
            <w:r w:rsidRPr="00BC76DE">
              <w:rPr>
                <w:rFonts w:eastAsia="Times New Roman"/>
                <w:sz w:val="20"/>
                <w:szCs w:val="20"/>
                <w:lang w:eastAsia="pt-BR"/>
              </w:rPr>
              <w:t>Terceiro Quartil</w:t>
            </w:r>
          </w:p>
        </w:tc>
        <w:tc>
          <w:tcPr>
            <w:tcW w:w="910" w:type="dxa"/>
            <w:tcBorders>
              <w:top w:val="nil"/>
              <w:left w:val="single" w:sz="4" w:space="0" w:color="auto"/>
              <w:bottom w:val="single" w:sz="4" w:space="0" w:color="auto"/>
              <w:right w:val="single" w:sz="4" w:space="0" w:color="auto"/>
            </w:tcBorders>
            <w:shd w:val="clear" w:color="auto" w:fill="auto"/>
            <w:noWrap/>
            <w:vAlign w:val="bottom"/>
            <w:hideMark/>
          </w:tcPr>
          <w:p w14:paraId="7B1FC15B" w14:textId="77777777" w:rsidR="0063719B" w:rsidRPr="00BC76DE" w:rsidRDefault="0063719B" w:rsidP="00BC76DE">
            <w:pPr>
              <w:spacing w:after="0" w:line="240" w:lineRule="auto"/>
              <w:ind w:firstLine="0"/>
              <w:jc w:val="center"/>
              <w:rPr>
                <w:rFonts w:eastAsia="Times New Roman"/>
                <w:sz w:val="20"/>
                <w:szCs w:val="20"/>
                <w:lang w:eastAsia="pt-BR"/>
              </w:rPr>
            </w:pPr>
            <w:r w:rsidRPr="00BC76DE">
              <w:rPr>
                <w:rFonts w:eastAsia="Times New Roman"/>
                <w:sz w:val="20"/>
                <w:szCs w:val="20"/>
                <w:lang w:eastAsia="pt-BR"/>
              </w:rPr>
              <w:t>0,90</w:t>
            </w:r>
          </w:p>
        </w:tc>
        <w:tc>
          <w:tcPr>
            <w:tcW w:w="910" w:type="dxa"/>
            <w:tcBorders>
              <w:top w:val="nil"/>
              <w:left w:val="nil"/>
              <w:bottom w:val="single" w:sz="4" w:space="0" w:color="auto"/>
              <w:right w:val="single" w:sz="4" w:space="0" w:color="auto"/>
            </w:tcBorders>
            <w:shd w:val="clear" w:color="auto" w:fill="auto"/>
            <w:noWrap/>
            <w:vAlign w:val="bottom"/>
            <w:hideMark/>
          </w:tcPr>
          <w:p w14:paraId="0C49A823" w14:textId="77777777" w:rsidR="0063719B" w:rsidRPr="00BC76DE" w:rsidRDefault="0063719B" w:rsidP="00BC76DE">
            <w:pPr>
              <w:spacing w:after="0" w:line="240" w:lineRule="auto"/>
              <w:ind w:firstLine="0"/>
              <w:jc w:val="center"/>
              <w:rPr>
                <w:rFonts w:eastAsia="Times New Roman"/>
                <w:sz w:val="20"/>
                <w:szCs w:val="20"/>
                <w:lang w:eastAsia="pt-BR"/>
              </w:rPr>
            </w:pPr>
            <w:r w:rsidRPr="00BC76DE">
              <w:rPr>
                <w:rFonts w:eastAsia="Times New Roman"/>
                <w:sz w:val="20"/>
                <w:szCs w:val="20"/>
                <w:lang w:eastAsia="pt-BR"/>
              </w:rPr>
              <w:t>0,83</w:t>
            </w:r>
          </w:p>
        </w:tc>
        <w:tc>
          <w:tcPr>
            <w:tcW w:w="910" w:type="dxa"/>
            <w:tcBorders>
              <w:top w:val="nil"/>
              <w:left w:val="nil"/>
              <w:bottom w:val="single" w:sz="4" w:space="0" w:color="auto"/>
              <w:right w:val="single" w:sz="4" w:space="0" w:color="auto"/>
            </w:tcBorders>
            <w:shd w:val="clear" w:color="auto" w:fill="auto"/>
            <w:noWrap/>
            <w:vAlign w:val="bottom"/>
            <w:hideMark/>
          </w:tcPr>
          <w:p w14:paraId="00C405BC" w14:textId="77777777" w:rsidR="0063719B" w:rsidRPr="00BC76DE" w:rsidRDefault="0063719B" w:rsidP="00BC76DE">
            <w:pPr>
              <w:spacing w:after="0" w:line="240" w:lineRule="auto"/>
              <w:ind w:firstLine="0"/>
              <w:jc w:val="center"/>
              <w:rPr>
                <w:rFonts w:eastAsia="Times New Roman"/>
                <w:sz w:val="20"/>
                <w:szCs w:val="20"/>
                <w:lang w:eastAsia="pt-BR"/>
              </w:rPr>
            </w:pPr>
            <w:r w:rsidRPr="00BC76DE">
              <w:rPr>
                <w:rFonts w:eastAsia="Times New Roman"/>
                <w:sz w:val="20"/>
                <w:szCs w:val="20"/>
                <w:lang w:eastAsia="pt-BR"/>
              </w:rPr>
              <w:t>0,83</w:t>
            </w:r>
          </w:p>
        </w:tc>
        <w:tc>
          <w:tcPr>
            <w:tcW w:w="910" w:type="dxa"/>
            <w:tcBorders>
              <w:top w:val="nil"/>
              <w:left w:val="nil"/>
              <w:bottom w:val="single" w:sz="4" w:space="0" w:color="auto"/>
              <w:right w:val="nil"/>
            </w:tcBorders>
            <w:shd w:val="clear" w:color="auto" w:fill="auto"/>
            <w:noWrap/>
            <w:vAlign w:val="bottom"/>
            <w:hideMark/>
          </w:tcPr>
          <w:p w14:paraId="7B1CA78E" w14:textId="77777777" w:rsidR="0063719B" w:rsidRPr="00BC76DE" w:rsidRDefault="0063719B" w:rsidP="00BC76DE">
            <w:pPr>
              <w:spacing w:after="0" w:line="240" w:lineRule="auto"/>
              <w:ind w:firstLine="0"/>
              <w:jc w:val="center"/>
              <w:rPr>
                <w:rFonts w:eastAsia="Times New Roman"/>
                <w:sz w:val="20"/>
                <w:szCs w:val="20"/>
                <w:lang w:eastAsia="pt-BR"/>
              </w:rPr>
            </w:pPr>
            <w:r w:rsidRPr="00BC76DE">
              <w:rPr>
                <w:rFonts w:eastAsia="Times New Roman"/>
                <w:sz w:val="20"/>
                <w:szCs w:val="20"/>
                <w:lang w:eastAsia="pt-BR"/>
              </w:rPr>
              <w:t>0,86</w:t>
            </w:r>
          </w:p>
        </w:tc>
        <w:tc>
          <w:tcPr>
            <w:tcW w:w="1309" w:type="dxa"/>
            <w:tcBorders>
              <w:top w:val="nil"/>
              <w:left w:val="single" w:sz="4" w:space="0" w:color="auto"/>
              <w:bottom w:val="single" w:sz="4" w:space="0" w:color="auto"/>
              <w:right w:val="nil"/>
            </w:tcBorders>
            <w:shd w:val="clear" w:color="auto" w:fill="auto"/>
            <w:noWrap/>
            <w:vAlign w:val="bottom"/>
            <w:hideMark/>
          </w:tcPr>
          <w:p w14:paraId="1554DD83" w14:textId="77777777" w:rsidR="0063719B" w:rsidRPr="00BC76DE" w:rsidRDefault="0063719B" w:rsidP="00BC76DE">
            <w:pPr>
              <w:spacing w:after="0" w:line="240" w:lineRule="auto"/>
              <w:ind w:firstLine="0"/>
              <w:jc w:val="center"/>
              <w:rPr>
                <w:rFonts w:eastAsia="Times New Roman"/>
                <w:sz w:val="20"/>
                <w:szCs w:val="20"/>
                <w:lang w:eastAsia="pt-BR"/>
              </w:rPr>
            </w:pPr>
            <w:r w:rsidRPr="00BC76DE">
              <w:rPr>
                <w:rFonts w:eastAsia="Times New Roman"/>
                <w:sz w:val="20"/>
                <w:szCs w:val="20"/>
                <w:lang w:eastAsia="pt-BR"/>
              </w:rPr>
              <w:t>0,85</w:t>
            </w:r>
          </w:p>
        </w:tc>
      </w:tr>
      <w:tr w:rsidR="0063719B" w:rsidRPr="00BC76DE" w14:paraId="4EFAB576" w14:textId="77777777" w:rsidTr="0064799D">
        <w:trPr>
          <w:trHeight w:val="189"/>
        </w:trPr>
        <w:tc>
          <w:tcPr>
            <w:tcW w:w="3571" w:type="dxa"/>
            <w:tcBorders>
              <w:top w:val="nil"/>
              <w:left w:val="nil"/>
              <w:bottom w:val="single" w:sz="12" w:space="0" w:color="auto"/>
              <w:right w:val="nil"/>
            </w:tcBorders>
            <w:shd w:val="clear" w:color="auto" w:fill="auto"/>
            <w:noWrap/>
            <w:vAlign w:val="bottom"/>
            <w:hideMark/>
          </w:tcPr>
          <w:p w14:paraId="0F1C627C" w14:textId="77777777" w:rsidR="0063719B" w:rsidRPr="00BC76DE" w:rsidRDefault="0063719B" w:rsidP="00BC76DE">
            <w:pPr>
              <w:spacing w:after="0" w:line="240" w:lineRule="auto"/>
              <w:ind w:firstLine="0"/>
              <w:jc w:val="left"/>
              <w:rPr>
                <w:rFonts w:eastAsia="Times New Roman"/>
                <w:sz w:val="20"/>
                <w:szCs w:val="20"/>
                <w:lang w:eastAsia="pt-BR"/>
              </w:rPr>
            </w:pPr>
            <w:r w:rsidRPr="00BC76DE">
              <w:rPr>
                <w:rFonts w:eastAsia="Times New Roman"/>
                <w:sz w:val="20"/>
                <w:szCs w:val="20"/>
                <w:lang w:eastAsia="pt-BR"/>
              </w:rPr>
              <w:t>Observações</w:t>
            </w:r>
          </w:p>
        </w:tc>
        <w:tc>
          <w:tcPr>
            <w:tcW w:w="910" w:type="dxa"/>
            <w:tcBorders>
              <w:top w:val="nil"/>
              <w:left w:val="single" w:sz="4" w:space="0" w:color="auto"/>
              <w:bottom w:val="single" w:sz="12" w:space="0" w:color="auto"/>
              <w:right w:val="single" w:sz="4" w:space="0" w:color="auto"/>
            </w:tcBorders>
            <w:shd w:val="clear" w:color="auto" w:fill="auto"/>
            <w:noWrap/>
            <w:vAlign w:val="bottom"/>
            <w:hideMark/>
          </w:tcPr>
          <w:p w14:paraId="4EFAED03" w14:textId="77777777" w:rsidR="0063719B" w:rsidRPr="00BC76DE" w:rsidRDefault="0063719B" w:rsidP="00BC76DE">
            <w:pPr>
              <w:spacing w:after="0" w:line="240" w:lineRule="auto"/>
              <w:ind w:firstLine="0"/>
              <w:jc w:val="center"/>
              <w:rPr>
                <w:rFonts w:eastAsia="Times New Roman"/>
                <w:sz w:val="20"/>
                <w:szCs w:val="20"/>
                <w:lang w:eastAsia="pt-BR"/>
              </w:rPr>
            </w:pPr>
            <w:r w:rsidRPr="00BC76DE">
              <w:rPr>
                <w:rFonts w:eastAsia="Times New Roman"/>
                <w:sz w:val="20"/>
                <w:szCs w:val="20"/>
                <w:lang w:eastAsia="pt-BR"/>
              </w:rPr>
              <w:t>34</w:t>
            </w:r>
          </w:p>
        </w:tc>
        <w:tc>
          <w:tcPr>
            <w:tcW w:w="910" w:type="dxa"/>
            <w:tcBorders>
              <w:top w:val="nil"/>
              <w:left w:val="nil"/>
              <w:bottom w:val="single" w:sz="12" w:space="0" w:color="auto"/>
              <w:right w:val="single" w:sz="4" w:space="0" w:color="auto"/>
            </w:tcBorders>
            <w:shd w:val="clear" w:color="auto" w:fill="auto"/>
            <w:noWrap/>
            <w:vAlign w:val="bottom"/>
            <w:hideMark/>
          </w:tcPr>
          <w:p w14:paraId="0B636E40" w14:textId="77777777" w:rsidR="0063719B" w:rsidRPr="00BC76DE" w:rsidRDefault="0063719B" w:rsidP="00BC76DE">
            <w:pPr>
              <w:spacing w:after="0" w:line="240" w:lineRule="auto"/>
              <w:ind w:firstLine="0"/>
              <w:jc w:val="center"/>
              <w:rPr>
                <w:rFonts w:eastAsia="Times New Roman"/>
                <w:sz w:val="20"/>
                <w:szCs w:val="20"/>
                <w:lang w:eastAsia="pt-BR"/>
              </w:rPr>
            </w:pPr>
            <w:r w:rsidRPr="00BC76DE">
              <w:rPr>
                <w:rFonts w:eastAsia="Times New Roman"/>
                <w:sz w:val="20"/>
                <w:szCs w:val="20"/>
                <w:lang w:eastAsia="pt-BR"/>
              </w:rPr>
              <w:t>34</w:t>
            </w:r>
          </w:p>
        </w:tc>
        <w:tc>
          <w:tcPr>
            <w:tcW w:w="910" w:type="dxa"/>
            <w:tcBorders>
              <w:top w:val="nil"/>
              <w:left w:val="nil"/>
              <w:bottom w:val="single" w:sz="12" w:space="0" w:color="auto"/>
              <w:right w:val="single" w:sz="4" w:space="0" w:color="auto"/>
            </w:tcBorders>
            <w:shd w:val="clear" w:color="auto" w:fill="auto"/>
            <w:noWrap/>
            <w:vAlign w:val="bottom"/>
            <w:hideMark/>
          </w:tcPr>
          <w:p w14:paraId="00893EC8" w14:textId="77777777" w:rsidR="0063719B" w:rsidRPr="00BC76DE" w:rsidRDefault="0063719B" w:rsidP="00BC76DE">
            <w:pPr>
              <w:spacing w:after="0" w:line="240" w:lineRule="auto"/>
              <w:ind w:firstLine="0"/>
              <w:jc w:val="center"/>
              <w:rPr>
                <w:rFonts w:eastAsia="Times New Roman"/>
                <w:sz w:val="20"/>
                <w:szCs w:val="20"/>
                <w:lang w:eastAsia="pt-BR"/>
              </w:rPr>
            </w:pPr>
            <w:r w:rsidRPr="00BC76DE">
              <w:rPr>
                <w:rFonts w:eastAsia="Times New Roman"/>
                <w:sz w:val="20"/>
                <w:szCs w:val="20"/>
                <w:lang w:eastAsia="pt-BR"/>
              </w:rPr>
              <w:t>34</w:t>
            </w:r>
          </w:p>
        </w:tc>
        <w:tc>
          <w:tcPr>
            <w:tcW w:w="910" w:type="dxa"/>
            <w:tcBorders>
              <w:top w:val="nil"/>
              <w:left w:val="nil"/>
              <w:bottom w:val="single" w:sz="12" w:space="0" w:color="auto"/>
              <w:right w:val="nil"/>
            </w:tcBorders>
            <w:shd w:val="clear" w:color="auto" w:fill="auto"/>
            <w:noWrap/>
            <w:vAlign w:val="bottom"/>
            <w:hideMark/>
          </w:tcPr>
          <w:p w14:paraId="2C3A349B" w14:textId="77777777" w:rsidR="0063719B" w:rsidRPr="00BC76DE" w:rsidRDefault="0063719B" w:rsidP="00BC76DE">
            <w:pPr>
              <w:spacing w:after="0" w:line="240" w:lineRule="auto"/>
              <w:ind w:firstLine="0"/>
              <w:jc w:val="center"/>
              <w:rPr>
                <w:rFonts w:eastAsia="Times New Roman"/>
                <w:sz w:val="20"/>
                <w:szCs w:val="20"/>
                <w:lang w:eastAsia="pt-BR"/>
              </w:rPr>
            </w:pPr>
            <w:r w:rsidRPr="00BC76DE">
              <w:rPr>
                <w:rFonts w:eastAsia="Times New Roman"/>
                <w:sz w:val="20"/>
                <w:szCs w:val="20"/>
                <w:lang w:eastAsia="pt-BR"/>
              </w:rPr>
              <w:t>34</w:t>
            </w:r>
          </w:p>
        </w:tc>
        <w:tc>
          <w:tcPr>
            <w:tcW w:w="1309" w:type="dxa"/>
            <w:tcBorders>
              <w:top w:val="nil"/>
              <w:left w:val="single" w:sz="4" w:space="0" w:color="auto"/>
              <w:bottom w:val="single" w:sz="12" w:space="0" w:color="auto"/>
              <w:right w:val="nil"/>
            </w:tcBorders>
            <w:shd w:val="clear" w:color="auto" w:fill="auto"/>
            <w:noWrap/>
            <w:vAlign w:val="bottom"/>
            <w:hideMark/>
          </w:tcPr>
          <w:p w14:paraId="5000EFC2" w14:textId="77777777" w:rsidR="0063719B" w:rsidRPr="00BC76DE" w:rsidRDefault="0063719B" w:rsidP="00BC76DE">
            <w:pPr>
              <w:spacing w:after="0" w:line="240" w:lineRule="auto"/>
              <w:ind w:firstLine="0"/>
              <w:jc w:val="center"/>
              <w:rPr>
                <w:rFonts w:eastAsia="Times New Roman"/>
                <w:sz w:val="20"/>
                <w:szCs w:val="20"/>
                <w:lang w:eastAsia="pt-BR"/>
              </w:rPr>
            </w:pPr>
            <w:r w:rsidRPr="00BC76DE">
              <w:rPr>
                <w:rFonts w:eastAsia="Times New Roman"/>
                <w:sz w:val="20"/>
                <w:szCs w:val="20"/>
                <w:lang w:eastAsia="pt-BR"/>
              </w:rPr>
              <w:t>136</w:t>
            </w:r>
          </w:p>
        </w:tc>
      </w:tr>
      <w:tr w:rsidR="0063719B" w:rsidRPr="00BC76DE" w14:paraId="3F7B38B5" w14:textId="77777777" w:rsidTr="0064799D">
        <w:trPr>
          <w:trHeight w:val="180"/>
        </w:trPr>
        <w:tc>
          <w:tcPr>
            <w:tcW w:w="3571" w:type="dxa"/>
            <w:tcBorders>
              <w:top w:val="single" w:sz="12" w:space="0" w:color="auto"/>
              <w:left w:val="nil"/>
              <w:bottom w:val="nil"/>
              <w:right w:val="nil"/>
            </w:tcBorders>
            <w:shd w:val="clear" w:color="auto" w:fill="auto"/>
            <w:noWrap/>
            <w:vAlign w:val="bottom"/>
            <w:hideMark/>
          </w:tcPr>
          <w:p w14:paraId="03105912" w14:textId="77777777" w:rsidR="0063719B" w:rsidRPr="00BC76DE" w:rsidRDefault="0063719B" w:rsidP="00BC76DE">
            <w:pPr>
              <w:spacing w:line="240" w:lineRule="auto"/>
              <w:ind w:firstLine="0"/>
              <w:jc w:val="left"/>
              <w:rPr>
                <w:rFonts w:eastAsia="Times New Roman"/>
                <w:sz w:val="20"/>
                <w:szCs w:val="20"/>
                <w:lang w:eastAsia="pt-BR"/>
              </w:rPr>
            </w:pPr>
            <w:r w:rsidRPr="00BC76DE">
              <w:rPr>
                <w:rFonts w:eastAsia="Times New Roman"/>
                <w:sz w:val="20"/>
                <w:szCs w:val="20"/>
                <w:lang w:eastAsia="pt-BR"/>
              </w:rPr>
              <w:t>Fonte: Dados da pesquisa.</w:t>
            </w:r>
          </w:p>
        </w:tc>
        <w:tc>
          <w:tcPr>
            <w:tcW w:w="910" w:type="dxa"/>
            <w:tcBorders>
              <w:top w:val="single" w:sz="12" w:space="0" w:color="auto"/>
              <w:left w:val="nil"/>
              <w:bottom w:val="nil"/>
              <w:right w:val="nil"/>
            </w:tcBorders>
            <w:shd w:val="clear" w:color="auto" w:fill="auto"/>
            <w:noWrap/>
            <w:vAlign w:val="bottom"/>
            <w:hideMark/>
          </w:tcPr>
          <w:p w14:paraId="2535BBEA" w14:textId="77777777" w:rsidR="0063719B" w:rsidRPr="00BC76DE" w:rsidRDefault="0063719B" w:rsidP="00BC76DE">
            <w:pPr>
              <w:spacing w:after="0" w:line="240" w:lineRule="auto"/>
              <w:ind w:firstLine="0"/>
              <w:jc w:val="left"/>
              <w:rPr>
                <w:rFonts w:eastAsia="Times New Roman"/>
                <w:sz w:val="20"/>
                <w:szCs w:val="20"/>
                <w:lang w:eastAsia="pt-BR"/>
              </w:rPr>
            </w:pPr>
          </w:p>
        </w:tc>
        <w:tc>
          <w:tcPr>
            <w:tcW w:w="910" w:type="dxa"/>
            <w:tcBorders>
              <w:top w:val="single" w:sz="12" w:space="0" w:color="auto"/>
              <w:left w:val="nil"/>
              <w:bottom w:val="nil"/>
              <w:right w:val="nil"/>
            </w:tcBorders>
            <w:shd w:val="clear" w:color="auto" w:fill="auto"/>
            <w:noWrap/>
            <w:vAlign w:val="bottom"/>
            <w:hideMark/>
          </w:tcPr>
          <w:p w14:paraId="1976D894" w14:textId="77777777" w:rsidR="0063719B" w:rsidRPr="00BC76DE" w:rsidRDefault="0063719B" w:rsidP="00BC76DE">
            <w:pPr>
              <w:spacing w:after="0" w:line="240" w:lineRule="auto"/>
              <w:ind w:firstLine="0"/>
              <w:jc w:val="left"/>
              <w:rPr>
                <w:rFonts w:eastAsia="Times New Roman"/>
                <w:sz w:val="20"/>
                <w:szCs w:val="20"/>
                <w:lang w:eastAsia="pt-BR"/>
              </w:rPr>
            </w:pPr>
          </w:p>
        </w:tc>
        <w:tc>
          <w:tcPr>
            <w:tcW w:w="910" w:type="dxa"/>
            <w:tcBorders>
              <w:top w:val="single" w:sz="12" w:space="0" w:color="auto"/>
              <w:left w:val="nil"/>
              <w:bottom w:val="nil"/>
              <w:right w:val="nil"/>
            </w:tcBorders>
            <w:shd w:val="clear" w:color="auto" w:fill="auto"/>
            <w:noWrap/>
            <w:vAlign w:val="bottom"/>
            <w:hideMark/>
          </w:tcPr>
          <w:p w14:paraId="7F5F64B4" w14:textId="77777777" w:rsidR="0063719B" w:rsidRPr="00BC76DE" w:rsidRDefault="0063719B" w:rsidP="00BC76DE">
            <w:pPr>
              <w:spacing w:after="0" w:line="240" w:lineRule="auto"/>
              <w:ind w:firstLine="0"/>
              <w:jc w:val="left"/>
              <w:rPr>
                <w:rFonts w:eastAsia="Times New Roman"/>
                <w:sz w:val="20"/>
                <w:szCs w:val="20"/>
                <w:lang w:eastAsia="pt-BR"/>
              </w:rPr>
            </w:pPr>
          </w:p>
        </w:tc>
        <w:tc>
          <w:tcPr>
            <w:tcW w:w="910" w:type="dxa"/>
            <w:tcBorders>
              <w:top w:val="single" w:sz="12" w:space="0" w:color="auto"/>
              <w:left w:val="nil"/>
              <w:bottom w:val="nil"/>
              <w:right w:val="nil"/>
            </w:tcBorders>
            <w:shd w:val="clear" w:color="auto" w:fill="auto"/>
            <w:noWrap/>
            <w:vAlign w:val="bottom"/>
            <w:hideMark/>
          </w:tcPr>
          <w:p w14:paraId="09A73D69" w14:textId="77777777" w:rsidR="0063719B" w:rsidRPr="00BC76DE" w:rsidRDefault="0063719B" w:rsidP="00BC76DE">
            <w:pPr>
              <w:spacing w:after="0" w:line="240" w:lineRule="auto"/>
              <w:ind w:firstLine="0"/>
              <w:jc w:val="left"/>
              <w:rPr>
                <w:rFonts w:eastAsia="Times New Roman"/>
                <w:sz w:val="20"/>
                <w:szCs w:val="20"/>
                <w:lang w:eastAsia="pt-BR"/>
              </w:rPr>
            </w:pPr>
          </w:p>
        </w:tc>
        <w:tc>
          <w:tcPr>
            <w:tcW w:w="1309" w:type="dxa"/>
            <w:tcBorders>
              <w:top w:val="single" w:sz="12" w:space="0" w:color="auto"/>
              <w:left w:val="nil"/>
              <w:bottom w:val="nil"/>
              <w:right w:val="nil"/>
            </w:tcBorders>
            <w:shd w:val="clear" w:color="auto" w:fill="auto"/>
            <w:noWrap/>
            <w:vAlign w:val="bottom"/>
            <w:hideMark/>
          </w:tcPr>
          <w:p w14:paraId="6FEBADE6" w14:textId="77777777" w:rsidR="0063719B" w:rsidRPr="00BC76DE" w:rsidRDefault="0063719B" w:rsidP="00BC76DE">
            <w:pPr>
              <w:spacing w:after="0" w:line="240" w:lineRule="auto"/>
              <w:ind w:firstLine="0"/>
              <w:jc w:val="left"/>
              <w:rPr>
                <w:rFonts w:eastAsia="Times New Roman"/>
                <w:sz w:val="20"/>
                <w:szCs w:val="20"/>
                <w:lang w:eastAsia="pt-BR"/>
              </w:rPr>
            </w:pPr>
          </w:p>
        </w:tc>
      </w:tr>
    </w:tbl>
    <w:p w14:paraId="4699F05A" w14:textId="77777777" w:rsidR="000C4BBF" w:rsidRDefault="0063719B" w:rsidP="000C4BBF">
      <w:pPr>
        <w:autoSpaceDE w:val="0"/>
        <w:autoSpaceDN w:val="0"/>
        <w:adjustRightInd w:val="0"/>
        <w:spacing w:after="0"/>
        <w:ind w:firstLine="708"/>
        <w:rPr>
          <w:szCs w:val="24"/>
          <w:lang w:eastAsia="pt-BR"/>
        </w:rPr>
      </w:pPr>
      <w:r w:rsidRPr="00E656E3">
        <w:rPr>
          <w:szCs w:val="24"/>
          <w:lang w:eastAsia="pt-BR"/>
        </w:rPr>
        <w:t>Observa-se inicialmente que a média do índice teve pouca oscilação de um ano para outro, um pequeno aumento, mas de forma homogênea. Com isso é possível afirmar, que as empresas, ao divulgarem suas informações, não modificam muito as informações que foram publicadas de um período para outro. Em relação ao coeficiente de variação é possível observar que houve pequena variação nos períodos em</w:t>
      </w:r>
      <w:r w:rsidR="000C4BBF">
        <w:rPr>
          <w:szCs w:val="24"/>
          <w:lang w:eastAsia="pt-BR"/>
        </w:rPr>
        <w:t xml:space="preserve"> análises, com pouca dispersão.</w:t>
      </w:r>
    </w:p>
    <w:p w14:paraId="0EAB280E" w14:textId="1AA6869D" w:rsidR="0063719B" w:rsidRPr="00E656E3" w:rsidRDefault="0063719B" w:rsidP="000C4BBF">
      <w:pPr>
        <w:autoSpaceDE w:val="0"/>
        <w:autoSpaceDN w:val="0"/>
        <w:adjustRightInd w:val="0"/>
        <w:spacing w:after="0"/>
        <w:ind w:firstLine="708"/>
        <w:rPr>
          <w:szCs w:val="24"/>
          <w:lang w:eastAsia="pt-BR"/>
        </w:rPr>
      </w:pPr>
      <w:r w:rsidRPr="00E656E3">
        <w:rPr>
          <w:szCs w:val="24"/>
          <w:lang w:eastAsia="pt-BR"/>
        </w:rPr>
        <w:t xml:space="preserve">Em todos os anos é possível observar que o bloco A denominado “Estrutura das Demonstrações” foi que obteve os maiores índices de divulgação, seguido do bloco B “Informações Gerais” e por último o bloco C das “Notas Explicativas”. </w:t>
      </w:r>
    </w:p>
    <w:p w14:paraId="572C6725" w14:textId="77777777" w:rsidR="009072D9" w:rsidRPr="00E656E3" w:rsidRDefault="0063719B" w:rsidP="00E240B6">
      <w:pPr>
        <w:autoSpaceDE w:val="0"/>
        <w:autoSpaceDN w:val="0"/>
        <w:adjustRightInd w:val="0"/>
        <w:spacing w:after="0"/>
        <w:ind w:firstLine="708"/>
        <w:rPr>
          <w:szCs w:val="24"/>
          <w:lang w:eastAsia="pt-BR"/>
        </w:rPr>
      </w:pPr>
      <w:r w:rsidRPr="00E656E3">
        <w:rPr>
          <w:szCs w:val="24"/>
          <w:lang w:eastAsia="pt-BR"/>
        </w:rPr>
        <w:t xml:space="preserve">Notou-se que determinadas empresas não divulgam itens básicos sobre informações importantes para a avaliação da situação econômica, financeira e patrimonial da companhia e para o exame da gestão dos administradores, tais como, critérios de mensuração de ativos passivos; taxas e prazos das obrigações à longo prazo; lucro por ação; e fatos relevantes. </w:t>
      </w:r>
      <w:bookmarkStart w:id="25" w:name="_Toc411461693"/>
    </w:p>
    <w:p w14:paraId="28486876" w14:textId="77777777" w:rsidR="00DC4473" w:rsidRDefault="00DC4473" w:rsidP="00E240B6">
      <w:pPr>
        <w:autoSpaceDE w:val="0"/>
        <w:autoSpaceDN w:val="0"/>
        <w:adjustRightInd w:val="0"/>
        <w:spacing w:after="0"/>
        <w:ind w:firstLine="0"/>
        <w:rPr>
          <w:b/>
          <w:szCs w:val="24"/>
          <w:lang w:eastAsia="pt-BR"/>
        </w:rPr>
      </w:pPr>
    </w:p>
    <w:p w14:paraId="5D7DC9E9" w14:textId="77777777" w:rsidR="009072D9" w:rsidRPr="00E656E3" w:rsidRDefault="00886FF9" w:rsidP="00E240B6">
      <w:pPr>
        <w:autoSpaceDE w:val="0"/>
        <w:autoSpaceDN w:val="0"/>
        <w:adjustRightInd w:val="0"/>
        <w:spacing w:after="0"/>
        <w:ind w:firstLine="0"/>
        <w:rPr>
          <w:szCs w:val="24"/>
          <w:lang w:eastAsia="pt-BR"/>
        </w:rPr>
      </w:pPr>
      <w:r w:rsidRPr="00E656E3">
        <w:rPr>
          <w:b/>
          <w:szCs w:val="24"/>
          <w:lang w:eastAsia="pt-BR"/>
        </w:rPr>
        <w:t>4.2</w:t>
      </w:r>
      <w:r w:rsidR="0063719B" w:rsidRPr="00E656E3">
        <w:rPr>
          <w:b/>
          <w:szCs w:val="24"/>
          <w:lang w:eastAsia="pt-BR"/>
        </w:rPr>
        <w:t xml:space="preserve"> Suavização de Resultados</w:t>
      </w:r>
      <w:bookmarkEnd w:id="25"/>
    </w:p>
    <w:p w14:paraId="3DB7D6D2" w14:textId="68433D32" w:rsidR="00886FF9" w:rsidRPr="00E656E3" w:rsidRDefault="0063719B" w:rsidP="00A50D98">
      <w:pPr>
        <w:autoSpaceDE w:val="0"/>
        <w:autoSpaceDN w:val="0"/>
        <w:adjustRightInd w:val="0"/>
        <w:spacing w:after="0"/>
        <w:ind w:firstLine="720"/>
        <w:rPr>
          <w:szCs w:val="24"/>
          <w:lang w:eastAsia="pt-BR"/>
        </w:rPr>
      </w:pPr>
      <w:r w:rsidRPr="00E656E3">
        <w:rPr>
          <w:szCs w:val="24"/>
          <w:lang w:eastAsia="pt-BR"/>
        </w:rPr>
        <w:t>Neste</w:t>
      </w:r>
      <w:r w:rsidRPr="00E656E3">
        <w:rPr>
          <w:b/>
          <w:szCs w:val="24"/>
          <w:lang w:eastAsia="pt-BR"/>
        </w:rPr>
        <w:t xml:space="preserve"> </w:t>
      </w:r>
      <w:r w:rsidRPr="00E656E3">
        <w:rPr>
          <w:szCs w:val="24"/>
          <w:lang w:eastAsia="pt-BR"/>
        </w:rPr>
        <w:t xml:space="preserve">estudo foi utilizada a métrica ISE de Eckel (1981) como principal indicador do comportamento de suavização de resultados e as métricas EM1 e EM3 de Leuz, Nanda e Wysocky (2003) como medidas confirmatórias da suavização de resultados. Na Tabela </w:t>
      </w:r>
      <w:r w:rsidR="009E3A92">
        <w:rPr>
          <w:szCs w:val="24"/>
          <w:lang w:eastAsia="pt-BR"/>
        </w:rPr>
        <w:t>2</w:t>
      </w:r>
      <w:r w:rsidRPr="00E656E3">
        <w:rPr>
          <w:szCs w:val="24"/>
          <w:lang w:eastAsia="pt-BR"/>
        </w:rPr>
        <w:t xml:space="preserve"> apresentam-se os resulta</w:t>
      </w:r>
      <w:r w:rsidR="00A50D98">
        <w:rPr>
          <w:szCs w:val="24"/>
          <w:lang w:eastAsia="pt-BR"/>
        </w:rPr>
        <w:t xml:space="preserve">dos da estatística descritiva. </w:t>
      </w:r>
    </w:p>
    <w:tbl>
      <w:tblPr>
        <w:tblW w:w="8642" w:type="dxa"/>
        <w:tblInd w:w="55" w:type="dxa"/>
        <w:tblCellMar>
          <w:left w:w="70" w:type="dxa"/>
          <w:right w:w="70" w:type="dxa"/>
        </w:tblCellMar>
        <w:tblLook w:val="04A0" w:firstRow="1" w:lastRow="0" w:firstColumn="1" w:lastColumn="0" w:noHBand="0" w:noVBand="1"/>
      </w:tblPr>
      <w:tblGrid>
        <w:gridCol w:w="2252"/>
        <w:gridCol w:w="1111"/>
        <w:gridCol w:w="1110"/>
        <w:gridCol w:w="1948"/>
        <w:gridCol w:w="1110"/>
        <w:gridCol w:w="1111"/>
      </w:tblGrid>
      <w:tr w:rsidR="0063719B" w:rsidRPr="00A50D98" w14:paraId="4C70CF1D" w14:textId="77777777" w:rsidTr="0064799D">
        <w:trPr>
          <w:trHeight w:val="271"/>
        </w:trPr>
        <w:tc>
          <w:tcPr>
            <w:tcW w:w="8642" w:type="dxa"/>
            <w:gridSpan w:val="6"/>
            <w:tcBorders>
              <w:top w:val="nil"/>
              <w:left w:val="nil"/>
              <w:bottom w:val="single" w:sz="12" w:space="0" w:color="auto"/>
              <w:right w:val="nil"/>
            </w:tcBorders>
            <w:shd w:val="clear" w:color="auto" w:fill="auto"/>
            <w:noWrap/>
            <w:vAlign w:val="bottom"/>
            <w:hideMark/>
          </w:tcPr>
          <w:p w14:paraId="675BEBC5" w14:textId="44C952F5" w:rsidR="0063719B" w:rsidRPr="009C2487" w:rsidRDefault="0063719B" w:rsidP="009E3A92">
            <w:pPr>
              <w:spacing w:after="0" w:line="240" w:lineRule="auto"/>
              <w:ind w:firstLine="0"/>
              <w:jc w:val="center"/>
              <w:rPr>
                <w:sz w:val="20"/>
                <w:szCs w:val="20"/>
              </w:rPr>
            </w:pPr>
            <w:bookmarkStart w:id="26" w:name="_Toc413140833"/>
            <w:r w:rsidRPr="009C2487">
              <w:rPr>
                <w:b/>
                <w:sz w:val="20"/>
                <w:szCs w:val="20"/>
              </w:rPr>
              <w:t xml:space="preserve">Tabela </w:t>
            </w:r>
            <w:r w:rsidR="009E3A92">
              <w:rPr>
                <w:b/>
                <w:sz w:val="20"/>
                <w:szCs w:val="20"/>
              </w:rPr>
              <w:t>2</w:t>
            </w:r>
            <w:r w:rsidR="009C2487">
              <w:rPr>
                <w:sz w:val="20"/>
                <w:szCs w:val="20"/>
              </w:rPr>
              <w:t xml:space="preserve">: </w:t>
            </w:r>
            <w:r w:rsidRPr="009C2487">
              <w:rPr>
                <w:rFonts w:eastAsia="Times New Roman"/>
                <w:sz w:val="20"/>
                <w:szCs w:val="20"/>
                <w:lang w:eastAsia="pt-BR"/>
              </w:rPr>
              <w:t>Estatística descritiva das métricas de suavização de resultados</w:t>
            </w:r>
            <w:bookmarkEnd w:id="26"/>
          </w:p>
        </w:tc>
      </w:tr>
      <w:tr w:rsidR="0063719B" w:rsidRPr="00A50D98" w14:paraId="185410DA" w14:textId="77777777" w:rsidTr="0064799D">
        <w:trPr>
          <w:trHeight w:val="258"/>
        </w:trPr>
        <w:tc>
          <w:tcPr>
            <w:tcW w:w="2252" w:type="dxa"/>
            <w:vMerge w:val="restart"/>
            <w:tcBorders>
              <w:top w:val="single" w:sz="12" w:space="0" w:color="auto"/>
              <w:left w:val="nil"/>
              <w:bottom w:val="single" w:sz="4" w:space="0" w:color="000000"/>
              <w:right w:val="single" w:sz="4" w:space="0" w:color="auto"/>
            </w:tcBorders>
            <w:shd w:val="clear" w:color="auto" w:fill="auto"/>
            <w:noWrap/>
            <w:vAlign w:val="center"/>
            <w:hideMark/>
          </w:tcPr>
          <w:p w14:paraId="1EC6709E" w14:textId="77777777" w:rsidR="0063719B" w:rsidRPr="00A50D98" w:rsidRDefault="0063719B" w:rsidP="00A50D98">
            <w:pPr>
              <w:spacing w:after="0" w:line="240" w:lineRule="auto"/>
              <w:ind w:firstLine="0"/>
              <w:jc w:val="left"/>
              <w:rPr>
                <w:rFonts w:eastAsia="Times New Roman"/>
                <w:b/>
                <w:bCs/>
                <w:sz w:val="20"/>
                <w:szCs w:val="20"/>
                <w:lang w:eastAsia="pt-BR"/>
              </w:rPr>
            </w:pPr>
            <w:r w:rsidRPr="00A50D98">
              <w:rPr>
                <w:rFonts w:eastAsia="Times New Roman"/>
                <w:b/>
                <w:bCs/>
                <w:sz w:val="20"/>
                <w:szCs w:val="20"/>
                <w:lang w:eastAsia="pt-BR"/>
              </w:rPr>
              <w:t>Medidas Estatísticas</w:t>
            </w:r>
          </w:p>
        </w:tc>
        <w:tc>
          <w:tcPr>
            <w:tcW w:w="6390" w:type="dxa"/>
            <w:gridSpan w:val="5"/>
            <w:tcBorders>
              <w:top w:val="single" w:sz="12" w:space="0" w:color="auto"/>
              <w:left w:val="nil"/>
              <w:bottom w:val="single" w:sz="4" w:space="0" w:color="auto"/>
              <w:right w:val="nil"/>
            </w:tcBorders>
            <w:shd w:val="clear" w:color="auto" w:fill="auto"/>
            <w:noWrap/>
            <w:vAlign w:val="bottom"/>
            <w:hideMark/>
          </w:tcPr>
          <w:p w14:paraId="3DDB1226" w14:textId="77777777" w:rsidR="0063719B" w:rsidRPr="00A50D98" w:rsidRDefault="0063719B" w:rsidP="00A50D98">
            <w:pPr>
              <w:spacing w:after="0" w:line="240" w:lineRule="auto"/>
              <w:ind w:firstLine="0"/>
              <w:jc w:val="center"/>
              <w:rPr>
                <w:rFonts w:eastAsia="Times New Roman"/>
                <w:b/>
                <w:bCs/>
                <w:sz w:val="20"/>
                <w:szCs w:val="20"/>
                <w:lang w:eastAsia="pt-BR"/>
              </w:rPr>
            </w:pPr>
            <w:r w:rsidRPr="00A50D98">
              <w:rPr>
                <w:rFonts w:eastAsia="Times New Roman"/>
                <w:b/>
                <w:bCs/>
                <w:sz w:val="20"/>
                <w:szCs w:val="20"/>
                <w:lang w:eastAsia="pt-BR"/>
              </w:rPr>
              <w:t xml:space="preserve"> Período </w:t>
            </w:r>
          </w:p>
        </w:tc>
      </w:tr>
      <w:tr w:rsidR="0063719B" w:rsidRPr="00A50D98" w14:paraId="4DB97B3B" w14:textId="77777777" w:rsidTr="0064799D">
        <w:trPr>
          <w:trHeight w:val="258"/>
        </w:trPr>
        <w:tc>
          <w:tcPr>
            <w:tcW w:w="2252" w:type="dxa"/>
            <w:vMerge/>
            <w:tcBorders>
              <w:top w:val="nil"/>
              <w:left w:val="nil"/>
              <w:bottom w:val="single" w:sz="4" w:space="0" w:color="000000"/>
              <w:right w:val="single" w:sz="4" w:space="0" w:color="auto"/>
            </w:tcBorders>
            <w:vAlign w:val="center"/>
            <w:hideMark/>
          </w:tcPr>
          <w:p w14:paraId="6C1734E3" w14:textId="77777777" w:rsidR="0063719B" w:rsidRPr="00A50D98" w:rsidRDefault="0063719B" w:rsidP="00A50D98">
            <w:pPr>
              <w:spacing w:after="0" w:line="240" w:lineRule="auto"/>
              <w:ind w:firstLine="0"/>
              <w:jc w:val="left"/>
              <w:rPr>
                <w:rFonts w:eastAsia="Times New Roman"/>
                <w:b/>
                <w:bCs/>
                <w:sz w:val="20"/>
                <w:szCs w:val="20"/>
                <w:lang w:eastAsia="pt-BR"/>
              </w:rPr>
            </w:pPr>
          </w:p>
        </w:tc>
        <w:tc>
          <w:tcPr>
            <w:tcW w:w="1111" w:type="dxa"/>
            <w:tcBorders>
              <w:top w:val="nil"/>
              <w:left w:val="nil"/>
              <w:bottom w:val="single" w:sz="4" w:space="0" w:color="auto"/>
              <w:right w:val="single" w:sz="4" w:space="0" w:color="auto"/>
            </w:tcBorders>
            <w:shd w:val="clear" w:color="auto" w:fill="auto"/>
            <w:noWrap/>
            <w:vAlign w:val="bottom"/>
            <w:hideMark/>
          </w:tcPr>
          <w:p w14:paraId="5154E36C" w14:textId="77777777" w:rsidR="0063719B" w:rsidRPr="00A50D98" w:rsidRDefault="0063719B" w:rsidP="00A50D98">
            <w:pPr>
              <w:spacing w:after="0" w:line="240" w:lineRule="auto"/>
              <w:ind w:firstLine="0"/>
              <w:jc w:val="center"/>
              <w:rPr>
                <w:rFonts w:eastAsia="Times New Roman"/>
                <w:b/>
                <w:bCs/>
                <w:sz w:val="20"/>
                <w:szCs w:val="20"/>
                <w:lang w:eastAsia="pt-BR"/>
              </w:rPr>
            </w:pPr>
            <w:r w:rsidRPr="00A50D98">
              <w:rPr>
                <w:rFonts w:eastAsia="Times New Roman"/>
                <w:b/>
                <w:bCs/>
                <w:sz w:val="20"/>
                <w:szCs w:val="20"/>
                <w:lang w:eastAsia="pt-BR"/>
              </w:rPr>
              <w:t>2010</w:t>
            </w:r>
          </w:p>
        </w:tc>
        <w:tc>
          <w:tcPr>
            <w:tcW w:w="1110" w:type="dxa"/>
            <w:tcBorders>
              <w:top w:val="nil"/>
              <w:left w:val="nil"/>
              <w:bottom w:val="single" w:sz="4" w:space="0" w:color="auto"/>
              <w:right w:val="single" w:sz="4" w:space="0" w:color="auto"/>
            </w:tcBorders>
            <w:shd w:val="clear" w:color="auto" w:fill="auto"/>
            <w:noWrap/>
            <w:vAlign w:val="bottom"/>
            <w:hideMark/>
          </w:tcPr>
          <w:p w14:paraId="40A582EC" w14:textId="77777777" w:rsidR="0063719B" w:rsidRPr="00A50D98" w:rsidRDefault="0063719B" w:rsidP="00A50D98">
            <w:pPr>
              <w:spacing w:after="0" w:line="240" w:lineRule="auto"/>
              <w:ind w:firstLine="0"/>
              <w:jc w:val="center"/>
              <w:rPr>
                <w:rFonts w:eastAsia="Times New Roman"/>
                <w:b/>
                <w:bCs/>
                <w:sz w:val="20"/>
                <w:szCs w:val="20"/>
                <w:lang w:eastAsia="pt-BR"/>
              </w:rPr>
            </w:pPr>
            <w:r w:rsidRPr="00A50D98">
              <w:rPr>
                <w:rFonts w:eastAsia="Times New Roman"/>
                <w:b/>
                <w:bCs/>
                <w:sz w:val="20"/>
                <w:szCs w:val="20"/>
                <w:lang w:eastAsia="pt-BR"/>
              </w:rPr>
              <w:t>2011</w:t>
            </w:r>
          </w:p>
        </w:tc>
        <w:tc>
          <w:tcPr>
            <w:tcW w:w="1948" w:type="dxa"/>
            <w:tcBorders>
              <w:top w:val="nil"/>
              <w:left w:val="nil"/>
              <w:bottom w:val="single" w:sz="4" w:space="0" w:color="auto"/>
              <w:right w:val="single" w:sz="4" w:space="0" w:color="auto"/>
            </w:tcBorders>
            <w:shd w:val="clear" w:color="auto" w:fill="auto"/>
            <w:noWrap/>
            <w:vAlign w:val="bottom"/>
            <w:hideMark/>
          </w:tcPr>
          <w:p w14:paraId="289C65A9" w14:textId="77777777" w:rsidR="0063719B" w:rsidRPr="00A50D98" w:rsidRDefault="0063719B" w:rsidP="00A50D98">
            <w:pPr>
              <w:spacing w:after="0" w:line="240" w:lineRule="auto"/>
              <w:ind w:firstLine="0"/>
              <w:jc w:val="center"/>
              <w:rPr>
                <w:rFonts w:eastAsia="Times New Roman"/>
                <w:b/>
                <w:bCs/>
                <w:sz w:val="20"/>
                <w:szCs w:val="20"/>
                <w:lang w:eastAsia="pt-BR"/>
              </w:rPr>
            </w:pPr>
            <w:r w:rsidRPr="00A50D98">
              <w:rPr>
                <w:rFonts w:eastAsia="Times New Roman"/>
                <w:b/>
                <w:bCs/>
                <w:sz w:val="20"/>
                <w:szCs w:val="20"/>
                <w:lang w:eastAsia="pt-BR"/>
              </w:rPr>
              <w:t>2012</w:t>
            </w:r>
          </w:p>
        </w:tc>
        <w:tc>
          <w:tcPr>
            <w:tcW w:w="1110" w:type="dxa"/>
            <w:tcBorders>
              <w:top w:val="nil"/>
              <w:left w:val="nil"/>
              <w:bottom w:val="single" w:sz="4" w:space="0" w:color="auto"/>
              <w:right w:val="nil"/>
            </w:tcBorders>
            <w:shd w:val="clear" w:color="auto" w:fill="auto"/>
            <w:noWrap/>
            <w:vAlign w:val="bottom"/>
            <w:hideMark/>
          </w:tcPr>
          <w:p w14:paraId="12F4DAA4" w14:textId="77777777" w:rsidR="0063719B" w:rsidRPr="00A50D98" w:rsidRDefault="0063719B" w:rsidP="00A50D98">
            <w:pPr>
              <w:spacing w:after="0" w:line="240" w:lineRule="auto"/>
              <w:ind w:firstLine="0"/>
              <w:jc w:val="center"/>
              <w:rPr>
                <w:rFonts w:eastAsia="Times New Roman"/>
                <w:b/>
                <w:bCs/>
                <w:sz w:val="20"/>
                <w:szCs w:val="20"/>
                <w:lang w:eastAsia="pt-BR"/>
              </w:rPr>
            </w:pPr>
            <w:r w:rsidRPr="00A50D98">
              <w:rPr>
                <w:rFonts w:eastAsia="Times New Roman"/>
                <w:b/>
                <w:bCs/>
                <w:sz w:val="20"/>
                <w:szCs w:val="20"/>
                <w:lang w:eastAsia="pt-BR"/>
              </w:rPr>
              <w:t>2013</w:t>
            </w:r>
          </w:p>
        </w:tc>
        <w:tc>
          <w:tcPr>
            <w:tcW w:w="1111" w:type="dxa"/>
            <w:tcBorders>
              <w:top w:val="nil"/>
              <w:left w:val="single" w:sz="4" w:space="0" w:color="auto"/>
              <w:bottom w:val="single" w:sz="4" w:space="0" w:color="auto"/>
              <w:right w:val="nil"/>
            </w:tcBorders>
            <w:shd w:val="clear" w:color="auto" w:fill="auto"/>
            <w:noWrap/>
            <w:vAlign w:val="bottom"/>
            <w:hideMark/>
          </w:tcPr>
          <w:p w14:paraId="56747BAD" w14:textId="77777777" w:rsidR="0063719B" w:rsidRPr="00A50D98" w:rsidRDefault="0063719B" w:rsidP="00A50D98">
            <w:pPr>
              <w:spacing w:after="0" w:line="240" w:lineRule="auto"/>
              <w:ind w:firstLine="0"/>
              <w:jc w:val="center"/>
              <w:rPr>
                <w:rFonts w:eastAsia="Times New Roman"/>
                <w:b/>
                <w:bCs/>
                <w:sz w:val="20"/>
                <w:szCs w:val="20"/>
                <w:lang w:eastAsia="pt-BR"/>
              </w:rPr>
            </w:pPr>
            <w:r w:rsidRPr="00A50D98">
              <w:rPr>
                <w:rFonts w:eastAsia="Times New Roman"/>
                <w:b/>
                <w:bCs/>
                <w:sz w:val="20"/>
                <w:szCs w:val="20"/>
                <w:lang w:eastAsia="pt-BR"/>
              </w:rPr>
              <w:t>2010-2013</w:t>
            </w:r>
          </w:p>
        </w:tc>
      </w:tr>
      <w:tr w:rsidR="0063719B" w:rsidRPr="00A50D98" w14:paraId="1E468B0C" w14:textId="77777777" w:rsidTr="0064799D">
        <w:trPr>
          <w:trHeight w:val="258"/>
        </w:trPr>
        <w:tc>
          <w:tcPr>
            <w:tcW w:w="2252" w:type="dxa"/>
            <w:tcBorders>
              <w:top w:val="nil"/>
              <w:left w:val="nil"/>
              <w:bottom w:val="single" w:sz="4" w:space="0" w:color="auto"/>
              <w:right w:val="nil"/>
            </w:tcBorders>
            <w:shd w:val="clear" w:color="auto" w:fill="auto"/>
            <w:noWrap/>
            <w:vAlign w:val="bottom"/>
            <w:hideMark/>
          </w:tcPr>
          <w:p w14:paraId="5FB9690A" w14:textId="77777777" w:rsidR="0063719B" w:rsidRPr="00A50D98" w:rsidRDefault="0063719B" w:rsidP="00A50D98">
            <w:pPr>
              <w:spacing w:after="0" w:line="240" w:lineRule="auto"/>
              <w:ind w:firstLine="0"/>
              <w:jc w:val="left"/>
              <w:rPr>
                <w:rFonts w:eastAsia="Times New Roman"/>
                <w:sz w:val="20"/>
                <w:szCs w:val="20"/>
                <w:lang w:eastAsia="pt-BR"/>
              </w:rPr>
            </w:pPr>
            <w:r w:rsidRPr="00A50D98">
              <w:rPr>
                <w:rFonts w:eastAsia="Times New Roman"/>
                <w:sz w:val="20"/>
                <w:szCs w:val="20"/>
                <w:lang w:eastAsia="pt-BR"/>
              </w:rPr>
              <w:t>Média ISE</w:t>
            </w:r>
          </w:p>
        </w:tc>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66FF7FF8"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4,74</w:t>
            </w:r>
          </w:p>
        </w:tc>
        <w:tc>
          <w:tcPr>
            <w:tcW w:w="1110" w:type="dxa"/>
            <w:tcBorders>
              <w:top w:val="nil"/>
              <w:left w:val="nil"/>
              <w:bottom w:val="single" w:sz="4" w:space="0" w:color="auto"/>
              <w:right w:val="single" w:sz="4" w:space="0" w:color="auto"/>
            </w:tcBorders>
            <w:shd w:val="clear" w:color="auto" w:fill="auto"/>
            <w:noWrap/>
            <w:vAlign w:val="bottom"/>
            <w:hideMark/>
          </w:tcPr>
          <w:p w14:paraId="72DD370A"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4,95</w:t>
            </w:r>
          </w:p>
        </w:tc>
        <w:tc>
          <w:tcPr>
            <w:tcW w:w="1948" w:type="dxa"/>
            <w:tcBorders>
              <w:top w:val="nil"/>
              <w:left w:val="nil"/>
              <w:bottom w:val="single" w:sz="4" w:space="0" w:color="auto"/>
              <w:right w:val="single" w:sz="4" w:space="0" w:color="auto"/>
            </w:tcBorders>
            <w:shd w:val="clear" w:color="auto" w:fill="auto"/>
            <w:noWrap/>
            <w:vAlign w:val="bottom"/>
            <w:hideMark/>
          </w:tcPr>
          <w:p w14:paraId="2B9574B1"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5,67</w:t>
            </w:r>
          </w:p>
        </w:tc>
        <w:tc>
          <w:tcPr>
            <w:tcW w:w="1110" w:type="dxa"/>
            <w:tcBorders>
              <w:top w:val="nil"/>
              <w:left w:val="nil"/>
              <w:bottom w:val="single" w:sz="4" w:space="0" w:color="auto"/>
              <w:right w:val="nil"/>
            </w:tcBorders>
            <w:shd w:val="clear" w:color="auto" w:fill="auto"/>
            <w:noWrap/>
            <w:vAlign w:val="bottom"/>
            <w:hideMark/>
          </w:tcPr>
          <w:p w14:paraId="1FAA8019"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8,57</w:t>
            </w:r>
          </w:p>
        </w:tc>
        <w:tc>
          <w:tcPr>
            <w:tcW w:w="1111" w:type="dxa"/>
            <w:tcBorders>
              <w:top w:val="nil"/>
              <w:left w:val="single" w:sz="4" w:space="0" w:color="auto"/>
              <w:bottom w:val="single" w:sz="4" w:space="0" w:color="auto"/>
              <w:right w:val="nil"/>
            </w:tcBorders>
            <w:shd w:val="clear" w:color="auto" w:fill="auto"/>
            <w:noWrap/>
            <w:vAlign w:val="bottom"/>
            <w:hideMark/>
          </w:tcPr>
          <w:p w14:paraId="6B00F1BB"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5,98</w:t>
            </w:r>
          </w:p>
        </w:tc>
      </w:tr>
      <w:tr w:rsidR="0063719B" w:rsidRPr="00A50D98" w14:paraId="1A19D8BD" w14:textId="77777777" w:rsidTr="0064799D">
        <w:trPr>
          <w:trHeight w:val="258"/>
        </w:trPr>
        <w:tc>
          <w:tcPr>
            <w:tcW w:w="2252" w:type="dxa"/>
            <w:tcBorders>
              <w:top w:val="nil"/>
              <w:left w:val="nil"/>
              <w:bottom w:val="single" w:sz="4" w:space="0" w:color="auto"/>
              <w:right w:val="nil"/>
            </w:tcBorders>
            <w:shd w:val="clear" w:color="auto" w:fill="auto"/>
            <w:noWrap/>
            <w:vAlign w:val="bottom"/>
            <w:hideMark/>
          </w:tcPr>
          <w:p w14:paraId="1351056F" w14:textId="77777777" w:rsidR="0063719B" w:rsidRPr="00A50D98" w:rsidRDefault="0063719B" w:rsidP="00A50D98">
            <w:pPr>
              <w:spacing w:after="0" w:line="240" w:lineRule="auto"/>
              <w:ind w:firstLine="0"/>
              <w:jc w:val="left"/>
              <w:rPr>
                <w:rFonts w:eastAsia="Times New Roman"/>
                <w:sz w:val="20"/>
                <w:szCs w:val="20"/>
                <w:lang w:eastAsia="pt-BR"/>
              </w:rPr>
            </w:pPr>
            <w:r w:rsidRPr="00A50D98">
              <w:rPr>
                <w:rFonts w:eastAsia="Times New Roman"/>
                <w:sz w:val="20"/>
                <w:szCs w:val="20"/>
                <w:lang w:eastAsia="pt-BR"/>
              </w:rPr>
              <w:t>Média EM1</w:t>
            </w:r>
          </w:p>
        </w:tc>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264A1E09"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14,38</w:t>
            </w:r>
          </w:p>
        </w:tc>
        <w:tc>
          <w:tcPr>
            <w:tcW w:w="1110" w:type="dxa"/>
            <w:tcBorders>
              <w:top w:val="nil"/>
              <w:left w:val="nil"/>
              <w:bottom w:val="single" w:sz="4" w:space="0" w:color="auto"/>
              <w:right w:val="single" w:sz="4" w:space="0" w:color="auto"/>
            </w:tcBorders>
            <w:shd w:val="clear" w:color="auto" w:fill="auto"/>
            <w:noWrap/>
            <w:vAlign w:val="bottom"/>
            <w:hideMark/>
          </w:tcPr>
          <w:p w14:paraId="046F0748"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2,58</w:t>
            </w:r>
          </w:p>
        </w:tc>
        <w:tc>
          <w:tcPr>
            <w:tcW w:w="1948" w:type="dxa"/>
            <w:tcBorders>
              <w:top w:val="nil"/>
              <w:left w:val="nil"/>
              <w:bottom w:val="single" w:sz="4" w:space="0" w:color="auto"/>
              <w:right w:val="single" w:sz="4" w:space="0" w:color="auto"/>
            </w:tcBorders>
            <w:shd w:val="clear" w:color="auto" w:fill="auto"/>
            <w:noWrap/>
            <w:vAlign w:val="bottom"/>
            <w:hideMark/>
          </w:tcPr>
          <w:p w14:paraId="3276F7A0"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12,59</w:t>
            </w:r>
          </w:p>
        </w:tc>
        <w:tc>
          <w:tcPr>
            <w:tcW w:w="1110" w:type="dxa"/>
            <w:tcBorders>
              <w:top w:val="nil"/>
              <w:left w:val="nil"/>
              <w:bottom w:val="single" w:sz="4" w:space="0" w:color="auto"/>
              <w:right w:val="nil"/>
            </w:tcBorders>
            <w:shd w:val="clear" w:color="auto" w:fill="auto"/>
            <w:noWrap/>
            <w:vAlign w:val="bottom"/>
            <w:hideMark/>
          </w:tcPr>
          <w:p w14:paraId="19067DE2"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6,31</w:t>
            </w:r>
          </w:p>
        </w:tc>
        <w:tc>
          <w:tcPr>
            <w:tcW w:w="1111" w:type="dxa"/>
            <w:tcBorders>
              <w:top w:val="nil"/>
              <w:left w:val="single" w:sz="4" w:space="0" w:color="auto"/>
              <w:bottom w:val="single" w:sz="4" w:space="0" w:color="auto"/>
              <w:right w:val="nil"/>
            </w:tcBorders>
            <w:shd w:val="clear" w:color="auto" w:fill="auto"/>
            <w:noWrap/>
            <w:vAlign w:val="bottom"/>
            <w:hideMark/>
          </w:tcPr>
          <w:p w14:paraId="291808E4"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8,96</w:t>
            </w:r>
          </w:p>
        </w:tc>
      </w:tr>
      <w:tr w:rsidR="0063719B" w:rsidRPr="00A50D98" w14:paraId="3EF36621" w14:textId="77777777" w:rsidTr="0064799D">
        <w:trPr>
          <w:trHeight w:val="258"/>
        </w:trPr>
        <w:tc>
          <w:tcPr>
            <w:tcW w:w="2252" w:type="dxa"/>
            <w:tcBorders>
              <w:top w:val="nil"/>
              <w:left w:val="nil"/>
              <w:bottom w:val="single" w:sz="4" w:space="0" w:color="auto"/>
              <w:right w:val="nil"/>
            </w:tcBorders>
            <w:shd w:val="clear" w:color="auto" w:fill="auto"/>
            <w:noWrap/>
            <w:vAlign w:val="bottom"/>
            <w:hideMark/>
          </w:tcPr>
          <w:p w14:paraId="6C9C9031" w14:textId="77777777" w:rsidR="0063719B" w:rsidRPr="00A50D98" w:rsidRDefault="0063719B" w:rsidP="00A50D98">
            <w:pPr>
              <w:spacing w:after="0" w:line="240" w:lineRule="auto"/>
              <w:ind w:firstLine="0"/>
              <w:jc w:val="left"/>
              <w:rPr>
                <w:rFonts w:eastAsia="Times New Roman"/>
                <w:sz w:val="20"/>
                <w:szCs w:val="20"/>
                <w:lang w:eastAsia="pt-BR"/>
              </w:rPr>
            </w:pPr>
            <w:r w:rsidRPr="00A50D98">
              <w:rPr>
                <w:rFonts w:eastAsia="Times New Roman"/>
                <w:sz w:val="20"/>
                <w:szCs w:val="20"/>
                <w:lang w:eastAsia="pt-BR"/>
              </w:rPr>
              <w:t>Média EM3</w:t>
            </w:r>
          </w:p>
        </w:tc>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4D549738"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4,71</w:t>
            </w:r>
          </w:p>
        </w:tc>
        <w:tc>
          <w:tcPr>
            <w:tcW w:w="1110" w:type="dxa"/>
            <w:tcBorders>
              <w:top w:val="nil"/>
              <w:left w:val="nil"/>
              <w:bottom w:val="single" w:sz="4" w:space="0" w:color="auto"/>
              <w:right w:val="single" w:sz="4" w:space="0" w:color="auto"/>
            </w:tcBorders>
            <w:shd w:val="clear" w:color="auto" w:fill="auto"/>
            <w:noWrap/>
            <w:vAlign w:val="bottom"/>
            <w:hideMark/>
          </w:tcPr>
          <w:p w14:paraId="413A1D14"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3,49</w:t>
            </w:r>
          </w:p>
        </w:tc>
        <w:tc>
          <w:tcPr>
            <w:tcW w:w="1948" w:type="dxa"/>
            <w:tcBorders>
              <w:top w:val="nil"/>
              <w:left w:val="nil"/>
              <w:bottom w:val="single" w:sz="4" w:space="0" w:color="auto"/>
              <w:right w:val="single" w:sz="4" w:space="0" w:color="auto"/>
            </w:tcBorders>
            <w:shd w:val="clear" w:color="auto" w:fill="auto"/>
            <w:noWrap/>
            <w:vAlign w:val="bottom"/>
            <w:hideMark/>
          </w:tcPr>
          <w:p w14:paraId="6D7A6B05"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32,39</w:t>
            </w:r>
          </w:p>
        </w:tc>
        <w:tc>
          <w:tcPr>
            <w:tcW w:w="1110" w:type="dxa"/>
            <w:tcBorders>
              <w:top w:val="nil"/>
              <w:left w:val="nil"/>
              <w:bottom w:val="single" w:sz="4" w:space="0" w:color="auto"/>
              <w:right w:val="nil"/>
            </w:tcBorders>
            <w:shd w:val="clear" w:color="auto" w:fill="auto"/>
            <w:noWrap/>
            <w:vAlign w:val="bottom"/>
            <w:hideMark/>
          </w:tcPr>
          <w:p w14:paraId="0C688818"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10,59</w:t>
            </w:r>
          </w:p>
        </w:tc>
        <w:tc>
          <w:tcPr>
            <w:tcW w:w="1111" w:type="dxa"/>
            <w:tcBorders>
              <w:top w:val="nil"/>
              <w:left w:val="single" w:sz="4" w:space="0" w:color="auto"/>
              <w:bottom w:val="single" w:sz="4" w:space="0" w:color="auto"/>
              <w:right w:val="nil"/>
            </w:tcBorders>
            <w:shd w:val="clear" w:color="auto" w:fill="auto"/>
            <w:noWrap/>
            <w:vAlign w:val="bottom"/>
            <w:hideMark/>
          </w:tcPr>
          <w:p w14:paraId="2139BC24"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12,80</w:t>
            </w:r>
          </w:p>
        </w:tc>
      </w:tr>
      <w:tr w:rsidR="0063719B" w:rsidRPr="00A50D98" w14:paraId="4D386E70" w14:textId="77777777" w:rsidTr="0064799D">
        <w:trPr>
          <w:trHeight w:val="258"/>
        </w:trPr>
        <w:tc>
          <w:tcPr>
            <w:tcW w:w="2252" w:type="dxa"/>
            <w:tcBorders>
              <w:top w:val="nil"/>
              <w:left w:val="nil"/>
              <w:bottom w:val="single" w:sz="4" w:space="0" w:color="auto"/>
              <w:right w:val="nil"/>
            </w:tcBorders>
            <w:shd w:val="clear" w:color="auto" w:fill="auto"/>
            <w:noWrap/>
            <w:vAlign w:val="bottom"/>
            <w:hideMark/>
          </w:tcPr>
          <w:p w14:paraId="1AA1CA8B" w14:textId="77777777" w:rsidR="0063719B" w:rsidRPr="00A50D98" w:rsidRDefault="0063719B" w:rsidP="00A50D98">
            <w:pPr>
              <w:spacing w:after="0" w:line="240" w:lineRule="auto"/>
              <w:ind w:firstLine="0"/>
              <w:jc w:val="left"/>
              <w:rPr>
                <w:rFonts w:eastAsia="Times New Roman"/>
                <w:sz w:val="20"/>
                <w:szCs w:val="20"/>
                <w:lang w:eastAsia="pt-BR"/>
              </w:rPr>
            </w:pPr>
            <w:r w:rsidRPr="00A50D98">
              <w:rPr>
                <w:rFonts w:eastAsia="Times New Roman"/>
                <w:sz w:val="20"/>
                <w:szCs w:val="20"/>
                <w:lang w:eastAsia="pt-BR"/>
              </w:rPr>
              <w:t>Desvio Padrão ISE</w:t>
            </w:r>
          </w:p>
        </w:tc>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4BE40612"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11,03</w:t>
            </w:r>
          </w:p>
        </w:tc>
        <w:tc>
          <w:tcPr>
            <w:tcW w:w="1110" w:type="dxa"/>
            <w:tcBorders>
              <w:top w:val="nil"/>
              <w:left w:val="nil"/>
              <w:bottom w:val="single" w:sz="4" w:space="0" w:color="auto"/>
              <w:right w:val="single" w:sz="4" w:space="0" w:color="auto"/>
            </w:tcBorders>
            <w:shd w:val="clear" w:color="auto" w:fill="auto"/>
            <w:noWrap/>
            <w:vAlign w:val="bottom"/>
            <w:hideMark/>
          </w:tcPr>
          <w:p w14:paraId="05C9B6A3"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7,84</w:t>
            </w:r>
          </w:p>
        </w:tc>
        <w:tc>
          <w:tcPr>
            <w:tcW w:w="1948" w:type="dxa"/>
            <w:tcBorders>
              <w:top w:val="nil"/>
              <w:left w:val="nil"/>
              <w:bottom w:val="single" w:sz="4" w:space="0" w:color="auto"/>
              <w:right w:val="single" w:sz="4" w:space="0" w:color="auto"/>
            </w:tcBorders>
            <w:shd w:val="clear" w:color="auto" w:fill="auto"/>
            <w:noWrap/>
            <w:vAlign w:val="bottom"/>
            <w:hideMark/>
          </w:tcPr>
          <w:p w14:paraId="26703361"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11,99</w:t>
            </w:r>
          </w:p>
        </w:tc>
        <w:tc>
          <w:tcPr>
            <w:tcW w:w="1110" w:type="dxa"/>
            <w:tcBorders>
              <w:top w:val="nil"/>
              <w:left w:val="nil"/>
              <w:bottom w:val="single" w:sz="4" w:space="0" w:color="auto"/>
              <w:right w:val="nil"/>
            </w:tcBorders>
            <w:shd w:val="clear" w:color="auto" w:fill="auto"/>
            <w:noWrap/>
            <w:vAlign w:val="bottom"/>
            <w:hideMark/>
          </w:tcPr>
          <w:p w14:paraId="396FD180"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23,11</w:t>
            </w:r>
          </w:p>
        </w:tc>
        <w:tc>
          <w:tcPr>
            <w:tcW w:w="1111" w:type="dxa"/>
            <w:tcBorders>
              <w:top w:val="nil"/>
              <w:left w:val="single" w:sz="4" w:space="0" w:color="auto"/>
              <w:bottom w:val="single" w:sz="4" w:space="0" w:color="auto"/>
              <w:right w:val="nil"/>
            </w:tcBorders>
            <w:shd w:val="clear" w:color="auto" w:fill="auto"/>
            <w:noWrap/>
            <w:vAlign w:val="bottom"/>
            <w:hideMark/>
          </w:tcPr>
          <w:p w14:paraId="11C4FD5C"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14,59</w:t>
            </w:r>
          </w:p>
        </w:tc>
      </w:tr>
      <w:tr w:rsidR="0063719B" w:rsidRPr="00A50D98" w14:paraId="4CFD8482" w14:textId="77777777" w:rsidTr="0064799D">
        <w:trPr>
          <w:trHeight w:val="258"/>
        </w:trPr>
        <w:tc>
          <w:tcPr>
            <w:tcW w:w="2252" w:type="dxa"/>
            <w:tcBorders>
              <w:top w:val="nil"/>
              <w:left w:val="nil"/>
              <w:bottom w:val="single" w:sz="4" w:space="0" w:color="auto"/>
              <w:right w:val="nil"/>
            </w:tcBorders>
            <w:shd w:val="clear" w:color="auto" w:fill="auto"/>
            <w:noWrap/>
            <w:vAlign w:val="bottom"/>
            <w:hideMark/>
          </w:tcPr>
          <w:p w14:paraId="08F1AB7D" w14:textId="77777777" w:rsidR="0063719B" w:rsidRPr="00A50D98" w:rsidRDefault="0063719B" w:rsidP="00A50D98">
            <w:pPr>
              <w:spacing w:after="0" w:line="240" w:lineRule="auto"/>
              <w:ind w:firstLine="0"/>
              <w:jc w:val="left"/>
              <w:rPr>
                <w:rFonts w:eastAsia="Times New Roman"/>
                <w:sz w:val="20"/>
                <w:szCs w:val="20"/>
                <w:lang w:eastAsia="pt-BR"/>
              </w:rPr>
            </w:pPr>
            <w:r w:rsidRPr="00A50D98">
              <w:rPr>
                <w:rFonts w:eastAsia="Times New Roman"/>
                <w:sz w:val="20"/>
                <w:szCs w:val="20"/>
                <w:lang w:eastAsia="pt-BR"/>
              </w:rPr>
              <w:t>Desvio Padrão EM1</w:t>
            </w:r>
          </w:p>
        </w:tc>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3A4C83FF"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69,37</w:t>
            </w:r>
          </w:p>
        </w:tc>
        <w:tc>
          <w:tcPr>
            <w:tcW w:w="1110" w:type="dxa"/>
            <w:tcBorders>
              <w:top w:val="nil"/>
              <w:left w:val="nil"/>
              <w:bottom w:val="single" w:sz="4" w:space="0" w:color="auto"/>
              <w:right w:val="single" w:sz="4" w:space="0" w:color="auto"/>
            </w:tcBorders>
            <w:shd w:val="clear" w:color="auto" w:fill="auto"/>
            <w:noWrap/>
            <w:vAlign w:val="bottom"/>
            <w:hideMark/>
          </w:tcPr>
          <w:p w14:paraId="2470A036"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5,94</w:t>
            </w:r>
          </w:p>
        </w:tc>
        <w:tc>
          <w:tcPr>
            <w:tcW w:w="1948" w:type="dxa"/>
            <w:tcBorders>
              <w:top w:val="nil"/>
              <w:left w:val="nil"/>
              <w:bottom w:val="single" w:sz="4" w:space="0" w:color="auto"/>
              <w:right w:val="single" w:sz="4" w:space="0" w:color="auto"/>
            </w:tcBorders>
            <w:shd w:val="clear" w:color="auto" w:fill="auto"/>
            <w:noWrap/>
            <w:vAlign w:val="bottom"/>
            <w:hideMark/>
          </w:tcPr>
          <w:p w14:paraId="0FBEF18A"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60,00</w:t>
            </w:r>
          </w:p>
        </w:tc>
        <w:tc>
          <w:tcPr>
            <w:tcW w:w="1110" w:type="dxa"/>
            <w:tcBorders>
              <w:top w:val="nil"/>
              <w:left w:val="nil"/>
              <w:bottom w:val="single" w:sz="4" w:space="0" w:color="auto"/>
              <w:right w:val="nil"/>
            </w:tcBorders>
            <w:shd w:val="clear" w:color="auto" w:fill="auto"/>
            <w:noWrap/>
            <w:vAlign w:val="bottom"/>
            <w:hideMark/>
          </w:tcPr>
          <w:p w14:paraId="2B44FE45"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27,97</w:t>
            </w:r>
          </w:p>
        </w:tc>
        <w:tc>
          <w:tcPr>
            <w:tcW w:w="1111" w:type="dxa"/>
            <w:tcBorders>
              <w:top w:val="nil"/>
              <w:left w:val="single" w:sz="4" w:space="0" w:color="auto"/>
              <w:bottom w:val="single" w:sz="4" w:space="0" w:color="auto"/>
              <w:right w:val="nil"/>
            </w:tcBorders>
            <w:shd w:val="clear" w:color="auto" w:fill="auto"/>
            <w:noWrap/>
            <w:vAlign w:val="bottom"/>
            <w:hideMark/>
          </w:tcPr>
          <w:p w14:paraId="10DB6D51"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47,74</w:t>
            </w:r>
          </w:p>
        </w:tc>
      </w:tr>
      <w:tr w:rsidR="0063719B" w:rsidRPr="00A50D98" w14:paraId="512639FD" w14:textId="77777777" w:rsidTr="0064799D">
        <w:trPr>
          <w:trHeight w:val="258"/>
        </w:trPr>
        <w:tc>
          <w:tcPr>
            <w:tcW w:w="2252" w:type="dxa"/>
            <w:tcBorders>
              <w:top w:val="nil"/>
              <w:left w:val="nil"/>
              <w:bottom w:val="single" w:sz="4" w:space="0" w:color="auto"/>
              <w:right w:val="nil"/>
            </w:tcBorders>
            <w:shd w:val="clear" w:color="auto" w:fill="auto"/>
            <w:noWrap/>
            <w:vAlign w:val="bottom"/>
            <w:hideMark/>
          </w:tcPr>
          <w:p w14:paraId="34D13F07" w14:textId="77777777" w:rsidR="0063719B" w:rsidRPr="00A50D98" w:rsidRDefault="0063719B" w:rsidP="00A50D98">
            <w:pPr>
              <w:spacing w:after="0" w:line="240" w:lineRule="auto"/>
              <w:ind w:firstLine="0"/>
              <w:jc w:val="left"/>
              <w:rPr>
                <w:rFonts w:eastAsia="Times New Roman"/>
                <w:sz w:val="20"/>
                <w:szCs w:val="20"/>
                <w:lang w:eastAsia="pt-BR"/>
              </w:rPr>
            </w:pPr>
            <w:r w:rsidRPr="00A50D98">
              <w:rPr>
                <w:rFonts w:eastAsia="Times New Roman"/>
                <w:sz w:val="20"/>
                <w:szCs w:val="20"/>
                <w:lang w:eastAsia="pt-BR"/>
              </w:rPr>
              <w:t>Desvio Padrão EM3</w:t>
            </w:r>
          </w:p>
        </w:tc>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5A6BB42D"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11,44</w:t>
            </w:r>
          </w:p>
        </w:tc>
        <w:tc>
          <w:tcPr>
            <w:tcW w:w="1110" w:type="dxa"/>
            <w:tcBorders>
              <w:top w:val="nil"/>
              <w:left w:val="nil"/>
              <w:bottom w:val="single" w:sz="4" w:space="0" w:color="auto"/>
              <w:right w:val="single" w:sz="4" w:space="0" w:color="auto"/>
            </w:tcBorders>
            <w:shd w:val="clear" w:color="auto" w:fill="auto"/>
            <w:noWrap/>
            <w:vAlign w:val="bottom"/>
            <w:hideMark/>
          </w:tcPr>
          <w:p w14:paraId="70EC0ADF"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6,66</w:t>
            </w:r>
          </w:p>
        </w:tc>
        <w:tc>
          <w:tcPr>
            <w:tcW w:w="1948" w:type="dxa"/>
            <w:tcBorders>
              <w:top w:val="nil"/>
              <w:left w:val="nil"/>
              <w:bottom w:val="single" w:sz="4" w:space="0" w:color="auto"/>
              <w:right w:val="single" w:sz="4" w:space="0" w:color="auto"/>
            </w:tcBorders>
            <w:shd w:val="clear" w:color="auto" w:fill="auto"/>
            <w:noWrap/>
            <w:vAlign w:val="bottom"/>
            <w:hideMark/>
          </w:tcPr>
          <w:p w14:paraId="2A69F5C3"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130,35</w:t>
            </w:r>
          </w:p>
        </w:tc>
        <w:tc>
          <w:tcPr>
            <w:tcW w:w="1110" w:type="dxa"/>
            <w:tcBorders>
              <w:top w:val="nil"/>
              <w:left w:val="nil"/>
              <w:bottom w:val="single" w:sz="4" w:space="0" w:color="auto"/>
              <w:right w:val="nil"/>
            </w:tcBorders>
            <w:shd w:val="clear" w:color="auto" w:fill="auto"/>
            <w:noWrap/>
            <w:vAlign w:val="bottom"/>
            <w:hideMark/>
          </w:tcPr>
          <w:p w14:paraId="3E061148"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49,04</w:t>
            </w:r>
          </w:p>
        </w:tc>
        <w:tc>
          <w:tcPr>
            <w:tcW w:w="1111" w:type="dxa"/>
            <w:tcBorders>
              <w:top w:val="nil"/>
              <w:left w:val="single" w:sz="4" w:space="0" w:color="auto"/>
              <w:bottom w:val="single" w:sz="4" w:space="0" w:color="auto"/>
              <w:right w:val="nil"/>
            </w:tcBorders>
            <w:shd w:val="clear" w:color="auto" w:fill="auto"/>
            <w:noWrap/>
            <w:vAlign w:val="bottom"/>
            <w:hideMark/>
          </w:tcPr>
          <w:p w14:paraId="09D1D006"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70,15</w:t>
            </w:r>
          </w:p>
        </w:tc>
      </w:tr>
      <w:tr w:rsidR="0063719B" w:rsidRPr="00A50D98" w14:paraId="76DE51D3" w14:textId="77777777" w:rsidTr="0064799D">
        <w:trPr>
          <w:trHeight w:val="258"/>
        </w:trPr>
        <w:tc>
          <w:tcPr>
            <w:tcW w:w="2252" w:type="dxa"/>
            <w:tcBorders>
              <w:top w:val="nil"/>
              <w:left w:val="nil"/>
              <w:bottom w:val="single" w:sz="4" w:space="0" w:color="auto"/>
              <w:right w:val="nil"/>
            </w:tcBorders>
            <w:shd w:val="clear" w:color="auto" w:fill="auto"/>
            <w:noWrap/>
            <w:vAlign w:val="bottom"/>
            <w:hideMark/>
          </w:tcPr>
          <w:p w14:paraId="428B8783" w14:textId="77777777" w:rsidR="0063719B" w:rsidRPr="00A50D98" w:rsidRDefault="0063719B" w:rsidP="00A50D98">
            <w:pPr>
              <w:spacing w:after="0" w:line="240" w:lineRule="auto"/>
              <w:ind w:firstLine="0"/>
              <w:jc w:val="left"/>
              <w:rPr>
                <w:rFonts w:eastAsia="Times New Roman"/>
                <w:sz w:val="20"/>
                <w:szCs w:val="20"/>
                <w:lang w:eastAsia="pt-BR"/>
              </w:rPr>
            </w:pPr>
            <w:r w:rsidRPr="00A50D98">
              <w:rPr>
                <w:rFonts w:eastAsia="Times New Roman"/>
                <w:sz w:val="20"/>
                <w:szCs w:val="20"/>
                <w:lang w:eastAsia="pt-BR"/>
              </w:rPr>
              <w:t>Coef. De variação ISE</w:t>
            </w:r>
          </w:p>
        </w:tc>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7DDA75F1"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2,33</w:t>
            </w:r>
          </w:p>
        </w:tc>
        <w:tc>
          <w:tcPr>
            <w:tcW w:w="1110" w:type="dxa"/>
            <w:tcBorders>
              <w:top w:val="nil"/>
              <w:left w:val="nil"/>
              <w:bottom w:val="single" w:sz="4" w:space="0" w:color="auto"/>
              <w:right w:val="single" w:sz="4" w:space="0" w:color="auto"/>
            </w:tcBorders>
            <w:shd w:val="clear" w:color="auto" w:fill="auto"/>
            <w:noWrap/>
            <w:vAlign w:val="bottom"/>
            <w:hideMark/>
          </w:tcPr>
          <w:p w14:paraId="40EB9816"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1,59</w:t>
            </w:r>
          </w:p>
        </w:tc>
        <w:tc>
          <w:tcPr>
            <w:tcW w:w="1948" w:type="dxa"/>
            <w:tcBorders>
              <w:top w:val="nil"/>
              <w:left w:val="nil"/>
              <w:bottom w:val="single" w:sz="4" w:space="0" w:color="auto"/>
              <w:right w:val="single" w:sz="4" w:space="0" w:color="auto"/>
            </w:tcBorders>
            <w:shd w:val="clear" w:color="auto" w:fill="auto"/>
            <w:noWrap/>
            <w:vAlign w:val="bottom"/>
            <w:hideMark/>
          </w:tcPr>
          <w:p w14:paraId="29364F72"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2,12</w:t>
            </w:r>
          </w:p>
        </w:tc>
        <w:tc>
          <w:tcPr>
            <w:tcW w:w="1110" w:type="dxa"/>
            <w:tcBorders>
              <w:top w:val="nil"/>
              <w:left w:val="nil"/>
              <w:bottom w:val="single" w:sz="4" w:space="0" w:color="auto"/>
              <w:right w:val="nil"/>
            </w:tcBorders>
            <w:shd w:val="clear" w:color="auto" w:fill="auto"/>
            <w:noWrap/>
            <w:vAlign w:val="bottom"/>
            <w:hideMark/>
          </w:tcPr>
          <w:p w14:paraId="23929EE2"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2,70</w:t>
            </w:r>
          </w:p>
        </w:tc>
        <w:tc>
          <w:tcPr>
            <w:tcW w:w="1111" w:type="dxa"/>
            <w:tcBorders>
              <w:top w:val="nil"/>
              <w:left w:val="single" w:sz="4" w:space="0" w:color="auto"/>
              <w:bottom w:val="single" w:sz="4" w:space="0" w:color="auto"/>
              <w:right w:val="nil"/>
            </w:tcBorders>
            <w:shd w:val="clear" w:color="auto" w:fill="auto"/>
            <w:noWrap/>
            <w:vAlign w:val="bottom"/>
            <w:hideMark/>
          </w:tcPr>
          <w:p w14:paraId="4AE60F1B"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2,44</w:t>
            </w:r>
          </w:p>
        </w:tc>
      </w:tr>
      <w:tr w:rsidR="0063719B" w:rsidRPr="00A50D98" w14:paraId="5994F62E" w14:textId="77777777" w:rsidTr="0064799D">
        <w:trPr>
          <w:trHeight w:val="258"/>
        </w:trPr>
        <w:tc>
          <w:tcPr>
            <w:tcW w:w="2252" w:type="dxa"/>
            <w:tcBorders>
              <w:top w:val="nil"/>
              <w:left w:val="nil"/>
              <w:bottom w:val="single" w:sz="4" w:space="0" w:color="auto"/>
              <w:right w:val="nil"/>
            </w:tcBorders>
            <w:shd w:val="clear" w:color="auto" w:fill="auto"/>
            <w:noWrap/>
            <w:vAlign w:val="bottom"/>
            <w:hideMark/>
          </w:tcPr>
          <w:p w14:paraId="49F615BF" w14:textId="77777777" w:rsidR="0063719B" w:rsidRPr="00A50D98" w:rsidRDefault="0063719B" w:rsidP="00A50D98">
            <w:pPr>
              <w:spacing w:after="0" w:line="240" w:lineRule="auto"/>
              <w:ind w:firstLine="0"/>
              <w:jc w:val="left"/>
              <w:rPr>
                <w:rFonts w:eastAsia="Times New Roman"/>
                <w:sz w:val="20"/>
                <w:szCs w:val="20"/>
                <w:lang w:eastAsia="pt-BR"/>
              </w:rPr>
            </w:pPr>
            <w:r w:rsidRPr="00A50D98">
              <w:rPr>
                <w:rFonts w:eastAsia="Times New Roman"/>
                <w:sz w:val="20"/>
                <w:szCs w:val="20"/>
                <w:lang w:eastAsia="pt-BR"/>
              </w:rPr>
              <w:t>Coef. De variação EM1</w:t>
            </w:r>
          </w:p>
        </w:tc>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00AD113D"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4,83</w:t>
            </w:r>
          </w:p>
        </w:tc>
        <w:tc>
          <w:tcPr>
            <w:tcW w:w="1110" w:type="dxa"/>
            <w:tcBorders>
              <w:top w:val="nil"/>
              <w:left w:val="nil"/>
              <w:bottom w:val="single" w:sz="4" w:space="0" w:color="auto"/>
              <w:right w:val="single" w:sz="4" w:space="0" w:color="auto"/>
            </w:tcBorders>
            <w:shd w:val="clear" w:color="auto" w:fill="auto"/>
            <w:noWrap/>
            <w:vAlign w:val="bottom"/>
            <w:hideMark/>
          </w:tcPr>
          <w:p w14:paraId="0A7B0444"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2,31</w:t>
            </w:r>
          </w:p>
        </w:tc>
        <w:tc>
          <w:tcPr>
            <w:tcW w:w="1948" w:type="dxa"/>
            <w:tcBorders>
              <w:top w:val="nil"/>
              <w:left w:val="nil"/>
              <w:bottom w:val="single" w:sz="4" w:space="0" w:color="auto"/>
              <w:right w:val="single" w:sz="4" w:space="0" w:color="auto"/>
            </w:tcBorders>
            <w:shd w:val="clear" w:color="auto" w:fill="auto"/>
            <w:noWrap/>
            <w:vAlign w:val="bottom"/>
            <w:hideMark/>
          </w:tcPr>
          <w:p w14:paraId="2C5F5389"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4,77</w:t>
            </w:r>
          </w:p>
        </w:tc>
        <w:tc>
          <w:tcPr>
            <w:tcW w:w="1110" w:type="dxa"/>
            <w:tcBorders>
              <w:top w:val="nil"/>
              <w:left w:val="nil"/>
              <w:bottom w:val="single" w:sz="4" w:space="0" w:color="auto"/>
              <w:right w:val="nil"/>
            </w:tcBorders>
            <w:shd w:val="clear" w:color="auto" w:fill="auto"/>
            <w:noWrap/>
            <w:vAlign w:val="bottom"/>
            <w:hideMark/>
          </w:tcPr>
          <w:p w14:paraId="601481E7"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4,43</w:t>
            </w:r>
          </w:p>
        </w:tc>
        <w:tc>
          <w:tcPr>
            <w:tcW w:w="1111" w:type="dxa"/>
            <w:tcBorders>
              <w:top w:val="nil"/>
              <w:left w:val="single" w:sz="4" w:space="0" w:color="auto"/>
              <w:bottom w:val="single" w:sz="4" w:space="0" w:color="auto"/>
              <w:right w:val="nil"/>
            </w:tcBorders>
            <w:shd w:val="clear" w:color="auto" w:fill="auto"/>
            <w:noWrap/>
            <w:vAlign w:val="bottom"/>
            <w:hideMark/>
          </w:tcPr>
          <w:p w14:paraId="0DC855EC"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5,33</w:t>
            </w:r>
          </w:p>
        </w:tc>
      </w:tr>
      <w:tr w:rsidR="0063719B" w:rsidRPr="00A50D98" w14:paraId="75258E42" w14:textId="77777777" w:rsidTr="0064799D">
        <w:trPr>
          <w:trHeight w:val="258"/>
        </w:trPr>
        <w:tc>
          <w:tcPr>
            <w:tcW w:w="2252" w:type="dxa"/>
            <w:tcBorders>
              <w:top w:val="nil"/>
              <w:left w:val="nil"/>
              <w:bottom w:val="single" w:sz="4" w:space="0" w:color="auto"/>
              <w:right w:val="nil"/>
            </w:tcBorders>
            <w:shd w:val="clear" w:color="auto" w:fill="auto"/>
            <w:noWrap/>
            <w:vAlign w:val="bottom"/>
            <w:hideMark/>
          </w:tcPr>
          <w:p w14:paraId="42B52C6F" w14:textId="77777777" w:rsidR="0063719B" w:rsidRPr="00A50D98" w:rsidRDefault="0063719B" w:rsidP="00A50D98">
            <w:pPr>
              <w:spacing w:after="0" w:line="240" w:lineRule="auto"/>
              <w:ind w:firstLine="0"/>
              <w:jc w:val="left"/>
              <w:rPr>
                <w:rFonts w:eastAsia="Times New Roman"/>
                <w:sz w:val="20"/>
                <w:szCs w:val="20"/>
                <w:lang w:eastAsia="pt-BR"/>
              </w:rPr>
            </w:pPr>
            <w:r w:rsidRPr="00A50D98">
              <w:rPr>
                <w:rFonts w:eastAsia="Times New Roman"/>
                <w:sz w:val="20"/>
                <w:szCs w:val="20"/>
                <w:lang w:eastAsia="pt-BR"/>
              </w:rPr>
              <w:lastRenderedPageBreak/>
              <w:t>Coef. De variação EM3</w:t>
            </w:r>
          </w:p>
        </w:tc>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3B76837A"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2,43</w:t>
            </w:r>
          </w:p>
        </w:tc>
        <w:tc>
          <w:tcPr>
            <w:tcW w:w="1110" w:type="dxa"/>
            <w:tcBorders>
              <w:top w:val="nil"/>
              <w:left w:val="nil"/>
              <w:bottom w:val="single" w:sz="4" w:space="0" w:color="auto"/>
              <w:right w:val="single" w:sz="4" w:space="0" w:color="auto"/>
            </w:tcBorders>
            <w:shd w:val="clear" w:color="auto" w:fill="auto"/>
            <w:noWrap/>
            <w:vAlign w:val="bottom"/>
            <w:hideMark/>
          </w:tcPr>
          <w:p w14:paraId="4C9EC167"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1,91</w:t>
            </w:r>
          </w:p>
        </w:tc>
        <w:tc>
          <w:tcPr>
            <w:tcW w:w="1948" w:type="dxa"/>
            <w:tcBorders>
              <w:top w:val="nil"/>
              <w:left w:val="nil"/>
              <w:bottom w:val="single" w:sz="4" w:space="0" w:color="auto"/>
              <w:right w:val="single" w:sz="4" w:space="0" w:color="auto"/>
            </w:tcBorders>
            <w:shd w:val="clear" w:color="auto" w:fill="auto"/>
            <w:noWrap/>
            <w:vAlign w:val="bottom"/>
            <w:hideMark/>
          </w:tcPr>
          <w:p w14:paraId="016E5D58"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4,02</w:t>
            </w:r>
          </w:p>
        </w:tc>
        <w:tc>
          <w:tcPr>
            <w:tcW w:w="1110" w:type="dxa"/>
            <w:tcBorders>
              <w:top w:val="nil"/>
              <w:left w:val="nil"/>
              <w:bottom w:val="single" w:sz="4" w:space="0" w:color="auto"/>
              <w:right w:val="nil"/>
            </w:tcBorders>
            <w:shd w:val="clear" w:color="auto" w:fill="auto"/>
            <w:noWrap/>
            <w:vAlign w:val="bottom"/>
            <w:hideMark/>
          </w:tcPr>
          <w:p w14:paraId="01FFB30B"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4,63</w:t>
            </w:r>
          </w:p>
        </w:tc>
        <w:tc>
          <w:tcPr>
            <w:tcW w:w="1111" w:type="dxa"/>
            <w:tcBorders>
              <w:top w:val="nil"/>
              <w:left w:val="single" w:sz="4" w:space="0" w:color="auto"/>
              <w:bottom w:val="single" w:sz="4" w:space="0" w:color="auto"/>
              <w:right w:val="nil"/>
            </w:tcBorders>
            <w:shd w:val="clear" w:color="auto" w:fill="auto"/>
            <w:noWrap/>
            <w:vAlign w:val="bottom"/>
            <w:hideMark/>
          </w:tcPr>
          <w:p w14:paraId="498457B5"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5,48</w:t>
            </w:r>
          </w:p>
        </w:tc>
      </w:tr>
      <w:tr w:rsidR="0063719B" w:rsidRPr="00A50D98" w14:paraId="1841E571" w14:textId="77777777" w:rsidTr="0064799D">
        <w:trPr>
          <w:trHeight w:val="258"/>
        </w:trPr>
        <w:tc>
          <w:tcPr>
            <w:tcW w:w="2252" w:type="dxa"/>
            <w:tcBorders>
              <w:top w:val="nil"/>
              <w:left w:val="nil"/>
              <w:bottom w:val="single" w:sz="4" w:space="0" w:color="auto"/>
              <w:right w:val="nil"/>
            </w:tcBorders>
            <w:shd w:val="clear" w:color="auto" w:fill="auto"/>
            <w:noWrap/>
            <w:vAlign w:val="bottom"/>
            <w:hideMark/>
          </w:tcPr>
          <w:p w14:paraId="3CCF60DB" w14:textId="77777777" w:rsidR="0063719B" w:rsidRPr="00A50D98" w:rsidRDefault="0063719B" w:rsidP="00A50D98">
            <w:pPr>
              <w:spacing w:after="0" w:line="240" w:lineRule="auto"/>
              <w:ind w:firstLine="0"/>
              <w:jc w:val="left"/>
              <w:rPr>
                <w:rFonts w:eastAsia="Times New Roman"/>
                <w:sz w:val="20"/>
                <w:szCs w:val="20"/>
                <w:lang w:eastAsia="pt-BR"/>
              </w:rPr>
            </w:pPr>
            <w:r w:rsidRPr="00A50D98">
              <w:rPr>
                <w:rFonts w:eastAsia="Times New Roman"/>
                <w:sz w:val="20"/>
                <w:szCs w:val="20"/>
                <w:lang w:eastAsia="pt-BR"/>
              </w:rPr>
              <w:t>Mínimo ISE</w:t>
            </w:r>
          </w:p>
        </w:tc>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7AC3742B"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0,01</w:t>
            </w:r>
          </w:p>
        </w:tc>
        <w:tc>
          <w:tcPr>
            <w:tcW w:w="1110" w:type="dxa"/>
            <w:tcBorders>
              <w:top w:val="nil"/>
              <w:left w:val="nil"/>
              <w:bottom w:val="single" w:sz="4" w:space="0" w:color="auto"/>
              <w:right w:val="single" w:sz="4" w:space="0" w:color="auto"/>
            </w:tcBorders>
            <w:shd w:val="clear" w:color="auto" w:fill="auto"/>
            <w:noWrap/>
            <w:vAlign w:val="bottom"/>
            <w:hideMark/>
          </w:tcPr>
          <w:p w14:paraId="374C81D2"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0,01</w:t>
            </w:r>
          </w:p>
        </w:tc>
        <w:tc>
          <w:tcPr>
            <w:tcW w:w="1948" w:type="dxa"/>
            <w:tcBorders>
              <w:top w:val="nil"/>
              <w:left w:val="nil"/>
              <w:bottom w:val="single" w:sz="4" w:space="0" w:color="auto"/>
              <w:right w:val="single" w:sz="4" w:space="0" w:color="auto"/>
            </w:tcBorders>
            <w:shd w:val="clear" w:color="auto" w:fill="auto"/>
            <w:noWrap/>
            <w:vAlign w:val="bottom"/>
            <w:hideMark/>
          </w:tcPr>
          <w:p w14:paraId="0D1D13DC"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0,02</w:t>
            </w:r>
          </w:p>
        </w:tc>
        <w:tc>
          <w:tcPr>
            <w:tcW w:w="1110" w:type="dxa"/>
            <w:tcBorders>
              <w:top w:val="nil"/>
              <w:left w:val="nil"/>
              <w:bottom w:val="single" w:sz="4" w:space="0" w:color="auto"/>
              <w:right w:val="nil"/>
            </w:tcBorders>
            <w:shd w:val="clear" w:color="auto" w:fill="auto"/>
            <w:noWrap/>
            <w:vAlign w:val="bottom"/>
            <w:hideMark/>
          </w:tcPr>
          <w:p w14:paraId="2F8F85BC"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0,01</w:t>
            </w:r>
          </w:p>
        </w:tc>
        <w:tc>
          <w:tcPr>
            <w:tcW w:w="1111" w:type="dxa"/>
            <w:tcBorders>
              <w:top w:val="nil"/>
              <w:left w:val="single" w:sz="4" w:space="0" w:color="auto"/>
              <w:bottom w:val="single" w:sz="4" w:space="0" w:color="auto"/>
              <w:right w:val="nil"/>
            </w:tcBorders>
            <w:shd w:val="clear" w:color="auto" w:fill="auto"/>
            <w:noWrap/>
            <w:vAlign w:val="bottom"/>
            <w:hideMark/>
          </w:tcPr>
          <w:p w14:paraId="300A5A95"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0,01</w:t>
            </w:r>
          </w:p>
        </w:tc>
      </w:tr>
      <w:tr w:rsidR="0063719B" w:rsidRPr="00A50D98" w14:paraId="46ED6423" w14:textId="77777777" w:rsidTr="0064799D">
        <w:trPr>
          <w:trHeight w:val="258"/>
        </w:trPr>
        <w:tc>
          <w:tcPr>
            <w:tcW w:w="2252" w:type="dxa"/>
            <w:tcBorders>
              <w:top w:val="nil"/>
              <w:left w:val="nil"/>
              <w:bottom w:val="single" w:sz="4" w:space="0" w:color="auto"/>
              <w:right w:val="nil"/>
            </w:tcBorders>
            <w:shd w:val="clear" w:color="auto" w:fill="auto"/>
            <w:noWrap/>
            <w:vAlign w:val="bottom"/>
            <w:hideMark/>
          </w:tcPr>
          <w:p w14:paraId="330BD553" w14:textId="77777777" w:rsidR="0063719B" w:rsidRPr="00A50D98" w:rsidRDefault="0063719B" w:rsidP="00A50D98">
            <w:pPr>
              <w:spacing w:after="0" w:line="240" w:lineRule="auto"/>
              <w:ind w:firstLine="0"/>
              <w:jc w:val="left"/>
              <w:rPr>
                <w:rFonts w:eastAsia="Times New Roman"/>
                <w:sz w:val="20"/>
                <w:szCs w:val="20"/>
                <w:lang w:eastAsia="pt-BR"/>
              </w:rPr>
            </w:pPr>
            <w:r w:rsidRPr="00A50D98">
              <w:rPr>
                <w:rFonts w:eastAsia="Times New Roman"/>
                <w:sz w:val="20"/>
                <w:szCs w:val="20"/>
                <w:lang w:eastAsia="pt-BR"/>
              </w:rPr>
              <w:t>Mínimo EM1</w:t>
            </w:r>
          </w:p>
        </w:tc>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6803B09C"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0,02</w:t>
            </w:r>
          </w:p>
        </w:tc>
        <w:tc>
          <w:tcPr>
            <w:tcW w:w="1110" w:type="dxa"/>
            <w:tcBorders>
              <w:top w:val="nil"/>
              <w:left w:val="nil"/>
              <w:bottom w:val="single" w:sz="4" w:space="0" w:color="auto"/>
              <w:right w:val="single" w:sz="4" w:space="0" w:color="auto"/>
            </w:tcBorders>
            <w:shd w:val="clear" w:color="auto" w:fill="auto"/>
            <w:noWrap/>
            <w:vAlign w:val="bottom"/>
            <w:hideMark/>
          </w:tcPr>
          <w:p w14:paraId="709B3A3E"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0,00</w:t>
            </w:r>
          </w:p>
        </w:tc>
        <w:tc>
          <w:tcPr>
            <w:tcW w:w="1948" w:type="dxa"/>
            <w:tcBorders>
              <w:top w:val="nil"/>
              <w:left w:val="nil"/>
              <w:bottom w:val="single" w:sz="4" w:space="0" w:color="auto"/>
              <w:right w:val="single" w:sz="4" w:space="0" w:color="auto"/>
            </w:tcBorders>
            <w:shd w:val="clear" w:color="auto" w:fill="auto"/>
            <w:noWrap/>
            <w:vAlign w:val="bottom"/>
            <w:hideMark/>
          </w:tcPr>
          <w:p w14:paraId="0E165A1B"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0,01</w:t>
            </w:r>
          </w:p>
        </w:tc>
        <w:tc>
          <w:tcPr>
            <w:tcW w:w="1110" w:type="dxa"/>
            <w:tcBorders>
              <w:top w:val="nil"/>
              <w:left w:val="nil"/>
              <w:bottom w:val="single" w:sz="4" w:space="0" w:color="auto"/>
              <w:right w:val="nil"/>
            </w:tcBorders>
            <w:shd w:val="clear" w:color="auto" w:fill="auto"/>
            <w:noWrap/>
            <w:vAlign w:val="bottom"/>
            <w:hideMark/>
          </w:tcPr>
          <w:p w14:paraId="0A8B81C6"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0,00</w:t>
            </w:r>
          </w:p>
        </w:tc>
        <w:tc>
          <w:tcPr>
            <w:tcW w:w="1111" w:type="dxa"/>
            <w:tcBorders>
              <w:top w:val="nil"/>
              <w:left w:val="single" w:sz="4" w:space="0" w:color="auto"/>
              <w:bottom w:val="single" w:sz="4" w:space="0" w:color="auto"/>
              <w:right w:val="nil"/>
            </w:tcBorders>
            <w:shd w:val="clear" w:color="auto" w:fill="auto"/>
            <w:noWrap/>
            <w:vAlign w:val="bottom"/>
            <w:hideMark/>
          </w:tcPr>
          <w:p w14:paraId="24FE32BE"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0,00</w:t>
            </w:r>
          </w:p>
        </w:tc>
      </w:tr>
      <w:tr w:rsidR="0063719B" w:rsidRPr="00A50D98" w14:paraId="063EB5EA" w14:textId="77777777" w:rsidTr="0064799D">
        <w:trPr>
          <w:trHeight w:val="258"/>
        </w:trPr>
        <w:tc>
          <w:tcPr>
            <w:tcW w:w="2252" w:type="dxa"/>
            <w:tcBorders>
              <w:top w:val="nil"/>
              <w:left w:val="nil"/>
              <w:bottom w:val="single" w:sz="4" w:space="0" w:color="auto"/>
              <w:right w:val="nil"/>
            </w:tcBorders>
            <w:shd w:val="clear" w:color="auto" w:fill="auto"/>
            <w:noWrap/>
            <w:vAlign w:val="bottom"/>
            <w:hideMark/>
          </w:tcPr>
          <w:p w14:paraId="1C2766A3" w14:textId="77777777" w:rsidR="0063719B" w:rsidRPr="00A50D98" w:rsidRDefault="0063719B" w:rsidP="00A50D98">
            <w:pPr>
              <w:spacing w:after="0" w:line="240" w:lineRule="auto"/>
              <w:ind w:firstLine="0"/>
              <w:jc w:val="left"/>
              <w:rPr>
                <w:rFonts w:eastAsia="Times New Roman"/>
                <w:sz w:val="20"/>
                <w:szCs w:val="20"/>
                <w:lang w:eastAsia="pt-BR"/>
              </w:rPr>
            </w:pPr>
            <w:r w:rsidRPr="00A50D98">
              <w:rPr>
                <w:rFonts w:eastAsia="Times New Roman"/>
                <w:sz w:val="20"/>
                <w:szCs w:val="20"/>
                <w:lang w:eastAsia="pt-BR"/>
              </w:rPr>
              <w:t>Mínimo EM3</w:t>
            </w:r>
          </w:p>
        </w:tc>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2E993F7A"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0,00</w:t>
            </w:r>
          </w:p>
        </w:tc>
        <w:tc>
          <w:tcPr>
            <w:tcW w:w="1110" w:type="dxa"/>
            <w:tcBorders>
              <w:top w:val="nil"/>
              <w:left w:val="nil"/>
              <w:bottom w:val="single" w:sz="4" w:space="0" w:color="auto"/>
              <w:right w:val="single" w:sz="4" w:space="0" w:color="auto"/>
            </w:tcBorders>
            <w:shd w:val="clear" w:color="auto" w:fill="auto"/>
            <w:noWrap/>
            <w:vAlign w:val="bottom"/>
            <w:hideMark/>
          </w:tcPr>
          <w:p w14:paraId="4824F101"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0,00</w:t>
            </w:r>
          </w:p>
        </w:tc>
        <w:tc>
          <w:tcPr>
            <w:tcW w:w="1948" w:type="dxa"/>
            <w:tcBorders>
              <w:top w:val="nil"/>
              <w:left w:val="nil"/>
              <w:bottom w:val="single" w:sz="4" w:space="0" w:color="auto"/>
              <w:right w:val="single" w:sz="4" w:space="0" w:color="auto"/>
            </w:tcBorders>
            <w:shd w:val="clear" w:color="auto" w:fill="auto"/>
            <w:noWrap/>
            <w:vAlign w:val="bottom"/>
            <w:hideMark/>
          </w:tcPr>
          <w:p w14:paraId="4C3E8A5B"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0,00</w:t>
            </w:r>
          </w:p>
        </w:tc>
        <w:tc>
          <w:tcPr>
            <w:tcW w:w="1110" w:type="dxa"/>
            <w:tcBorders>
              <w:top w:val="nil"/>
              <w:left w:val="nil"/>
              <w:bottom w:val="single" w:sz="4" w:space="0" w:color="auto"/>
              <w:right w:val="nil"/>
            </w:tcBorders>
            <w:shd w:val="clear" w:color="auto" w:fill="auto"/>
            <w:noWrap/>
            <w:vAlign w:val="bottom"/>
            <w:hideMark/>
          </w:tcPr>
          <w:p w14:paraId="164E9A7B"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0,03</w:t>
            </w:r>
          </w:p>
        </w:tc>
        <w:tc>
          <w:tcPr>
            <w:tcW w:w="1111" w:type="dxa"/>
            <w:tcBorders>
              <w:top w:val="nil"/>
              <w:left w:val="single" w:sz="4" w:space="0" w:color="auto"/>
              <w:bottom w:val="single" w:sz="4" w:space="0" w:color="auto"/>
              <w:right w:val="nil"/>
            </w:tcBorders>
            <w:shd w:val="clear" w:color="auto" w:fill="auto"/>
            <w:noWrap/>
            <w:vAlign w:val="bottom"/>
            <w:hideMark/>
          </w:tcPr>
          <w:p w14:paraId="608916DB"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0,00</w:t>
            </w:r>
          </w:p>
        </w:tc>
      </w:tr>
      <w:tr w:rsidR="0063719B" w:rsidRPr="00A50D98" w14:paraId="10212EDE" w14:textId="77777777" w:rsidTr="0064799D">
        <w:trPr>
          <w:trHeight w:val="258"/>
        </w:trPr>
        <w:tc>
          <w:tcPr>
            <w:tcW w:w="2252" w:type="dxa"/>
            <w:tcBorders>
              <w:top w:val="nil"/>
              <w:left w:val="nil"/>
              <w:bottom w:val="single" w:sz="4" w:space="0" w:color="auto"/>
              <w:right w:val="nil"/>
            </w:tcBorders>
            <w:shd w:val="clear" w:color="auto" w:fill="auto"/>
            <w:noWrap/>
            <w:vAlign w:val="bottom"/>
            <w:hideMark/>
          </w:tcPr>
          <w:p w14:paraId="2ED58A21" w14:textId="77777777" w:rsidR="0063719B" w:rsidRPr="00A50D98" w:rsidRDefault="0063719B" w:rsidP="00A50D98">
            <w:pPr>
              <w:spacing w:after="0" w:line="240" w:lineRule="auto"/>
              <w:ind w:firstLine="0"/>
              <w:jc w:val="left"/>
              <w:rPr>
                <w:rFonts w:eastAsia="Times New Roman"/>
                <w:sz w:val="20"/>
                <w:szCs w:val="20"/>
                <w:lang w:eastAsia="pt-BR"/>
              </w:rPr>
            </w:pPr>
            <w:r w:rsidRPr="00A50D98">
              <w:rPr>
                <w:rFonts w:eastAsia="Times New Roman"/>
                <w:sz w:val="20"/>
                <w:szCs w:val="20"/>
                <w:lang w:eastAsia="pt-BR"/>
              </w:rPr>
              <w:t>Máximo ISE</w:t>
            </w:r>
          </w:p>
        </w:tc>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5120EFB3"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61,50</w:t>
            </w:r>
          </w:p>
        </w:tc>
        <w:tc>
          <w:tcPr>
            <w:tcW w:w="1110" w:type="dxa"/>
            <w:tcBorders>
              <w:top w:val="nil"/>
              <w:left w:val="nil"/>
              <w:bottom w:val="single" w:sz="4" w:space="0" w:color="auto"/>
              <w:right w:val="single" w:sz="4" w:space="0" w:color="auto"/>
            </w:tcBorders>
            <w:shd w:val="clear" w:color="auto" w:fill="auto"/>
            <w:noWrap/>
            <w:vAlign w:val="bottom"/>
            <w:hideMark/>
          </w:tcPr>
          <w:p w14:paraId="77988C74"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38,75</w:t>
            </w:r>
          </w:p>
        </w:tc>
        <w:tc>
          <w:tcPr>
            <w:tcW w:w="1948" w:type="dxa"/>
            <w:tcBorders>
              <w:top w:val="nil"/>
              <w:left w:val="nil"/>
              <w:bottom w:val="single" w:sz="4" w:space="0" w:color="auto"/>
              <w:right w:val="single" w:sz="4" w:space="0" w:color="auto"/>
            </w:tcBorders>
            <w:shd w:val="clear" w:color="auto" w:fill="auto"/>
            <w:noWrap/>
            <w:vAlign w:val="bottom"/>
            <w:hideMark/>
          </w:tcPr>
          <w:p w14:paraId="32512398"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68,84</w:t>
            </w:r>
          </w:p>
        </w:tc>
        <w:tc>
          <w:tcPr>
            <w:tcW w:w="1110" w:type="dxa"/>
            <w:tcBorders>
              <w:top w:val="nil"/>
              <w:left w:val="nil"/>
              <w:bottom w:val="single" w:sz="4" w:space="0" w:color="auto"/>
              <w:right w:val="nil"/>
            </w:tcBorders>
            <w:shd w:val="clear" w:color="auto" w:fill="auto"/>
            <w:noWrap/>
            <w:vAlign w:val="bottom"/>
            <w:hideMark/>
          </w:tcPr>
          <w:p w14:paraId="6DCF55F5"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102,91</w:t>
            </w:r>
          </w:p>
        </w:tc>
        <w:tc>
          <w:tcPr>
            <w:tcW w:w="1111" w:type="dxa"/>
            <w:tcBorders>
              <w:top w:val="nil"/>
              <w:left w:val="single" w:sz="4" w:space="0" w:color="auto"/>
              <w:bottom w:val="single" w:sz="4" w:space="0" w:color="auto"/>
              <w:right w:val="nil"/>
            </w:tcBorders>
            <w:shd w:val="clear" w:color="auto" w:fill="auto"/>
            <w:noWrap/>
            <w:vAlign w:val="bottom"/>
            <w:hideMark/>
          </w:tcPr>
          <w:p w14:paraId="46218CBE"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102,91</w:t>
            </w:r>
          </w:p>
        </w:tc>
      </w:tr>
      <w:tr w:rsidR="0063719B" w:rsidRPr="00A50D98" w14:paraId="3D9F3889" w14:textId="77777777" w:rsidTr="0064799D">
        <w:trPr>
          <w:trHeight w:val="258"/>
        </w:trPr>
        <w:tc>
          <w:tcPr>
            <w:tcW w:w="2252" w:type="dxa"/>
            <w:tcBorders>
              <w:top w:val="nil"/>
              <w:left w:val="nil"/>
              <w:bottom w:val="single" w:sz="4" w:space="0" w:color="auto"/>
              <w:right w:val="nil"/>
            </w:tcBorders>
            <w:shd w:val="clear" w:color="auto" w:fill="auto"/>
            <w:noWrap/>
            <w:vAlign w:val="bottom"/>
            <w:hideMark/>
          </w:tcPr>
          <w:p w14:paraId="640FA5F5" w14:textId="77777777" w:rsidR="0063719B" w:rsidRPr="00A50D98" w:rsidRDefault="0063719B" w:rsidP="00A50D98">
            <w:pPr>
              <w:spacing w:after="0" w:line="240" w:lineRule="auto"/>
              <w:ind w:firstLine="0"/>
              <w:jc w:val="left"/>
              <w:rPr>
                <w:rFonts w:eastAsia="Times New Roman"/>
                <w:sz w:val="20"/>
                <w:szCs w:val="20"/>
                <w:lang w:eastAsia="pt-BR"/>
              </w:rPr>
            </w:pPr>
            <w:r w:rsidRPr="00A50D98">
              <w:rPr>
                <w:rFonts w:eastAsia="Times New Roman"/>
                <w:sz w:val="20"/>
                <w:szCs w:val="20"/>
                <w:lang w:eastAsia="pt-BR"/>
              </w:rPr>
              <w:t>Máximo EM1</w:t>
            </w:r>
          </w:p>
        </w:tc>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475E8165"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406,25</w:t>
            </w:r>
          </w:p>
        </w:tc>
        <w:tc>
          <w:tcPr>
            <w:tcW w:w="1110" w:type="dxa"/>
            <w:tcBorders>
              <w:top w:val="nil"/>
              <w:left w:val="nil"/>
              <w:bottom w:val="single" w:sz="4" w:space="0" w:color="auto"/>
              <w:right w:val="single" w:sz="4" w:space="0" w:color="auto"/>
            </w:tcBorders>
            <w:shd w:val="clear" w:color="auto" w:fill="auto"/>
            <w:noWrap/>
            <w:vAlign w:val="bottom"/>
            <w:hideMark/>
          </w:tcPr>
          <w:p w14:paraId="0F96CDEB"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28,94</w:t>
            </w:r>
          </w:p>
        </w:tc>
        <w:tc>
          <w:tcPr>
            <w:tcW w:w="1948" w:type="dxa"/>
            <w:tcBorders>
              <w:top w:val="nil"/>
              <w:left w:val="nil"/>
              <w:bottom w:val="single" w:sz="4" w:space="0" w:color="auto"/>
              <w:right w:val="single" w:sz="4" w:space="0" w:color="auto"/>
            </w:tcBorders>
            <w:shd w:val="clear" w:color="auto" w:fill="auto"/>
            <w:noWrap/>
            <w:vAlign w:val="bottom"/>
            <w:hideMark/>
          </w:tcPr>
          <w:p w14:paraId="27667C20"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350,90</w:t>
            </w:r>
          </w:p>
        </w:tc>
        <w:tc>
          <w:tcPr>
            <w:tcW w:w="1110" w:type="dxa"/>
            <w:tcBorders>
              <w:top w:val="nil"/>
              <w:left w:val="nil"/>
              <w:bottom w:val="single" w:sz="4" w:space="0" w:color="auto"/>
              <w:right w:val="nil"/>
            </w:tcBorders>
            <w:shd w:val="clear" w:color="auto" w:fill="auto"/>
            <w:noWrap/>
            <w:vAlign w:val="bottom"/>
            <w:hideMark/>
          </w:tcPr>
          <w:p w14:paraId="21B4A39B"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164,12</w:t>
            </w:r>
          </w:p>
        </w:tc>
        <w:tc>
          <w:tcPr>
            <w:tcW w:w="1111" w:type="dxa"/>
            <w:tcBorders>
              <w:top w:val="nil"/>
              <w:left w:val="single" w:sz="4" w:space="0" w:color="auto"/>
              <w:bottom w:val="single" w:sz="4" w:space="0" w:color="auto"/>
              <w:right w:val="nil"/>
            </w:tcBorders>
            <w:shd w:val="clear" w:color="auto" w:fill="auto"/>
            <w:noWrap/>
            <w:vAlign w:val="bottom"/>
            <w:hideMark/>
          </w:tcPr>
          <w:p w14:paraId="29F52BD4"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406,25</w:t>
            </w:r>
          </w:p>
        </w:tc>
      </w:tr>
      <w:tr w:rsidR="0063719B" w:rsidRPr="00A50D98" w14:paraId="3B3DDFFB" w14:textId="77777777" w:rsidTr="0064799D">
        <w:trPr>
          <w:trHeight w:val="258"/>
        </w:trPr>
        <w:tc>
          <w:tcPr>
            <w:tcW w:w="2252" w:type="dxa"/>
            <w:tcBorders>
              <w:top w:val="nil"/>
              <w:left w:val="nil"/>
              <w:bottom w:val="single" w:sz="4" w:space="0" w:color="auto"/>
              <w:right w:val="nil"/>
            </w:tcBorders>
            <w:shd w:val="clear" w:color="auto" w:fill="auto"/>
            <w:noWrap/>
            <w:vAlign w:val="bottom"/>
            <w:hideMark/>
          </w:tcPr>
          <w:p w14:paraId="2048B56A" w14:textId="77777777" w:rsidR="0063719B" w:rsidRPr="00A50D98" w:rsidRDefault="0063719B" w:rsidP="00A50D98">
            <w:pPr>
              <w:spacing w:after="0" w:line="240" w:lineRule="auto"/>
              <w:ind w:firstLine="0"/>
              <w:jc w:val="left"/>
              <w:rPr>
                <w:rFonts w:eastAsia="Times New Roman"/>
                <w:sz w:val="20"/>
                <w:szCs w:val="20"/>
                <w:lang w:eastAsia="pt-BR"/>
              </w:rPr>
            </w:pPr>
            <w:r w:rsidRPr="00A50D98">
              <w:rPr>
                <w:rFonts w:eastAsia="Times New Roman"/>
                <w:sz w:val="20"/>
                <w:szCs w:val="20"/>
                <w:lang w:eastAsia="pt-BR"/>
              </w:rPr>
              <w:t>Máximo EM3</w:t>
            </w:r>
          </w:p>
        </w:tc>
        <w:tc>
          <w:tcPr>
            <w:tcW w:w="1111" w:type="dxa"/>
            <w:tcBorders>
              <w:top w:val="nil"/>
              <w:left w:val="single" w:sz="4" w:space="0" w:color="auto"/>
              <w:bottom w:val="single" w:sz="4" w:space="0" w:color="auto"/>
              <w:right w:val="single" w:sz="4" w:space="0" w:color="auto"/>
            </w:tcBorders>
            <w:shd w:val="clear" w:color="auto" w:fill="auto"/>
            <w:noWrap/>
            <w:vAlign w:val="bottom"/>
            <w:hideMark/>
          </w:tcPr>
          <w:p w14:paraId="20646E97"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65,62</w:t>
            </w:r>
          </w:p>
        </w:tc>
        <w:tc>
          <w:tcPr>
            <w:tcW w:w="1110" w:type="dxa"/>
            <w:tcBorders>
              <w:top w:val="nil"/>
              <w:left w:val="nil"/>
              <w:bottom w:val="single" w:sz="4" w:space="0" w:color="auto"/>
              <w:right w:val="single" w:sz="4" w:space="0" w:color="auto"/>
            </w:tcBorders>
            <w:shd w:val="clear" w:color="auto" w:fill="auto"/>
            <w:noWrap/>
            <w:vAlign w:val="bottom"/>
            <w:hideMark/>
          </w:tcPr>
          <w:p w14:paraId="47F34A7B"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35,83</w:t>
            </w:r>
          </w:p>
        </w:tc>
        <w:tc>
          <w:tcPr>
            <w:tcW w:w="1948" w:type="dxa"/>
            <w:tcBorders>
              <w:top w:val="nil"/>
              <w:left w:val="nil"/>
              <w:bottom w:val="single" w:sz="4" w:space="0" w:color="auto"/>
              <w:right w:val="single" w:sz="4" w:space="0" w:color="auto"/>
            </w:tcBorders>
            <w:shd w:val="clear" w:color="auto" w:fill="auto"/>
            <w:noWrap/>
            <w:vAlign w:val="bottom"/>
            <w:hideMark/>
          </w:tcPr>
          <w:p w14:paraId="5B7D304A"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683,87</w:t>
            </w:r>
          </w:p>
        </w:tc>
        <w:tc>
          <w:tcPr>
            <w:tcW w:w="1110" w:type="dxa"/>
            <w:tcBorders>
              <w:top w:val="nil"/>
              <w:left w:val="nil"/>
              <w:bottom w:val="single" w:sz="4" w:space="0" w:color="auto"/>
              <w:right w:val="nil"/>
            </w:tcBorders>
            <w:shd w:val="clear" w:color="auto" w:fill="auto"/>
            <w:noWrap/>
            <w:vAlign w:val="bottom"/>
            <w:hideMark/>
          </w:tcPr>
          <w:p w14:paraId="6CB27E64"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287,44</w:t>
            </w:r>
          </w:p>
        </w:tc>
        <w:tc>
          <w:tcPr>
            <w:tcW w:w="1111" w:type="dxa"/>
            <w:tcBorders>
              <w:top w:val="nil"/>
              <w:left w:val="single" w:sz="4" w:space="0" w:color="auto"/>
              <w:bottom w:val="single" w:sz="4" w:space="0" w:color="auto"/>
              <w:right w:val="nil"/>
            </w:tcBorders>
            <w:shd w:val="clear" w:color="auto" w:fill="auto"/>
            <w:noWrap/>
            <w:vAlign w:val="bottom"/>
            <w:hideMark/>
          </w:tcPr>
          <w:p w14:paraId="16A7B7AB"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683,87</w:t>
            </w:r>
          </w:p>
        </w:tc>
      </w:tr>
      <w:tr w:rsidR="0063719B" w:rsidRPr="00A50D98" w14:paraId="1C780D32" w14:textId="77777777" w:rsidTr="0064799D">
        <w:trPr>
          <w:trHeight w:val="271"/>
        </w:trPr>
        <w:tc>
          <w:tcPr>
            <w:tcW w:w="2252" w:type="dxa"/>
            <w:tcBorders>
              <w:top w:val="nil"/>
              <w:left w:val="nil"/>
              <w:bottom w:val="single" w:sz="12" w:space="0" w:color="auto"/>
              <w:right w:val="nil"/>
            </w:tcBorders>
            <w:shd w:val="clear" w:color="auto" w:fill="auto"/>
            <w:noWrap/>
            <w:vAlign w:val="bottom"/>
            <w:hideMark/>
          </w:tcPr>
          <w:p w14:paraId="4FC67740" w14:textId="77777777" w:rsidR="0063719B" w:rsidRPr="00A50D98" w:rsidRDefault="0063719B" w:rsidP="00A50D98">
            <w:pPr>
              <w:spacing w:after="0" w:line="240" w:lineRule="auto"/>
              <w:ind w:firstLine="0"/>
              <w:jc w:val="left"/>
              <w:rPr>
                <w:rFonts w:eastAsia="Times New Roman"/>
                <w:sz w:val="20"/>
                <w:szCs w:val="20"/>
                <w:lang w:eastAsia="pt-BR"/>
              </w:rPr>
            </w:pPr>
            <w:r w:rsidRPr="00A50D98">
              <w:rPr>
                <w:rFonts w:eastAsia="Times New Roman"/>
                <w:sz w:val="20"/>
                <w:szCs w:val="20"/>
                <w:lang w:eastAsia="pt-BR"/>
              </w:rPr>
              <w:t>Observações</w:t>
            </w:r>
          </w:p>
        </w:tc>
        <w:tc>
          <w:tcPr>
            <w:tcW w:w="1111" w:type="dxa"/>
            <w:tcBorders>
              <w:top w:val="nil"/>
              <w:left w:val="single" w:sz="4" w:space="0" w:color="auto"/>
              <w:bottom w:val="single" w:sz="12" w:space="0" w:color="auto"/>
              <w:right w:val="single" w:sz="4" w:space="0" w:color="auto"/>
            </w:tcBorders>
            <w:shd w:val="clear" w:color="auto" w:fill="auto"/>
            <w:noWrap/>
            <w:vAlign w:val="bottom"/>
            <w:hideMark/>
          </w:tcPr>
          <w:p w14:paraId="0BD9AEA4"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34</w:t>
            </w:r>
          </w:p>
        </w:tc>
        <w:tc>
          <w:tcPr>
            <w:tcW w:w="1110" w:type="dxa"/>
            <w:tcBorders>
              <w:top w:val="nil"/>
              <w:left w:val="nil"/>
              <w:bottom w:val="single" w:sz="12" w:space="0" w:color="auto"/>
              <w:right w:val="single" w:sz="4" w:space="0" w:color="auto"/>
            </w:tcBorders>
            <w:shd w:val="clear" w:color="auto" w:fill="auto"/>
            <w:noWrap/>
            <w:vAlign w:val="bottom"/>
            <w:hideMark/>
          </w:tcPr>
          <w:p w14:paraId="390D7BA2"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34</w:t>
            </w:r>
          </w:p>
        </w:tc>
        <w:tc>
          <w:tcPr>
            <w:tcW w:w="1948" w:type="dxa"/>
            <w:tcBorders>
              <w:top w:val="nil"/>
              <w:left w:val="nil"/>
              <w:bottom w:val="single" w:sz="12" w:space="0" w:color="auto"/>
              <w:right w:val="single" w:sz="4" w:space="0" w:color="auto"/>
            </w:tcBorders>
            <w:shd w:val="clear" w:color="auto" w:fill="auto"/>
            <w:noWrap/>
            <w:vAlign w:val="bottom"/>
            <w:hideMark/>
          </w:tcPr>
          <w:p w14:paraId="554CB637"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34</w:t>
            </w:r>
          </w:p>
        </w:tc>
        <w:tc>
          <w:tcPr>
            <w:tcW w:w="1110" w:type="dxa"/>
            <w:tcBorders>
              <w:top w:val="nil"/>
              <w:left w:val="nil"/>
              <w:bottom w:val="single" w:sz="12" w:space="0" w:color="auto"/>
              <w:right w:val="nil"/>
            </w:tcBorders>
            <w:shd w:val="clear" w:color="auto" w:fill="auto"/>
            <w:noWrap/>
            <w:vAlign w:val="bottom"/>
            <w:hideMark/>
          </w:tcPr>
          <w:p w14:paraId="7AF736F1"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34</w:t>
            </w:r>
          </w:p>
        </w:tc>
        <w:tc>
          <w:tcPr>
            <w:tcW w:w="1111" w:type="dxa"/>
            <w:tcBorders>
              <w:top w:val="nil"/>
              <w:left w:val="single" w:sz="4" w:space="0" w:color="auto"/>
              <w:bottom w:val="single" w:sz="12" w:space="0" w:color="auto"/>
              <w:right w:val="nil"/>
            </w:tcBorders>
            <w:shd w:val="clear" w:color="auto" w:fill="auto"/>
            <w:noWrap/>
            <w:vAlign w:val="bottom"/>
            <w:hideMark/>
          </w:tcPr>
          <w:p w14:paraId="7903A905"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136</w:t>
            </w:r>
          </w:p>
        </w:tc>
      </w:tr>
      <w:tr w:rsidR="0063719B" w:rsidRPr="00A50D98" w14:paraId="1FC4A571" w14:textId="77777777" w:rsidTr="0064799D">
        <w:trPr>
          <w:trHeight w:val="258"/>
        </w:trPr>
        <w:tc>
          <w:tcPr>
            <w:tcW w:w="8642" w:type="dxa"/>
            <w:gridSpan w:val="6"/>
            <w:tcBorders>
              <w:top w:val="single" w:sz="12" w:space="0" w:color="auto"/>
              <w:left w:val="nil"/>
              <w:bottom w:val="nil"/>
              <w:right w:val="nil"/>
            </w:tcBorders>
            <w:shd w:val="clear" w:color="auto" w:fill="auto"/>
            <w:noWrap/>
            <w:vAlign w:val="bottom"/>
          </w:tcPr>
          <w:p w14:paraId="449EEBB0" w14:textId="77777777" w:rsidR="0063719B" w:rsidRPr="00A50D98" w:rsidRDefault="0063719B" w:rsidP="00A50D98">
            <w:pPr>
              <w:spacing w:after="0" w:line="240" w:lineRule="auto"/>
              <w:ind w:firstLine="0"/>
              <w:jc w:val="left"/>
              <w:rPr>
                <w:rFonts w:eastAsia="Times New Roman"/>
                <w:sz w:val="20"/>
                <w:szCs w:val="20"/>
                <w:lang w:eastAsia="pt-BR"/>
              </w:rPr>
            </w:pPr>
            <w:r w:rsidRPr="00A50D98">
              <w:rPr>
                <w:rFonts w:eastAsia="Times New Roman"/>
                <w:sz w:val="20"/>
                <w:szCs w:val="20"/>
                <w:lang w:eastAsia="pt-BR"/>
              </w:rPr>
              <w:t>Legenda: ISE = índice de suavização de Eckel; EM1 = primeira métrica de suavização de resultados; EM3 = terceira métrica de suavização de resultados.</w:t>
            </w:r>
          </w:p>
        </w:tc>
      </w:tr>
      <w:tr w:rsidR="0063719B" w:rsidRPr="00A50D98" w14:paraId="17F053A5" w14:textId="77777777" w:rsidTr="0064799D">
        <w:trPr>
          <w:trHeight w:val="258"/>
        </w:trPr>
        <w:tc>
          <w:tcPr>
            <w:tcW w:w="8642" w:type="dxa"/>
            <w:gridSpan w:val="6"/>
            <w:tcBorders>
              <w:top w:val="single" w:sz="12" w:space="0" w:color="auto"/>
              <w:left w:val="nil"/>
              <w:bottom w:val="nil"/>
              <w:right w:val="nil"/>
            </w:tcBorders>
            <w:shd w:val="clear" w:color="auto" w:fill="auto"/>
            <w:noWrap/>
            <w:vAlign w:val="bottom"/>
            <w:hideMark/>
          </w:tcPr>
          <w:p w14:paraId="560BA61C" w14:textId="77777777" w:rsidR="0063719B" w:rsidRPr="00A50D98" w:rsidRDefault="0063719B" w:rsidP="00A50D98">
            <w:pPr>
              <w:spacing w:line="240" w:lineRule="auto"/>
              <w:ind w:firstLine="0"/>
              <w:jc w:val="left"/>
              <w:rPr>
                <w:rFonts w:eastAsia="Times New Roman"/>
                <w:sz w:val="20"/>
                <w:szCs w:val="20"/>
                <w:lang w:eastAsia="pt-BR"/>
              </w:rPr>
            </w:pPr>
            <w:r w:rsidRPr="00A50D98">
              <w:rPr>
                <w:rFonts w:eastAsia="Times New Roman"/>
                <w:sz w:val="20"/>
                <w:szCs w:val="20"/>
                <w:lang w:eastAsia="pt-BR"/>
              </w:rPr>
              <w:t>Fonte: Dados da pesquisa.</w:t>
            </w:r>
          </w:p>
        </w:tc>
      </w:tr>
    </w:tbl>
    <w:p w14:paraId="79C5A1C0" w14:textId="77777777" w:rsidR="0063719B" w:rsidRPr="00E656E3" w:rsidRDefault="0063719B" w:rsidP="00E240B6">
      <w:pPr>
        <w:autoSpaceDE w:val="0"/>
        <w:autoSpaceDN w:val="0"/>
        <w:adjustRightInd w:val="0"/>
        <w:spacing w:after="0"/>
        <w:ind w:firstLine="708"/>
        <w:rPr>
          <w:szCs w:val="24"/>
          <w:lang w:eastAsia="pt-BR"/>
        </w:rPr>
      </w:pPr>
      <w:r w:rsidRPr="00E656E3">
        <w:rPr>
          <w:szCs w:val="24"/>
          <w:lang w:eastAsia="pt-BR"/>
        </w:rPr>
        <w:t>Observa-se que a média da variável ISE teve pouca variação durante os períodos de análise, praticamente os mesmos resultados, exceto no ano de 2013, onde os resultados formam maiores. O ano de 2010 teve o maior valor médio para a métrica EM1 e o ano de 2012 os maiores valores médios para EM3. Os coeficientes de variação para todas as métricas indicam que as informações possuem grande dispersão, embora seja um pouco menor no ano de 2012.</w:t>
      </w:r>
    </w:p>
    <w:p w14:paraId="2DDB4786" w14:textId="77777777" w:rsidR="008C125C" w:rsidRPr="00E656E3" w:rsidRDefault="0063719B" w:rsidP="00E240B6">
      <w:pPr>
        <w:autoSpaceDE w:val="0"/>
        <w:autoSpaceDN w:val="0"/>
        <w:adjustRightInd w:val="0"/>
        <w:spacing w:after="0"/>
        <w:ind w:firstLine="0"/>
        <w:rPr>
          <w:szCs w:val="24"/>
          <w:lang w:eastAsia="pt-BR"/>
        </w:rPr>
      </w:pPr>
      <w:r w:rsidRPr="00E656E3">
        <w:rPr>
          <w:szCs w:val="24"/>
          <w:lang w:eastAsia="pt-BR"/>
        </w:rPr>
        <w:tab/>
        <w:t xml:space="preserve">Percebe-se também em relação aos valores mínimos e máximos, que os dados possuem valores inferiores a 0,01 e máximos em torno de 102 para a variável ISE. Os mínimos demonstram que existem companhias que suavizam os resultados de forma extrema e outras empresas que não suavizam seus resultados, considerando que ISE menores que 1,00 denotam suavização. O estudo de Ribeiro (2013) sobre suavização de resultados em empresas brasileiras de capital aberto e o de Baioco, Almeida e Rodrigues (2013) em empresas reguladas por agências normatizadoras identificaram grandes oscilações no índice de Eckel (1989) das empresas suavizadoras e não suavizadoras. </w:t>
      </w:r>
      <w:bookmarkStart w:id="27" w:name="_Toc411461694"/>
    </w:p>
    <w:p w14:paraId="5053B46C" w14:textId="77777777" w:rsidR="008F57E9" w:rsidRPr="00E656E3" w:rsidRDefault="008F57E9" w:rsidP="00E240B6">
      <w:pPr>
        <w:pStyle w:val="Ttulo2"/>
        <w:numPr>
          <w:ilvl w:val="0"/>
          <w:numId w:val="0"/>
        </w:numPr>
        <w:spacing w:before="0" w:after="0" w:line="360" w:lineRule="auto"/>
        <w:rPr>
          <w:b/>
          <w:szCs w:val="24"/>
          <w:lang w:val="pt-BR" w:eastAsia="pt-BR"/>
        </w:rPr>
      </w:pPr>
      <w:bookmarkStart w:id="28" w:name="_Toc411461696"/>
      <w:bookmarkEnd w:id="27"/>
      <w:r w:rsidRPr="00E656E3">
        <w:rPr>
          <w:b/>
          <w:caps w:val="0"/>
          <w:szCs w:val="24"/>
          <w:lang w:eastAsia="pt-BR"/>
        </w:rPr>
        <w:t>4.</w:t>
      </w:r>
      <w:r w:rsidR="00886FF9" w:rsidRPr="00E656E3">
        <w:rPr>
          <w:b/>
          <w:caps w:val="0"/>
          <w:szCs w:val="24"/>
          <w:lang w:val="pt-BR" w:eastAsia="pt-BR"/>
        </w:rPr>
        <w:t>3</w:t>
      </w:r>
      <w:r w:rsidRPr="00E656E3">
        <w:rPr>
          <w:b/>
          <w:caps w:val="0"/>
          <w:szCs w:val="24"/>
          <w:lang w:eastAsia="pt-BR"/>
        </w:rPr>
        <w:t xml:space="preserve"> </w:t>
      </w:r>
      <w:bookmarkStart w:id="29" w:name="_Toc411461697"/>
      <w:bookmarkEnd w:id="28"/>
      <w:r w:rsidR="00F9495A" w:rsidRPr="00E656E3">
        <w:rPr>
          <w:b/>
          <w:caps w:val="0"/>
          <w:szCs w:val="24"/>
          <w:lang w:val="pt-BR" w:eastAsia="pt-BR"/>
        </w:rPr>
        <w:t>Análise de Regressão com Dados em Painel</w:t>
      </w:r>
    </w:p>
    <w:bookmarkEnd w:id="29"/>
    <w:p w14:paraId="363D7DC9" w14:textId="77777777" w:rsidR="0063719B" w:rsidRPr="00E656E3" w:rsidRDefault="0063719B" w:rsidP="00E240B6">
      <w:pPr>
        <w:autoSpaceDE w:val="0"/>
        <w:autoSpaceDN w:val="0"/>
        <w:adjustRightInd w:val="0"/>
        <w:spacing w:after="0"/>
        <w:ind w:firstLine="0"/>
        <w:rPr>
          <w:szCs w:val="24"/>
          <w:lang w:eastAsia="pt-BR"/>
        </w:rPr>
      </w:pPr>
      <w:r w:rsidRPr="00E656E3">
        <w:rPr>
          <w:szCs w:val="24"/>
          <w:lang w:eastAsia="pt-BR"/>
        </w:rPr>
        <w:tab/>
        <w:t>Após a análise descritiva das variáveis, notou-se que as variáveis independentes possuíam elevada dispersão. Dessa forma, tomou-se o cuidado de verificar se existiam dados extremos (</w:t>
      </w:r>
      <w:r w:rsidRPr="00E656E3">
        <w:rPr>
          <w:i/>
          <w:szCs w:val="24"/>
          <w:lang w:eastAsia="pt-BR"/>
        </w:rPr>
        <w:t>outliers</w:t>
      </w:r>
      <w:r w:rsidRPr="00E656E3">
        <w:rPr>
          <w:szCs w:val="24"/>
          <w:lang w:eastAsia="pt-BR"/>
        </w:rPr>
        <w:t>). Utilizou-se o escore-Z e a técnica multivariada conhecida como distância de Mahlanobis (D²) para identificar as observações discrepantes</w:t>
      </w:r>
      <w:r w:rsidR="00220F47" w:rsidRPr="00E656E3">
        <w:rPr>
          <w:szCs w:val="24"/>
          <w:lang w:eastAsia="pt-BR"/>
        </w:rPr>
        <w:t xml:space="preserve"> indicando uma empresa como potencial </w:t>
      </w:r>
      <w:r w:rsidR="00220F47" w:rsidRPr="00E656E3">
        <w:rPr>
          <w:i/>
          <w:szCs w:val="24"/>
          <w:lang w:eastAsia="pt-BR"/>
        </w:rPr>
        <w:t>outlier</w:t>
      </w:r>
      <w:r w:rsidRPr="00E656E3">
        <w:rPr>
          <w:szCs w:val="24"/>
          <w:lang w:eastAsia="pt-BR"/>
        </w:rPr>
        <w:t xml:space="preserve">. </w:t>
      </w:r>
    </w:p>
    <w:p w14:paraId="1519756A" w14:textId="4941708E" w:rsidR="0063719B" w:rsidRPr="00E656E3" w:rsidRDefault="0063719B" w:rsidP="006C63EB">
      <w:pPr>
        <w:autoSpaceDE w:val="0"/>
        <w:autoSpaceDN w:val="0"/>
        <w:adjustRightInd w:val="0"/>
        <w:spacing w:after="0"/>
        <w:ind w:firstLine="0"/>
        <w:rPr>
          <w:szCs w:val="24"/>
          <w:lang w:eastAsia="pt-BR"/>
        </w:rPr>
      </w:pPr>
      <w:r w:rsidRPr="00E656E3">
        <w:rPr>
          <w:b/>
          <w:szCs w:val="24"/>
          <w:lang w:eastAsia="pt-BR"/>
        </w:rPr>
        <w:tab/>
      </w:r>
      <w:r w:rsidRPr="00E656E3">
        <w:rPr>
          <w:szCs w:val="24"/>
          <w:lang w:eastAsia="pt-BR"/>
        </w:rPr>
        <w:t>Os modelos econométricos (</w:t>
      </w:r>
      <w:r w:rsidR="006C63EB">
        <w:rPr>
          <w:szCs w:val="24"/>
          <w:lang w:eastAsia="pt-BR"/>
        </w:rPr>
        <w:t>4</w:t>
      </w:r>
      <w:r w:rsidR="00081EB1">
        <w:rPr>
          <w:szCs w:val="24"/>
          <w:lang w:eastAsia="pt-BR"/>
        </w:rPr>
        <w:t>), (</w:t>
      </w:r>
      <w:r w:rsidR="006C63EB">
        <w:rPr>
          <w:szCs w:val="24"/>
          <w:lang w:eastAsia="pt-BR"/>
        </w:rPr>
        <w:t>5</w:t>
      </w:r>
      <w:r w:rsidR="00081EB1">
        <w:rPr>
          <w:szCs w:val="24"/>
          <w:lang w:eastAsia="pt-BR"/>
        </w:rPr>
        <w:t>) e (</w:t>
      </w:r>
      <w:r w:rsidR="006C63EB">
        <w:rPr>
          <w:szCs w:val="24"/>
          <w:lang w:eastAsia="pt-BR"/>
        </w:rPr>
        <w:t>6</w:t>
      </w:r>
      <w:r w:rsidRPr="00E656E3">
        <w:rPr>
          <w:szCs w:val="24"/>
          <w:lang w:eastAsia="pt-BR"/>
        </w:rPr>
        <w:t xml:space="preserve">) foram estimados individualmente. Inicialmente, analisou-se a relação das variáveis dependentes e independentes. </w:t>
      </w:r>
      <w:r w:rsidR="00AC7FB8" w:rsidRPr="00E656E3">
        <w:rPr>
          <w:szCs w:val="24"/>
          <w:lang w:eastAsia="pt-BR"/>
        </w:rPr>
        <w:t>Estimaram-se os modelos por Mínimos Quadrados Ordinários (MQO), em seguida foram realizados os testes com a intenção de verificar a melhor abordagem em painel e se o MQO agrupado era adequado. Os resultados dos testes que subsidiaram a escolha do modelo de regressão mais consistente para os dados estão descritos na Tabela</w:t>
      </w:r>
      <w:r w:rsidR="006C63EB">
        <w:rPr>
          <w:szCs w:val="24"/>
          <w:lang w:eastAsia="pt-BR"/>
        </w:rPr>
        <w:t xml:space="preserve"> 3</w:t>
      </w:r>
    </w:p>
    <w:tbl>
      <w:tblPr>
        <w:tblW w:w="8880" w:type="dxa"/>
        <w:tblCellMar>
          <w:left w:w="70" w:type="dxa"/>
          <w:right w:w="70" w:type="dxa"/>
        </w:tblCellMar>
        <w:tblLook w:val="04A0" w:firstRow="1" w:lastRow="0" w:firstColumn="1" w:lastColumn="0" w:noHBand="0" w:noVBand="1"/>
      </w:tblPr>
      <w:tblGrid>
        <w:gridCol w:w="3492"/>
        <w:gridCol w:w="1714"/>
        <w:gridCol w:w="1837"/>
        <w:gridCol w:w="1837"/>
      </w:tblGrid>
      <w:tr w:rsidR="0063719B" w:rsidRPr="00A50D98" w14:paraId="37522BBB" w14:textId="77777777" w:rsidTr="0064799D">
        <w:trPr>
          <w:trHeight w:val="245"/>
        </w:trPr>
        <w:tc>
          <w:tcPr>
            <w:tcW w:w="8880" w:type="dxa"/>
            <w:gridSpan w:val="4"/>
            <w:tcBorders>
              <w:top w:val="nil"/>
              <w:left w:val="nil"/>
              <w:bottom w:val="single" w:sz="12" w:space="0" w:color="auto"/>
              <w:right w:val="nil"/>
            </w:tcBorders>
            <w:shd w:val="clear" w:color="auto" w:fill="auto"/>
            <w:noWrap/>
            <w:vAlign w:val="bottom"/>
            <w:hideMark/>
          </w:tcPr>
          <w:p w14:paraId="59589B7F" w14:textId="4E7A6D34" w:rsidR="0063719B" w:rsidRPr="006C63EB" w:rsidRDefault="0063719B" w:rsidP="006C63EB">
            <w:pPr>
              <w:spacing w:after="0" w:line="240" w:lineRule="auto"/>
              <w:ind w:firstLine="0"/>
              <w:jc w:val="center"/>
              <w:rPr>
                <w:sz w:val="20"/>
                <w:szCs w:val="20"/>
              </w:rPr>
            </w:pPr>
            <w:bookmarkStart w:id="30" w:name="_Toc413140836"/>
            <w:r w:rsidRPr="006C63EB">
              <w:rPr>
                <w:b/>
                <w:sz w:val="20"/>
                <w:szCs w:val="20"/>
              </w:rPr>
              <w:lastRenderedPageBreak/>
              <w:t>Tabela</w:t>
            </w:r>
            <w:r w:rsidR="006C63EB" w:rsidRPr="006C63EB">
              <w:rPr>
                <w:b/>
                <w:sz w:val="20"/>
                <w:szCs w:val="20"/>
              </w:rPr>
              <w:t>3</w:t>
            </w:r>
            <w:r w:rsidR="006C63EB">
              <w:rPr>
                <w:sz w:val="20"/>
                <w:szCs w:val="20"/>
              </w:rPr>
              <w:t xml:space="preserve">: </w:t>
            </w:r>
            <w:r w:rsidRPr="006C63EB">
              <w:rPr>
                <w:rFonts w:eastAsia="Times New Roman"/>
                <w:sz w:val="20"/>
                <w:szCs w:val="20"/>
                <w:lang w:eastAsia="pt-BR"/>
              </w:rPr>
              <w:t>Diagnóstico do modelo em painel.</w:t>
            </w:r>
            <w:bookmarkEnd w:id="30"/>
          </w:p>
        </w:tc>
      </w:tr>
      <w:tr w:rsidR="0063719B" w:rsidRPr="00A50D98" w14:paraId="686098FF" w14:textId="77777777" w:rsidTr="0064799D">
        <w:trPr>
          <w:trHeight w:val="232"/>
        </w:trPr>
        <w:tc>
          <w:tcPr>
            <w:tcW w:w="3492" w:type="dxa"/>
            <w:tcBorders>
              <w:top w:val="single" w:sz="12" w:space="0" w:color="auto"/>
              <w:left w:val="nil"/>
              <w:bottom w:val="nil"/>
              <w:right w:val="single" w:sz="4" w:space="0" w:color="auto"/>
            </w:tcBorders>
            <w:shd w:val="clear" w:color="auto" w:fill="auto"/>
            <w:noWrap/>
            <w:vAlign w:val="center"/>
            <w:hideMark/>
          </w:tcPr>
          <w:p w14:paraId="6664818B" w14:textId="77777777" w:rsidR="0063719B" w:rsidRPr="00A50D98" w:rsidRDefault="0063719B" w:rsidP="00A50D98">
            <w:pPr>
              <w:spacing w:after="0" w:line="240" w:lineRule="auto"/>
              <w:ind w:firstLine="0"/>
              <w:jc w:val="left"/>
              <w:rPr>
                <w:rFonts w:eastAsia="Times New Roman"/>
                <w:b/>
                <w:bCs/>
                <w:sz w:val="20"/>
                <w:szCs w:val="20"/>
                <w:lang w:eastAsia="pt-BR"/>
              </w:rPr>
            </w:pPr>
            <w:r w:rsidRPr="00A50D98">
              <w:rPr>
                <w:rFonts w:eastAsia="Times New Roman"/>
                <w:b/>
                <w:bCs/>
                <w:sz w:val="20"/>
                <w:szCs w:val="20"/>
                <w:lang w:eastAsia="pt-BR"/>
              </w:rPr>
              <w:t>Testes</w:t>
            </w:r>
          </w:p>
        </w:tc>
        <w:tc>
          <w:tcPr>
            <w:tcW w:w="1714" w:type="dxa"/>
            <w:tcBorders>
              <w:top w:val="single" w:sz="12" w:space="0" w:color="auto"/>
              <w:left w:val="nil"/>
              <w:bottom w:val="nil"/>
              <w:right w:val="single" w:sz="4" w:space="0" w:color="auto"/>
            </w:tcBorders>
            <w:shd w:val="clear" w:color="auto" w:fill="auto"/>
            <w:noWrap/>
            <w:vAlign w:val="bottom"/>
            <w:hideMark/>
          </w:tcPr>
          <w:p w14:paraId="38CA9ED1" w14:textId="77777777" w:rsidR="0063719B" w:rsidRPr="00A50D98" w:rsidRDefault="0063719B" w:rsidP="00A50D98">
            <w:pPr>
              <w:spacing w:after="0" w:line="240" w:lineRule="auto"/>
              <w:ind w:firstLine="0"/>
              <w:jc w:val="left"/>
              <w:rPr>
                <w:rFonts w:eastAsia="Times New Roman"/>
                <w:b/>
                <w:bCs/>
                <w:sz w:val="20"/>
                <w:szCs w:val="20"/>
                <w:lang w:eastAsia="pt-BR"/>
              </w:rPr>
            </w:pPr>
            <w:r w:rsidRPr="00A50D98">
              <w:rPr>
                <w:rFonts w:eastAsia="Times New Roman"/>
                <w:b/>
                <w:bCs/>
                <w:sz w:val="20"/>
                <w:szCs w:val="20"/>
                <w:lang w:eastAsia="pt-BR"/>
              </w:rPr>
              <w:t>IDC versus ISE</w:t>
            </w:r>
          </w:p>
        </w:tc>
        <w:tc>
          <w:tcPr>
            <w:tcW w:w="1837" w:type="dxa"/>
            <w:tcBorders>
              <w:top w:val="single" w:sz="12" w:space="0" w:color="auto"/>
              <w:left w:val="nil"/>
              <w:bottom w:val="nil"/>
              <w:right w:val="single" w:sz="4" w:space="0" w:color="auto"/>
            </w:tcBorders>
            <w:shd w:val="clear" w:color="auto" w:fill="auto"/>
            <w:noWrap/>
            <w:vAlign w:val="bottom"/>
            <w:hideMark/>
          </w:tcPr>
          <w:p w14:paraId="503B924A" w14:textId="77777777" w:rsidR="0063719B" w:rsidRPr="00A50D98" w:rsidRDefault="0063719B" w:rsidP="00A50D98">
            <w:pPr>
              <w:spacing w:after="0" w:line="240" w:lineRule="auto"/>
              <w:ind w:firstLine="0"/>
              <w:jc w:val="left"/>
              <w:rPr>
                <w:rFonts w:eastAsia="Times New Roman"/>
                <w:b/>
                <w:bCs/>
                <w:sz w:val="20"/>
                <w:szCs w:val="20"/>
                <w:lang w:eastAsia="pt-BR"/>
              </w:rPr>
            </w:pPr>
            <w:r w:rsidRPr="00A50D98">
              <w:rPr>
                <w:rFonts w:eastAsia="Times New Roman"/>
                <w:b/>
                <w:bCs/>
                <w:sz w:val="20"/>
                <w:szCs w:val="20"/>
                <w:lang w:eastAsia="pt-BR"/>
              </w:rPr>
              <w:t>IDC versus EM1</w:t>
            </w:r>
          </w:p>
        </w:tc>
        <w:tc>
          <w:tcPr>
            <w:tcW w:w="1837" w:type="dxa"/>
            <w:tcBorders>
              <w:top w:val="single" w:sz="12" w:space="0" w:color="auto"/>
              <w:left w:val="nil"/>
              <w:bottom w:val="nil"/>
              <w:right w:val="single" w:sz="4" w:space="0" w:color="auto"/>
            </w:tcBorders>
            <w:shd w:val="clear" w:color="auto" w:fill="auto"/>
            <w:noWrap/>
            <w:vAlign w:val="bottom"/>
            <w:hideMark/>
          </w:tcPr>
          <w:p w14:paraId="1867FCF9" w14:textId="77777777" w:rsidR="0063719B" w:rsidRPr="00A50D98" w:rsidRDefault="0063719B" w:rsidP="00A50D98">
            <w:pPr>
              <w:spacing w:after="0" w:line="240" w:lineRule="auto"/>
              <w:ind w:firstLine="0"/>
              <w:jc w:val="left"/>
              <w:rPr>
                <w:rFonts w:eastAsia="Times New Roman"/>
                <w:b/>
                <w:bCs/>
                <w:sz w:val="20"/>
                <w:szCs w:val="20"/>
                <w:lang w:eastAsia="pt-BR"/>
              </w:rPr>
            </w:pPr>
            <w:r w:rsidRPr="00A50D98">
              <w:rPr>
                <w:rFonts w:eastAsia="Times New Roman"/>
                <w:b/>
                <w:bCs/>
                <w:sz w:val="20"/>
                <w:szCs w:val="20"/>
                <w:lang w:eastAsia="pt-BR"/>
              </w:rPr>
              <w:t>IDC versus EM3</w:t>
            </w:r>
          </w:p>
        </w:tc>
      </w:tr>
      <w:tr w:rsidR="0063719B" w:rsidRPr="00A50D98" w14:paraId="243C58F3" w14:textId="77777777" w:rsidTr="0064799D">
        <w:trPr>
          <w:trHeight w:val="245"/>
        </w:trPr>
        <w:tc>
          <w:tcPr>
            <w:tcW w:w="3492" w:type="dxa"/>
            <w:vMerge w:val="restart"/>
            <w:tcBorders>
              <w:top w:val="single" w:sz="4" w:space="0" w:color="auto"/>
              <w:left w:val="nil"/>
              <w:bottom w:val="single" w:sz="4" w:space="0" w:color="000000"/>
              <w:right w:val="nil"/>
            </w:tcBorders>
            <w:shd w:val="clear" w:color="auto" w:fill="auto"/>
            <w:noWrap/>
            <w:vAlign w:val="center"/>
            <w:hideMark/>
          </w:tcPr>
          <w:p w14:paraId="5CDA65D9" w14:textId="77777777" w:rsidR="0063719B" w:rsidRPr="00A50D98" w:rsidRDefault="0063719B" w:rsidP="00831A14">
            <w:pPr>
              <w:spacing w:after="0" w:line="240" w:lineRule="auto"/>
              <w:ind w:firstLine="0"/>
              <w:jc w:val="left"/>
              <w:rPr>
                <w:rFonts w:eastAsia="Times New Roman"/>
                <w:sz w:val="20"/>
                <w:szCs w:val="20"/>
                <w:lang w:eastAsia="pt-BR"/>
              </w:rPr>
            </w:pPr>
            <w:r w:rsidRPr="00A50D98">
              <w:rPr>
                <w:rFonts w:eastAsia="Times New Roman"/>
                <w:sz w:val="20"/>
                <w:szCs w:val="20"/>
                <w:lang w:eastAsia="pt-BR"/>
              </w:rPr>
              <w:t>Teste de estimador de efeitos fixos</w:t>
            </w:r>
          </w:p>
        </w:tc>
        <w:tc>
          <w:tcPr>
            <w:tcW w:w="1714" w:type="dxa"/>
            <w:tcBorders>
              <w:top w:val="single" w:sz="4" w:space="0" w:color="auto"/>
              <w:left w:val="single" w:sz="4" w:space="0" w:color="auto"/>
              <w:bottom w:val="nil"/>
              <w:right w:val="nil"/>
            </w:tcBorders>
            <w:shd w:val="clear" w:color="auto" w:fill="auto"/>
            <w:noWrap/>
            <w:vAlign w:val="bottom"/>
            <w:hideMark/>
          </w:tcPr>
          <w:p w14:paraId="41820F4C"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10,427</w:t>
            </w:r>
          </w:p>
        </w:tc>
        <w:tc>
          <w:tcPr>
            <w:tcW w:w="1837" w:type="dxa"/>
            <w:tcBorders>
              <w:top w:val="single" w:sz="4" w:space="0" w:color="auto"/>
              <w:left w:val="single" w:sz="4" w:space="0" w:color="auto"/>
              <w:bottom w:val="nil"/>
              <w:right w:val="nil"/>
            </w:tcBorders>
            <w:shd w:val="clear" w:color="auto" w:fill="auto"/>
            <w:noWrap/>
            <w:vAlign w:val="bottom"/>
            <w:hideMark/>
          </w:tcPr>
          <w:p w14:paraId="3591ABCE"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10,410</w:t>
            </w:r>
          </w:p>
        </w:tc>
        <w:tc>
          <w:tcPr>
            <w:tcW w:w="1837" w:type="dxa"/>
            <w:tcBorders>
              <w:top w:val="single" w:sz="4" w:space="0" w:color="auto"/>
              <w:left w:val="single" w:sz="4" w:space="0" w:color="auto"/>
              <w:bottom w:val="nil"/>
              <w:right w:val="nil"/>
            </w:tcBorders>
            <w:shd w:val="clear" w:color="auto" w:fill="auto"/>
            <w:noWrap/>
            <w:vAlign w:val="bottom"/>
            <w:hideMark/>
          </w:tcPr>
          <w:p w14:paraId="3078C578"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10,353</w:t>
            </w:r>
          </w:p>
        </w:tc>
      </w:tr>
      <w:tr w:rsidR="0063719B" w:rsidRPr="00A50D98" w14:paraId="2B0B429C" w14:textId="77777777" w:rsidTr="0064799D">
        <w:trPr>
          <w:trHeight w:val="245"/>
        </w:trPr>
        <w:tc>
          <w:tcPr>
            <w:tcW w:w="3492" w:type="dxa"/>
            <w:vMerge/>
            <w:tcBorders>
              <w:top w:val="single" w:sz="4" w:space="0" w:color="auto"/>
              <w:left w:val="nil"/>
              <w:bottom w:val="single" w:sz="4" w:space="0" w:color="000000"/>
              <w:right w:val="nil"/>
            </w:tcBorders>
            <w:vAlign w:val="center"/>
            <w:hideMark/>
          </w:tcPr>
          <w:p w14:paraId="3A2D1947" w14:textId="77777777" w:rsidR="0063719B" w:rsidRPr="00A50D98" w:rsidRDefault="0063719B">
            <w:pPr>
              <w:spacing w:after="0" w:line="240" w:lineRule="auto"/>
              <w:ind w:firstLine="0"/>
              <w:jc w:val="left"/>
              <w:rPr>
                <w:rFonts w:eastAsia="Times New Roman"/>
                <w:sz w:val="20"/>
                <w:szCs w:val="20"/>
                <w:lang w:eastAsia="pt-BR"/>
              </w:rPr>
            </w:pPr>
          </w:p>
        </w:tc>
        <w:tc>
          <w:tcPr>
            <w:tcW w:w="1714" w:type="dxa"/>
            <w:tcBorders>
              <w:top w:val="nil"/>
              <w:left w:val="single" w:sz="4" w:space="0" w:color="auto"/>
              <w:bottom w:val="single" w:sz="4" w:space="0" w:color="auto"/>
              <w:right w:val="nil"/>
            </w:tcBorders>
            <w:shd w:val="clear" w:color="auto" w:fill="auto"/>
            <w:noWrap/>
            <w:vAlign w:val="bottom"/>
            <w:hideMark/>
          </w:tcPr>
          <w:p w14:paraId="6F2F78B4"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(0,000)</w:t>
            </w:r>
          </w:p>
        </w:tc>
        <w:tc>
          <w:tcPr>
            <w:tcW w:w="1837" w:type="dxa"/>
            <w:tcBorders>
              <w:top w:val="nil"/>
              <w:left w:val="single" w:sz="4" w:space="0" w:color="auto"/>
              <w:bottom w:val="single" w:sz="4" w:space="0" w:color="auto"/>
              <w:right w:val="nil"/>
            </w:tcBorders>
            <w:shd w:val="clear" w:color="auto" w:fill="auto"/>
            <w:noWrap/>
            <w:vAlign w:val="bottom"/>
            <w:hideMark/>
          </w:tcPr>
          <w:p w14:paraId="0B368F46"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(0,000)</w:t>
            </w:r>
          </w:p>
        </w:tc>
        <w:tc>
          <w:tcPr>
            <w:tcW w:w="1837" w:type="dxa"/>
            <w:tcBorders>
              <w:top w:val="nil"/>
              <w:left w:val="single" w:sz="4" w:space="0" w:color="auto"/>
              <w:bottom w:val="single" w:sz="4" w:space="0" w:color="auto"/>
              <w:right w:val="nil"/>
            </w:tcBorders>
            <w:shd w:val="clear" w:color="auto" w:fill="auto"/>
            <w:noWrap/>
            <w:vAlign w:val="bottom"/>
            <w:hideMark/>
          </w:tcPr>
          <w:p w14:paraId="472329E6"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(0,000)</w:t>
            </w:r>
          </w:p>
        </w:tc>
      </w:tr>
      <w:tr w:rsidR="0063719B" w:rsidRPr="00A50D98" w14:paraId="29721643" w14:textId="77777777" w:rsidTr="0064799D">
        <w:trPr>
          <w:trHeight w:val="273"/>
        </w:trPr>
        <w:tc>
          <w:tcPr>
            <w:tcW w:w="3492" w:type="dxa"/>
            <w:vMerge w:val="restart"/>
            <w:tcBorders>
              <w:top w:val="nil"/>
              <w:left w:val="nil"/>
              <w:bottom w:val="single" w:sz="4" w:space="0" w:color="000000"/>
              <w:right w:val="nil"/>
            </w:tcBorders>
            <w:shd w:val="clear" w:color="auto" w:fill="auto"/>
            <w:noWrap/>
            <w:vAlign w:val="center"/>
            <w:hideMark/>
          </w:tcPr>
          <w:p w14:paraId="6A071D48" w14:textId="77777777" w:rsidR="0063719B" w:rsidRPr="00A50D98" w:rsidRDefault="0063719B" w:rsidP="00831A14">
            <w:pPr>
              <w:spacing w:after="0" w:line="240" w:lineRule="auto"/>
              <w:ind w:firstLine="0"/>
              <w:jc w:val="left"/>
              <w:rPr>
                <w:rFonts w:eastAsia="Times New Roman"/>
                <w:sz w:val="20"/>
                <w:szCs w:val="20"/>
                <w:lang w:eastAsia="pt-BR"/>
              </w:rPr>
            </w:pPr>
            <w:r w:rsidRPr="00A50D98">
              <w:rPr>
                <w:rFonts w:eastAsia="Times New Roman"/>
                <w:sz w:val="20"/>
                <w:szCs w:val="20"/>
                <w:lang w:eastAsia="pt-BR"/>
              </w:rPr>
              <w:t>Teste de Breusch-Pagan</w:t>
            </w:r>
          </w:p>
        </w:tc>
        <w:tc>
          <w:tcPr>
            <w:tcW w:w="1714" w:type="dxa"/>
            <w:tcBorders>
              <w:top w:val="nil"/>
              <w:left w:val="single" w:sz="4" w:space="0" w:color="auto"/>
              <w:bottom w:val="nil"/>
              <w:right w:val="nil"/>
            </w:tcBorders>
            <w:shd w:val="clear" w:color="auto" w:fill="auto"/>
            <w:noWrap/>
            <w:vAlign w:val="bottom"/>
            <w:hideMark/>
          </w:tcPr>
          <w:p w14:paraId="2DFB3F5B"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99,646</w:t>
            </w:r>
          </w:p>
        </w:tc>
        <w:tc>
          <w:tcPr>
            <w:tcW w:w="1837" w:type="dxa"/>
            <w:tcBorders>
              <w:top w:val="nil"/>
              <w:left w:val="single" w:sz="4" w:space="0" w:color="auto"/>
              <w:bottom w:val="nil"/>
              <w:right w:val="nil"/>
            </w:tcBorders>
            <w:shd w:val="clear" w:color="auto" w:fill="auto"/>
            <w:noWrap/>
            <w:vAlign w:val="bottom"/>
            <w:hideMark/>
          </w:tcPr>
          <w:p w14:paraId="1ABA44A0"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99,067</w:t>
            </w:r>
          </w:p>
        </w:tc>
        <w:tc>
          <w:tcPr>
            <w:tcW w:w="1837" w:type="dxa"/>
            <w:tcBorders>
              <w:top w:val="nil"/>
              <w:left w:val="single" w:sz="4" w:space="0" w:color="auto"/>
              <w:bottom w:val="nil"/>
              <w:right w:val="nil"/>
            </w:tcBorders>
            <w:shd w:val="clear" w:color="auto" w:fill="auto"/>
            <w:noWrap/>
            <w:vAlign w:val="bottom"/>
            <w:hideMark/>
          </w:tcPr>
          <w:p w14:paraId="76E77B4C"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98,507</w:t>
            </w:r>
          </w:p>
        </w:tc>
      </w:tr>
      <w:tr w:rsidR="0063719B" w:rsidRPr="00A50D98" w14:paraId="242913A1" w14:textId="77777777" w:rsidTr="0064799D">
        <w:trPr>
          <w:trHeight w:val="232"/>
        </w:trPr>
        <w:tc>
          <w:tcPr>
            <w:tcW w:w="3492" w:type="dxa"/>
            <w:vMerge/>
            <w:tcBorders>
              <w:top w:val="nil"/>
              <w:left w:val="nil"/>
              <w:bottom w:val="single" w:sz="4" w:space="0" w:color="000000"/>
              <w:right w:val="nil"/>
            </w:tcBorders>
            <w:vAlign w:val="center"/>
            <w:hideMark/>
          </w:tcPr>
          <w:p w14:paraId="18CCC15D" w14:textId="77777777" w:rsidR="0063719B" w:rsidRPr="00A50D98" w:rsidRDefault="0063719B">
            <w:pPr>
              <w:spacing w:after="0" w:line="240" w:lineRule="auto"/>
              <w:ind w:firstLine="0"/>
              <w:jc w:val="left"/>
              <w:rPr>
                <w:rFonts w:eastAsia="Times New Roman"/>
                <w:sz w:val="20"/>
                <w:szCs w:val="20"/>
                <w:lang w:eastAsia="pt-BR"/>
              </w:rPr>
            </w:pPr>
          </w:p>
        </w:tc>
        <w:tc>
          <w:tcPr>
            <w:tcW w:w="1714" w:type="dxa"/>
            <w:tcBorders>
              <w:top w:val="nil"/>
              <w:left w:val="single" w:sz="4" w:space="0" w:color="auto"/>
              <w:bottom w:val="single" w:sz="4" w:space="0" w:color="auto"/>
              <w:right w:val="nil"/>
            </w:tcBorders>
            <w:shd w:val="clear" w:color="auto" w:fill="auto"/>
            <w:noWrap/>
            <w:vAlign w:val="bottom"/>
            <w:hideMark/>
          </w:tcPr>
          <w:p w14:paraId="0222C908"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(0,000)</w:t>
            </w:r>
          </w:p>
        </w:tc>
        <w:tc>
          <w:tcPr>
            <w:tcW w:w="1837" w:type="dxa"/>
            <w:tcBorders>
              <w:top w:val="nil"/>
              <w:left w:val="single" w:sz="4" w:space="0" w:color="auto"/>
              <w:bottom w:val="single" w:sz="4" w:space="0" w:color="auto"/>
              <w:right w:val="nil"/>
            </w:tcBorders>
            <w:shd w:val="clear" w:color="auto" w:fill="auto"/>
            <w:noWrap/>
            <w:vAlign w:val="bottom"/>
            <w:hideMark/>
          </w:tcPr>
          <w:p w14:paraId="0B86ECE2"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(0,000)</w:t>
            </w:r>
          </w:p>
        </w:tc>
        <w:tc>
          <w:tcPr>
            <w:tcW w:w="1837" w:type="dxa"/>
            <w:tcBorders>
              <w:top w:val="nil"/>
              <w:left w:val="single" w:sz="4" w:space="0" w:color="auto"/>
              <w:bottom w:val="single" w:sz="4" w:space="0" w:color="auto"/>
              <w:right w:val="nil"/>
            </w:tcBorders>
            <w:shd w:val="clear" w:color="auto" w:fill="auto"/>
            <w:noWrap/>
            <w:vAlign w:val="bottom"/>
            <w:hideMark/>
          </w:tcPr>
          <w:p w14:paraId="523A5DB0"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(0,000)</w:t>
            </w:r>
          </w:p>
        </w:tc>
      </w:tr>
      <w:tr w:rsidR="0063719B" w:rsidRPr="00A50D98" w14:paraId="35F7600F" w14:textId="77777777" w:rsidTr="0064799D">
        <w:trPr>
          <w:trHeight w:val="245"/>
        </w:trPr>
        <w:tc>
          <w:tcPr>
            <w:tcW w:w="3492" w:type="dxa"/>
            <w:vMerge w:val="restart"/>
            <w:tcBorders>
              <w:top w:val="nil"/>
              <w:left w:val="nil"/>
              <w:bottom w:val="single" w:sz="4" w:space="0" w:color="000000"/>
              <w:right w:val="nil"/>
            </w:tcBorders>
            <w:shd w:val="clear" w:color="auto" w:fill="auto"/>
            <w:noWrap/>
            <w:vAlign w:val="center"/>
            <w:hideMark/>
          </w:tcPr>
          <w:p w14:paraId="56E2C4DA" w14:textId="77777777" w:rsidR="0063719B" w:rsidRPr="00A50D98" w:rsidRDefault="0063719B" w:rsidP="00831A14">
            <w:pPr>
              <w:spacing w:after="0" w:line="240" w:lineRule="auto"/>
              <w:ind w:firstLine="0"/>
              <w:jc w:val="left"/>
              <w:rPr>
                <w:rFonts w:eastAsia="Times New Roman"/>
                <w:sz w:val="20"/>
                <w:szCs w:val="20"/>
                <w:lang w:eastAsia="pt-BR"/>
              </w:rPr>
            </w:pPr>
            <w:r w:rsidRPr="00A50D98">
              <w:rPr>
                <w:rFonts w:eastAsia="Times New Roman"/>
                <w:sz w:val="20"/>
                <w:szCs w:val="20"/>
                <w:lang w:eastAsia="pt-BR"/>
              </w:rPr>
              <w:t>Teste de Hausman</w:t>
            </w:r>
          </w:p>
        </w:tc>
        <w:tc>
          <w:tcPr>
            <w:tcW w:w="1714" w:type="dxa"/>
            <w:tcBorders>
              <w:top w:val="nil"/>
              <w:left w:val="single" w:sz="4" w:space="0" w:color="auto"/>
              <w:bottom w:val="nil"/>
              <w:right w:val="nil"/>
            </w:tcBorders>
            <w:shd w:val="clear" w:color="auto" w:fill="auto"/>
            <w:noWrap/>
            <w:vAlign w:val="bottom"/>
            <w:hideMark/>
          </w:tcPr>
          <w:p w14:paraId="54A6D655"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1,632</w:t>
            </w:r>
          </w:p>
        </w:tc>
        <w:tc>
          <w:tcPr>
            <w:tcW w:w="1837" w:type="dxa"/>
            <w:tcBorders>
              <w:top w:val="nil"/>
              <w:left w:val="single" w:sz="4" w:space="0" w:color="auto"/>
              <w:bottom w:val="nil"/>
              <w:right w:val="nil"/>
            </w:tcBorders>
            <w:shd w:val="clear" w:color="auto" w:fill="auto"/>
            <w:noWrap/>
            <w:vAlign w:val="bottom"/>
            <w:hideMark/>
          </w:tcPr>
          <w:p w14:paraId="1F794D61"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2,287</w:t>
            </w:r>
          </w:p>
        </w:tc>
        <w:tc>
          <w:tcPr>
            <w:tcW w:w="1837" w:type="dxa"/>
            <w:tcBorders>
              <w:top w:val="nil"/>
              <w:left w:val="single" w:sz="4" w:space="0" w:color="auto"/>
              <w:bottom w:val="nil"/>
              <w:right w:val="nil"/>
            </w:tcBorders>
            <w:shd w:val="clear" w:color="auto" w:fill="auto"/>
            <w:noWrap/>
            <w:vAlign w:val="bottom"/>
            <w:hideMark/>
          </w:tcPr>
          <w:p w14:paraId="0B9A3531"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1,833</w:t>
            </w:r>
          </w:p>
        </w:tc>
      </w:tr>
      <w:tr w:rsidR="0063719B" w:rsidRPr="00A50D98" w14:paraId="664F1FED" w14:textId="77777777" w:rsidTr="0064799D">
        <w:trPr>
          <w:trHeight w:val="232"/>
        </w:trPr>
        <w:tc>
          <w:tcPr>
            <w:tcW w:w="3492" w:type="dxa"/>
            <w:vMerge/>
            <w:tcBorders>
              <w:top w:val="nil"/>
              <w:left w:val="nil"/>
              <w:bottom w:val="single" w:sz="12" w:space="0" w:color="auto"/>
              <w:right w:val="nil"/>
            </w:tcBorders>
            <w:vAlign w:val="center"/>
            <w:hideMark/>
          </w:tcPr>
          <w:p w14:paraId="6E2CEF52" w14:textId="77777777" w:rsidR="0063719B" w:rsidRPr="00A50D98" w:rsidRDefault="0063719B" w:rsidP="00A50D98">
            <w:pPr>
              <w:spacing w:after="0" w:line="240" w:lineRule="auto"/>
              <w:ind w:firstLine="0"/>
              <w:jc w:val="left"/>
              <w:rPr>
                <w:rFonts w:eastAsia="Times New Roman"/>
                <w:sz w:val="20"/>
                <w:szCs w:val="20"/>
                <w:lang w:eastAsia="pt-BR"/>
              </w:rPr>
            </w:pPr>
          </w:p>
        </w:tc>
        <w:tc>
          <w:tcPr>
            <w:tcW w:w="1714" w:type="dxa"/>
            <w:tcBorders>
              <w:top w:val="nil"/>
              <w:left w:val="single" w:sz="4" w:space="0" w:color="auto"/>
              <w:bottom w:val="single" w:sz="12" w:space="0" w:color="auto"/>
              <w:right w:val="nil"/>
            </w:tcBorders>
            <w:shd w:val="clear" w:color="auto" w:fill="auto"/>
            <w:noWrap/>
            <w:vAlign w:val="bottom"/>
            <w:hideMark/>
          </w:tcPr>
          <w:p w14:paraId="4CE60EC1"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(0,897)</w:t>
            </w:r>
          </w:p>
        </w:tc>
        <w:tc>
          <w:tcPr>
            <w:tcW w:w="1837" w:type="dxa"/>
            <w:tcBorders>
              <w:top w:val="nil"/>
              <w:left w:val="single" w:sz="4" w:space="0" w:color="auto"/>
              <w:bottom w:val="single" w:sz="12" w:space="0" w:color="auto"/>
              <w:right w:val="nil"/>
            </w:tcBorders>
            <w:shd w:val="clear" w:color="auto" w:fill="auto"/>
            <w:noWrap/>
            <w:vAlign w:val="bottom"/>
            <w:hideMark/>
          </w:tcPr>
          <w:p w14:paraId="30D0E698"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(0,808)</w:t>
            </w:r>
          </w:p>
        </w:tc>
        <w:tc>
          <w:tcPr>
            <w:tcW w:w="1837" w:type="dxa"/>
            <w:tcBorders>
              <w:top w:val="nil"/>
              <w:left w:val="single" w:sz="4" w:space="0" w:color="auto"/>
              <w:bottom w:val="single" w:sz="12" w:space="0" w:color="auto"/>
              <w:right w:val="nil"/>
            </w:tcBorders>
            <w:shd w:val="clear" w:color="auto" w:fill="auto"/>
            <w:noWrap/>
            <w:vAlign w:val="bottom"/>
            <w:hideMark/>
          </w:tcPr>
          <w:p w14:paraId="592B1EF2" w14:textId="77777777" w:rsidR="0063719B" w:rsidRPr="00A50D98" w:rsidRDefault="0063719B" w:rsidP="00A50D98">
            <w:pPr>
              <w:spacing w:after="0" w:line="240" w:lineRule="auto"/>
              <w:ind w:firstLine="0"/>
              <w:jc w:val="center"/>
              <w:rPr>
                <w:rFonts w:eastAsia="Times New Roman"/>
                <w:sz w:val="20"/>
                <w:szCs w:val="20"/>
                <w:lang w:eastAsia="pt-BR"/>
              </w:rPr>
            </w:pPr>
            <w:r w:rsidRPr="00A50D98">
              <w:rPr>
                <w:rFonts w:eastAsia="Times New Roman"/>
                <w:sz w:val="20"/>
                <w:szCs w:val="20"/>
                <w:lang w:eastAsia="pt-BR"/>
              </w:rPr>
              <w:t>(0,872)</w:t>
            </w:r>
          </w:p>
        </w:tc>
      </w:tr>
      <w:tr w:rsidR="0063719B" w:rsidRPr="00A50D98" w14:paraId="090E834D" w14:textId="77777777" w:rsidTr="0064799D">
        <w:trPr>
          <w:trHeight w:val="232"/>
        </w:trPr>
        <w:tc>
          <w:tcPr>
            <w:tcW w:w="8880" w:type="dxa"/>
            <w:gridSpan w:val="4"/>
            <w:tcBorders>
              <w:top w:val="single" w:sz="12" w:space="0" w:color="auto"/>
              <w:left w:val="nil"/>
              <w:bottom w:val="single" w:sz="12" w:space="0" w:color="auto"/>
              <w:right w:val="nil"/>
            </w:tcBorders>
            <w:shd w:val="clear" w:color="auto" w:fill="auto"/>
            <w:vAlign w:val="bottom"/>
            <w:hideMark/>
          </w:tcPr>
          <w:p w14:paraId="0488A42A" w14:textId="77777777" w:rsidR="0063719B" w:rsidRPr="00A50D98" w:rsidRDefault="0063719B" w:rsidP="00A50D98">
            <w:pPr>
              <w:spacing w:after="0" w:line="240" w:lineRule="auto"/>
              <w:ind w:firstLine="0"/>
              <w:rPr>
                <w:rFonts w:eastAsia="Times New Roman"/>
                <w:sz w:val="20"/>
                <w:szCs w:val="20"/>
                <w:lang w:eastAsia="pt-BR"/>
              </w:rPr>
            </w:pPr>
            <w:r w:rsidRPr="00A50D98">
              <w:rPr>
                <w:rFonts w:eastAsia="Times New Roman"/>
                <w:sz w:val="20"/>
                <w:szCs w:val="20"/>
                <w:lang w:eastAsia="pt-BR"/>
              </w:rPr>
              <w:t xml:space="preserve">Legenda: IDC = índice de divulgação compulsória; ISE = índice de suavização de Eckel (1981); EM1, EM3 = métrica de suavização de Leuz, Nanda e Wysocki (2003), </w:t>
            </w:r>
            <w:r w:rsidRPr="00A50D98">
              <w:rPr>
                <w:rFonts w:eastAsia="Times New Roman"/>
                <w:i/>
                <w:iCs/>
                <w:sz w:val="20"/>
                <w:szCs w:val="20"/>
                <w:lang w:eastAsia="pt-BR"/>
              </w:rPr>
              <w:t>p-value</w:t>
            </w:r>
            <w:r w:rsidRPr="00A50D98">
              <w:rPr>
                <w:rFonts w:eastAsia="Times New Roman"/>
                <w:sz w:val="20"/>
                <w:szCs w:val="20"/>
                <w:lang w:eastAsia="pt-BR"/>
              </w:rPr>
              <w:t xml:space="preserve"> entre parênteses.</w:t>
            </w:r>
          </w:p>
        </w:tc>
      </w:tr>
      <w:tr w:rsidR="0063719B" w:rsidRPr="00A50D98" w14:paraId="1E355902" w14:textId="77777777" w:rsidTr="0064799D">
        <w:trPr>
          <w:trHeight w:val="245"/>
        </w:trPr>
        <w:tc>
          <w:tcPr>
            <w:tcW w:w="8880" w:type="dxa"/>
            <w:gridSpan w:val="4"/>
            <w:tcBorders>
              <w:top w:val="single" w:sz="12" w:space="0" w:color="auto"/>
              <w:left w:val="nil"/>
              <w:bottom w:val="nil"/>
              <w:right w:val="nil"/>
            </w:tcBorders>
            <w:shd w:val="clear" w:color="auto" w:fill="auto"/>
            <w:noWrap/>
            <w:vAlign w:val="bottom"/>
            <w:hideMark/>
          </w:tcPr>
          <w:p w14:paraId="0CCFE29D" w14:textId="77777777" w:rsidR="0063719B" w:rsidRPr="00A50D98" w:rsidRDefault="0063719B" w:rsidP="00A50D98">
            <w:pPr>
              <w:spacing w:line="240" w:lineRule="auto"/>
              <w:ind w:firstLine="0"/>
              <w:jc w:val="left"/>
              <w:rPr>
                <w:rFonts w:eastAsia="Times New Roman"/>
                <w:sz w:val="20"/>
                <w:szCs w:val="20"/>
                <w:lang w:eastAsia="pt-BR"/>
              </w:rPr>
            </w:pPr>
            <w:r w:rsidRPr="00A50D98">
              <w:rPr>
                <w:rFonts w:eastAsia="Times New Roman"/>
                <w:sz w:val="20"/>
                <w:szCs w:val="20"/>
                <w:lang w:eastAsia="pt-BR"/>
              </w:rPr>
              <w:t>Fonte: dados da pesquisa.</w:t>
            </w:r>
          </w:p>
        </w:tc>
      </w:tr>
    </w:tbl>
    <w:p w14:paraId="7FA46F80" w14:textId="63B588C7" w:rsidR="0063719B" w:rsidRPr="00E656E3" w:rsidRDefault="0063719B" w:rsidP="00E240B6">
      <w:pPr>
        <w:autoSpaceDE w:val="0"/>
        <w:autoSpaceDN w:val="0"/>
        <w:adjustRightInd w:val="0"/>
        <w:spacing w:after="0"/>
        <w:ind w:firstLine="0"/>
        <w:rPr>
          <w:szCs w:val="24"/>
          <w:lang w:eastAsia="pt-BR"/>
        </w:rPr>
      </w:pPr>
      <w:r w:rsidRPr="00E656E3">
        <w:rPr>
          <w:szCs w:val="24"/>
          <w:lang w:eastAsia="pt-BR"/>
        </w:rPr>
        <w:tab/>
        <w:t>O teste de estimador de efeitos fixos</w:t>
      </w:r>
      <w:r w:rsidR="00A10583" w:rsidRPr="00E656E3">
        <w:rPr>
          <w:szCs w:val="24"/>
          <w:lang w:eastAsia="pt-BR"/>
        </w:rPr>
        <w:t xml:space="preserve"> e o teste de Breusch-Pagan</w:t>
      </w:r>
      <w:r w:rsidR="004449A1" w:rsidRPr="00E656E3">
        <w:rPr>
          <w:szCs w:val="24"/>
          <w:lang w:eastAsia="pt-BR"/>
        </w:rPr>
        <w:t xml:space="preserve"> têm</w:t>
      </w:r>
      <w:r w:rsidRPr="00E656E3">
        <w:rPr>
          <w:szCs w:val="24"/>
          <w:lang w:eastAsia="pt-BR"/>
        </w:rPr>
        <w:t xml:space="preserve"> por objetivo verificar se o modelo de efeitos fixos</w:t>
      </w:r>
      <w:r w:rsidR="00A10583" w:rsidRPr="00E656E3">
        <w:rPr>
          <w:szCs w:val="24"/>
          <w:lang w:eastAsia="pt-BR"/>
        </w:rPr>
        <w:t xml:space="preserve"> ou </w:t>
      </w:r>
      <w:r w:rsidR="004449A1" w:rsidRPr="00E656E3">
        <w:rPr>
          <w:szCs w:val="24"/>
          <w:lang w:eastAsia="pt-BR"/>
        </w:rPr>
        <w:t>aleatório</w:t>
      </w:r>
      <w:r w:rsidRPr="00E656E3">
        <w:rPr>
          <w:szCs w:val="24"/>
          <w:lang w:eastAsia="pt-BR"/>
        </w:rPr>
        <w:t xml:space="preserve"> é adequado em relação ao modelo de MQO agrupado (</w:t>
      </w:r>
      <w:r w:rsidRPr="00E656E3">
        <w:rPr>
          <w:i/>
          <w:szCs w:val="24"/>
          <w:lang w:eastAsia="pt-BR"/>
        </w:rPr>
        <w:t>pooled</w:t>
      </w:r>
      <w:r w:rsidRPr="00E656E3">
        <w:rPr>
          <w:szCs w:val="24"/>
          <w:lang w:eastAsia="pt-BR"/>
        </w:rPr>
        <w:t xml:space="preserve">). A hipótese nula do teste é que o modelo MQO agrupado é consistente. Como observa-se na Tabela </w:t>
      </w:r>
      <w:r w:rsidR="000401BE">
        <w:rPr>
          <w:szCs w:val="24"/>
          <w:lang w:eastAsia="pt-BR"/>
        </w:rPr>
        <w:t>3</w:t>
      </w:r>
      <w:r w:rsidRPr="00E656E3">
        <w:rPr>
          <w:szCs w:val="24"/>
          <w:lang w:eastAsia="pt-BR"/>
        </w:rPr>
        <w:t xml:space="preserve">, os valores de </w:t>
      </w:r>
      <w:r w:rsidRPr="00E656E3">
        <w:rPr>
          <w:i/>
          <w:szCs w:val="24"/>
          <w:lang w:eastAsia="pt-BR"/>
        </w:rPr>
        <w:t xml:space="preserve">p-value </w:t>
      </w:r>
      <w:r w:rsidRPr="00E656E3">
        <w:rPr>
          <w:szCs w:val="24"/>
          <w:lang w:eastAsia="pt-BR"/>
        </w:rPr>
        <w:t xml:space="preserve">são todos inferiores a 0,05, rejeitando a hipótese nula e indicando o modelo efeitos </w:t>
      </w:r>
      <w:r w:rsidR="00A10583" w:rsidRPr="00E656E3">
        <w:rPr>
          <w:szCs w:val="24"/>
          <w:lang w:eastAsia="pt-BR"/>
        </w:rPr>
        <w:t>aleatórios</w:t>
      </w:r>
      <w:r w:rsidRPr="00E656E3">
        <w:rPr>
          <w:szCs w:val="24"/>
          <w:lang w:eastAsia="pt-BR"/>
        </w:rPr>
        <w:t>. Isso significa dizer que as empresas possuem coeficientes lineares (interceptos) diferentes.</w:t>
      </w:r>
      <w:r w:rsidR="00A10583" w:rsidRPr="00E656E3">
        <w:rPr>
          <w:szCs w:val="24"/>
          <w:lang w:eastAsia="pt-BR"/>
        </w:rPr>
        <w:t xml:space="preserve"> </w:t>
      </w:r>
      <w:r w:rsidRPr="00E656E3">
        <w:rPr>
          <w:szCs w:val="24"/>
          <w:lang w:eastAsia="pt-BR"/>
        </w:rPr>
        <w:t>Assim, prossegue-se o diagnóstico do painel com o último teste.</w:t>
      </w:r>
    </w:p>
    <w:p w14:paraId="6256702B" w14:textId="223A5DD9" w:rsidR="0063719B" w:rsidRPr="00E656E3" w:rsidRDefault="0063719B" w:rsidP="00E240B6">
      <w:pPr>
        <w:autoSpaceDE w:val="0"/>
        <w:autoSpaceDN w:val="0"/>
        <w:adjustRightInd w:val="0"/>
        <w:spacing w:after="0"/>
        <w:ind w:firstLine="708"/>
        <w:rPr>
          <w:szCs w:val="24"/>
          <w:lang w:eastAsia="pt-BR"/>
        </w:rPr>
      </w:pPr>
      <w:r w:rsidRPr="00E656E3">
        <w:rPr>
          <w:szCs w:val="24"/>
          <w:lang w:eastAsia="pt-BR"/>
        </w:rPr>
        <w:t xml:space="preserve">O teste de Hausman é utilizado para definir o modelo mais adequado, se efeitos fixos ou aleatórios. A hipótese nula do teste de Hausman define </w:t>
      </w:r>
      <w:r w:rsidRPr="00E656E3">
        <w:rPr>
          <w:strike/>
          <w:szCs w:val="24"/>
          <w:lang w:eastAsia="pt-BR"/>
        </w:rPr>
        <w:t>é</w:t>
      </w:r>
      <w:r w:rsidRPr="00E656E3">
        <w:rPr>
          <w:szCs w:val="24"/>
          <w:lang w:eastAsia="pt-BR"/>
        </w:rPr>
        <w:t xml:space="preserve"> que os estimadores do modelo de efeito aleatórios são consistentes (GUJARATI; PORTER, 2011). O objetivo da estatística do teste é um </w:t>
      </w:r>
      <w:r w:rsidRPr="00E656E3">
        <w:rPr>
          <w:i/>
          <w:szCs w:val="24"/>
          <w:lang w:eastAsia="pt-BR"/>
        </w:rPr>
        <w:t>p-value</w:t>
      </w:r>
      <w:r w:rsidRPr="00E656E3">
        <w:rPr>
          <w:szCs w:val="24"/>
          <w:lang w:eastAsia="pt-BR"/>
        </w:rPr>
        <w:t xml:space="preserve"> &gt; 0,05, pois se for menor, estará contrariando a hipótese nula que o modelo de efeitos aleatórios é consistente. Pode-se observar que o resultado do </w:t>
      </w:r>
      <w:r w:rsidRPr="00E656E3">
        <w:rPr>
          <w:i/>
          <w:szCs w:val="24"/>
          <w:lang w:eastAsia="pt-BR"/>
        </w:rPr>
        <w:t xml:space="preserve">p-value </w:t>
      </w:r>
      <w:r w:rsidRPr="00E656E3">
        <w:rPr>
          <w:szCs w:val="24"/>
          <w:lang w:eastAsia="pt-BR"/>
        </w:rPr>
        <w:t xml:space="preserve">é de 0,897 para a variável independente ISE, 0,808 para EM1 e 0,872 para EM3 sendo os valores todos maiores que 0,05, não rejeitando a hipótese nula e validando que o melhor modelo é por efeitos aleatórios. </w:t>
      </w:r>
    </w:p>
    <w:p w14:paraId="291A0667" w14:textId="0B3DBAC5" w:rsidR="0063719B" w:rsidRPr="00E656E3" w:rsidRDefault="0063719B" w:rsidP="00E240B6">
      <w:pPr>
        <w:autoSpaceDE w:val="0"/>
        <w:autoSpaceDN w:val="0"/>
        <w:adjustRightInd w:val="0"/>
        <w:spacing w:after="0"/>
        <w:ind w:firstLine="708"/>
        <w:rPr>
          <w:szCs w:val="24"/>
          <w:lang w:eastAsia="pt-BR"/>
        </w:rPr>
      </w:pPr>
      <w:r w:rsidRPr="00E656E3">
        <w:rPr>
          <w:szCs w:val="24"/>
          <w:lang w:eastAsia="pt-BR"/>
        </w:rPr>
        <w:t xml:space="preserve">Na Tabela </w:t>
      </w:r>
      <w:r w:rsidR="000401BE">
        <w:rPr>
          <w:szCs w:val="24"/>
          <w:lang w:eastAsia="pt-BR"/>
        </w:rPr>
        <w:t>4</w:t>
      </w:r>
      <w:r w:rsidRPr="00E656E3">
        <w:rPr>
          <w:szCs w:val="24"/>
          <w:lang w:eastAsia="pt-BR"/>
        </w:rPr>
        <w:t>, estão os resultados das regressões com dados em painel pelo modelo de efeitos aleatórios considerando os três modelos</w:t>
      </w:r>
      <w:r w:rsidR="000401BE">
        <w:rPr>
          <w:szCs w:val="24"/>
          <w:lang w:eastAsia="pt-BR"/>
        </w:rPr>
        <w:t xml:space="preserve"> econométricos</w:t>
      </w:r>
      <w:r w:rsidRPr="00E656E3">
        <w:rPr>
          <w:szCs w:val="24"/>
          <w:lang w:eastAsia="pt-BR"/>
        </w:rPr>
        <w:t xml:space="preserve"> das equações (</w:t>
      </w:r>
      <w:r w:rsidR="000401BE">
        <w:rPr>
          <w:szCs w:val="24"/>
          <w:lang w:eastAsia="pt-BR"/>
        </w:rPr>
        <w:t>4</w:t>
      </w:r>
      <w:r w:rsidRPr="00E656E3">
        <w:rPr>
          <w:szCs w:val="24"/>
          <w:lang w:eastAsia="pt-BR"/>
        </w:rPr>
        <w:t>), (</w:t>
      </w:r>
      <w:r w:rsidR="000401BE">
        <w:rPr>
          <w:szCs w:val="24"/>
          <w:lang w:eastAsia="pt-BR"/>
        </w:rPr>
        <w:t>5</w:t>
      </w:r>
      <w:r w:rsidRPr="00E656E3">
        <w:rPr>
          <w:szCs w:val="24"/>
          <w:lang w:eastAsia="pt-BR"/>
        </w:rPr>
        <w:t>) e (</w:t>
      </w:r>
      <w:r w:rsidR="000401BE">
        <w:rPr>
          <w:szCs w:val="24"/>
          <w:lang w:eastAsia="pt-BR"/>
        </w:rPr>
        <w:t>6</w:t>
      </w:r>
      <w:r w:rsidRPr="00E656E3">
        <w:rPr>
          <w:szCs w:val="24"/>
          <w:lang w:eastAsia="pt-BR"/>
        </w:rPr>
        <w:t>).</w:t>
      </w:r>
    </w:p>
    <w:tbl>
      <w:tblPr>
        <w:tblW w:w="9165" w:type="dxa"/>
        <w:tblCellMar>
          <w:left w:w="70" w:type="dxa"/>
          <w:right w:w="70" w:type="dxa"/>
        </w:tblCellMar>
        <w:tblLook w:val="04A0" w:firstRow="1" w:lastRow="0" w:firstColumn="1" w:lastColumn="0" w:noHBand="0" w:noVBand="1"/>
      </w:tblPr>
      <w:tblGrid>
        <w:gridCol w:w="2075"/>
        <w:gridCol w:w="2362"/>
        <w:gridCol w:w="2362"/>
        <w:gridCol w:w="2366"/>
      </w:tblGrid>
      <w:tr w:rsidR="0063719B" w:rsidRPr="001141A5" w14:paraId="1BEB1283" w14:textId="77777777" w:rsidTr="001141A5">
        <w:trPr>
          <w:trHeight w:val="185"/>
        </w:trPr>
        <w:tc>
          <w:tcPr>
            <w:tcW w:w="9165" w:type="dxa"/>
            <w:gridSpan w:val="4"/>
            <w:tcBorders>
              <w:top w:val="nil"/>
              <w:left w:val="nil"/>
              <w:bottom w:val="single" w:sz="12" w:space="0" w:color="auto"/>
              <w:right w:val="nil"/>
            </w:tcBorders>
            <w:shd w:val="clear" w:color="auto" w:fill="auto"/>
            <w:noWrap/>
            <w:vAlign w:val="bottom"/>
            <w:hideMark/>
          </w:tcPr>
          <w:p w14:paraId="19137E90" w14:textId="3086339D" w:rsidR="0063719B" w:rsidRPr="000401BE" w:rsidRDefault="0063719B" w:rsidP="000401BE">
            <w:pPr>
              <w:spacing w:after="0" w:line="240" w:lineRule="auto"/>
              <w:ind w:firstLine="0"/>
              <w:jc w:val="center"/>
              <w:rPr>
                <w:rFonts w:eastAsia="Times New Roman"/>
                <w:sz w:val="20"/>
                <w:szCs w:val="20"/>
                <w:lang w:eastAsia="pt-BR"/>
              </w:rPr>
            </w:pPr>
            <w:bookmarkStart w:id="31" w:name="_Toc413140837"/>
            <w:r w:rsidRPr="000401BE">
              <w:rPr>
                <w:b/>
                <w:sz w:val="20"/>
                <w:szCs w:val="20"/>
              </w:rPr>
              <w:t xml:space="preserve">Tabela </w:t>
            </w:r>
            <w:r w:rsidR="000401BE">
              <w:rPr>
                <w:b/>
                <w:sz w:val="20"/>
                <w:szCs w:val="20"/>
              </w:rPr>
              <w:t>4</w:t>
            </w:r>
            <w:r w:rsidR="000401BE" w:rsidRPr="000401BE">
              <w:rPr>
                <w:b/>
                <w:sz w:val="20"/>
                <w:szCs w:val="20"/>
              </w:rPr>
              <w:t>:</w:t>
            </w:r>
            <w:r w:rsidRPr="001141A5">
              <w:rPr>
                <w:rFonts w:eastAsia="Times New Roman"/>
                <w:sz w:val="20"/>
                <w:szCs w:val="20"/>
                <w:lang w:eastAsia="pt-BR"/>
              </w:rPr>
              <w:t xml:space="preserve"> </w:t>
            </w:r>
            <w:r w:rsidRPr="000401BE">
              <w:rPr>
                <w:rFonts w:eastAsia="Times New Roman"/>
                <w:sz w:val="20"/>
                <w:szCs w:val="20"/>
                <w:lang w:eastAsia="pt-BR"/>
              </w:rPr>
              <w:t>Regressão com dados em painel de efeitos aleatórios.</w:t>
            </w:r>
            <w:bookmarkEnd w:id="31"/>
          </w:p>
        </w:tc>
      </w:tr>
      <w:tr w:rsidR="0063719B" w:rsidRPr="001141A5" w14:paraId="4E8E881E" w14:textId="77777777" w:rsidTr="001141A5">
        <w:trPr>
          <w:trHeight w:val="174"/>
        </w:trPr>
        <w:tc>
          <w:tcPr>
            <w:tcW w:w="2075" w:type="dxa"/>
            <w:tcBorders>
              <w:top w:val="single" w:sz="12" w:space="0" w:color="auto"/>
              <w:left w:val="nil"/>
              <w:bottom w:val="nil"/>
              <w:right w:val="single" w:sz="4" w:space="0" w:color="auto"/>
            </w:tcBorders>
            <w:shd w:val="clear" w:color="auto" w:fill="auto"/>
            <w:noWrap/>
            <w:vAlign w:val="center"/>
            <w:hideMark/>
          </w:tcPr>
          <w:p w14:paraId="2431E7E9" w14:textId="77777777" w:rsidR="0063719B" w:rsidRPr="001141A5" w:rsidRDefault="0063719B" w:rsidP="001141A5">
            <w:pPr>
              <w:spacing w:after="0" w:line="240" w:lineRule="auto"/>
              <w:ind w:firstLine="0"/>
              <w:jc w:val="left"/>
              <w:rPr>
                <w:rFonts w:eastAsia="Times New Roman"/>
                <w:b/>
                <w:bCs/>
                <w:sz w:val="20"/>
                <w:szCs w:val="20"/>
                <w:lang w:eastAsia="pt-BR"/>
              </w:rPr>
            </w:pPr>
            <w:r w:rsidRPr="001141A5">
              <w:rPr>
                <w:rFonts w:eastAsia="Times New Roman"/>
                <w:b/>
                <w:bCs/>
                <w:sz w:val="20"/>
                <w:szCs w:val="20"/>
                <w:lang w:eastAsia="pt-BR"/>
              </w:rPr>
              <w:t>Variáveis Independentes</w:t>
            </w:r>
          </w:p>
        </w:tc>
        <w:tc>
          <w:tcPr>
            <w:tcW w:w="2362" w:type="dxa"/>
            <w:tcBorders>
              <w:top w:val="single" w:sz="12" w:space="0" w:color="auto"/>
              <w:left w:val="nil"/>
              <w:bottom w:val="nil"/>
              <w:right w:val="single" w:sz="4" w:space="0" w:color="auto"/>
            </w:tcBorders>
            <w:shd w:val="clear" w:color="auto" w:fill="auto"/>
            <w:noWrap/>
            <w:vAlign w:val="bottom"/>
            <w:hideMark/>
          </w:tcPr>
          <w:p w14:paraId="299A9197" w14:textId="77777777" w:rsidR="0063719B" w:rsidRPr="001141A5" w:rsidRDefault="0063719B" w:rsidP="001141A5">
            <w:pPr>
              <w:spacing w:after="0" w:line="240" w:lineRule="auto"/>
              <w:ind w:firstLine="0"/>
              <w:jc w:val="left"/>
              <w:rPr>
                <w:rFonts w:eastAsia="Times New Roman"/>
                <w:b/>
                <w:bCs/>
                <w:sz w:val="20"/>
                <w:szCs w:val="20"/>
                <w:lang w:eastAsia="pt-BR"/>
              </w:rPr>
            </w:pPr>
            <w:r w:rsidRPr="001141A5">
              <w:rPr>
                <w:rFonts w:eastAsia="Times New Roman"/>
                <w:b/>
                <w:bCs/>
                <w:sz w:val="20"/>
                <w:szCs w:val="20"/>
                <w:lang w:eastAsia="pt-BR"/>
              </w:rPr>
              <w:t>Modelo 1 - IDC versus ISE</w:t>
            </w:r>
          </w:p>
        </w:tc>
        <w:tc>
          <w:tcPr>
            <w:tcW w:w="2362" w:type="dxa"/>
            <w:tcBorders>
              <w:top w:val="single" w:sz="12" w:space="0" w:color="auto"/>
              <w:left w:val="nil"/>
              <w:bottom w:val="nil"/>
              <w:right w:val="single" w:sz="8" w:space="0" w:color="auto"/>
            </w:tcBorders>
            <w:shd w:val="clear" w:color="auto" w:fill="auto"/>
            <w:noWrap/>
            <w:vAlign w:val="bottom"/>
            <w:hideMark/>
          </w:tcPr>
          <w:p w14:paraId="29D00D52" w14:textId="77777777" w:rsidR="0063719B" w:rsidRPr="001141A5" w:rsidRDefault="0063719B" w:rsidP="001141A5">
            <w:pPr>
              <w:spacing w:after="0" w:line="240" w:lineRule="auto"/>
              <w:ind w:firstLine="0"/>
              <w:jc w:val="left"/>
              <w:rPr>
                <w:rFonts w:eastAsia="Times New Roman"/>
                <w:b/>
                <w:bCs/>
                <w:sz w:val="20"/>
                <w:szCs w:val="20"/>
                <w:lang w:eastAsia="pt-BR"/>
              </w:rPr>
            </w:pPr>
            <w:r w:rsidRPr="001141A5">
              <w:rPr>
                <w:rFonts w:eastAsia="Times New Roman"/>
                <w:b/>
                <w:bCs/>
                <w:sz w:val="20"/>
                <w:szCs w:val="20"/>
                <w:lang w:eastAsia="pt-BR"/>
              </w:rPr>
              <w:t>Modelo 2 - IDC versus EM1</w:t>
            </w:r>
          </w:p>
        </w:tc>
        <w:tc>
          <w:tcPr>
            <w:tcW w:w="2365" w:type="dxa"/>
            <w:tcBorders>
              <w:left w:val="single" w:sz="8" w:space="0" w:color="auto"/>
              <w:bottom w:val="single" w:sz="4" w:space="0" w:color="auto"/>
            </w:tcBorders>
            <w:shd w:val="clear" w:color="auto" w:fill="auto"/>
            <w:noWrap/>
            <w:vAlign w:val="bottom"/>
            <w:hideMark/>
          </w:tcPr>
          <w:p w14:paraId="2D9BD6DC" w14:textId="77777777" w:rsidR="0063719B" w:rsidRPr="001141A5" w:rsidRDefault="0063719B" w:rsidP="001141A5">
            <w:pPr>
              <w:spacing w:after="0" w:line="240" w:lineRule="auto"/>
              <w:ind w:firstLine="0"/>
              <w:jc w:val="left"/>
              <w:rPr>
                <w:rFonts w:eastAsia="Times New Roman"/>
                <w:b/>
                <w:bCs/>
                <w:sz w:val="20"/>
                <w:szCs w:val="20"/>
                <w:lang w:eastAsia="pt-BR"/>
              </w:rPr>
            </w:pPr>
            <w:r w:rsidRPr="001141A5">
              <w:rPr>
                <w:rFonts w:eastAsia="Times New Roman"/>
                <w:b/>
                <w:bCs/>
                <w:sz w:val="20"/>
                <w:szCs w:val="20"/>
                <w:lang w:eastAsia="pt-BR"/>
              </w:rPr>
              <w:t>Modelo 3 - IDC versus EM3</w:t>
            </w:r>
          </w:p>
        </w:tc>
      </w:tr>
      <w:tr w:rsidR="0063719B" w:rsidRPr="001141A5" w14:paraId="29B59814" w14:textId="77777777" w:rsidTr="001141A5">
        <w:trPr>
          <w:trHeight w:val="185"/>
        </w:trPr>
        <w:tc>
          <w:tcPr>
            <w:tcW w:w="2075" w:type="dxa"/>
            <w:vMerge w:val="restart"/>
            <w:tcBorders>
              <w:top w:val="single" w:sz="4" w:space="0" w:color="auto"/>
              <w:left w:val="nil"/>
              <w:bottom w:val="single" w:sz="4" w:space="0" w:color="000000"/>
              <w:right w:val="nil"/>
            </w:tcBorders>
            <w:shd w:val="clear" w:color="auto" w:fill="auto"/>
            <w:noWrap/>
            <w:vAlign w:val="center"/>
            <w:hideMark/>
          </w:tcPr>
          <w:p w14:paraId="4D08CAB4"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ISE</w:t>
            </w:r>
          </w:p>
        </w:tc>
        <w:tc>
          <w:tcPr>
            <w:tcW w:w="2362" w:type="dxa"/>
            <w:tcBorders>
              <w:top w:val="single" w:sz="4" w:space="0" w:color="auto"/>
              <w:left w:val="single" w:sz="4" w:space="0" w:color="auto"/>
              <w:bottom w:val="nil"/>
              <w:right w:val="nil"/>
            </w:tcBorders>
            <w:shd w:val="clear" w:color="auto" w:fill="auto"/>
            <w:noWrap/>
            <w:vAlign w:val="bottom"/>
            <w:hideMark/>
          </w:tcPr>
          <w:p w14:paraId="65553321"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0,0003</w:t>
            </w:r>
          </w:p>
        </w:tc>
        <w:tc>
          <w:tcPr>
            <w:tcW w:w="2362" w:type="dxa"/>
            <w:tcBorders>
              <w:top w:val="single" w:sz="4" w:space="0" w:color="auto"/>
              <w:left w:val="single" w:sz="4" w:space="0" w:color="auto"/>
              <w:bottom w:val="nil"/>
              <w:right w:val="nil"/>
            </w:tcBorders>
            <w:shd w:val="clear" w:color="auto" w:fill="auto"/>
            <w:noWrap/>
            <w:vAlign w:val="bottom"/>
            <w:hideMark/>
          </w:tcPr>
          <w:p w14:paraId="10976DBB" w14:textId="77777777" w:rsidR="0063719B" w:rsidRPr="001141A5" w:rsidRDefault="0063719B" w:rsidP="001141A5">
            <w:pPr>
              <w:spacing w:after="0" w:line="240" w:lineRule="auto"/>
              <w:ind w:firstLine="0"/>
              <w:jc w:val="left"/>
              <w:rPr>
                <w:rFonts w:eastAsia="Times New Roman"/>
                <w:sz w:val="20"/>
                <w:szCs w:val="20"/>
                <w:lang w:eastAsia="pt-BR"/>
              </w:rPr>
            </w:pPr>
          </w:p>
        </w:tc>
        <w:tc>
          <w:tcPr>
            <w:tcW w:w="2365" w:type="dxa"/>
            <w:tcBorders>
              <w:top w:val="single" w:sz="4" w:space="0" w:color="auto"/>
              <w:left w:val="single" w:sz="4" w:space="0" w:color="auto"/>
              <w:bottom w:val="nil"/>
              <w:right w:val="nil"/>
            </w:tcBorders>
            <w:shd w:val="clear" w:color="auto" w:fill="auto"/>
            <w:noWrap/>
            <w:vAlign w:val="bottom"/>
            <w:hideMark/>
          </w:tcPr>
          <w:p w14:paraId="1C595243" w14:textId="77777777" w:rsidR="0063719B" w:rsidRPr="001141A5" w:rsidRDefault="0063719B" w:rsidP="001141A5">
            <w:pPr>
              <w:spacing w:after="0" w:line="240" w:lineRule="auto"/>
              <w:ind w:firstLine="0"/>
              <w:jc w:val="left"/>
              <w:rPr>
                <w:rFonts w:eastAsia="Times New Roman"/>
                <w:sz w:val="20"/>
                <w:szCs w:val="20"/>
                <w:lang w:eastAsia="pt-BR"/>
              </w:rPr>
            </w:pPr>
          </w:p>
        </w:tc>
      </w:tr>
      <w:tr w:rsidR="0063719B" w:rsidRPr="001141A5" w14:paraId="09E7C411" w14:textId="77777777" w:rsidTr="001141A5">
        <w:trPr>
          <w:trHeight w:val="185"/>
        </w:trPr>
        <w:tc>
          <w:tcPr>
            <w:tcW w:w="2075" w:type="dxa"/>
            <w:vMerge/>
            <w:tcBorders>
              <w:top w:val="single" w:sz="4" w:space="0" w:color="auto"/>
              <w:left w:val="nil"/>
              <w:bottom w:val="single" w:sz="4" w:space="0" w:color="000000"/>
              <w:right w:val="nil"/>
            </w:tcBorders>
            <w:vAlign w:val="center"/>
            <w:hideMark/>
          </w:tcPr>
          <w:p w14:paraId="3697F289" w14:textId="77777777" w:rsidR="0063719B" w:rsidRPr="001141A5" w:rsidRDefault="0063719B" w:rsidP="001141A5">
            <w:pPr>
              <w:spacing w:after="0" w:line="240" w:lineRule="auto"/>
              <w:ind w:firstLine="0"/>
              <w:jc w:val="left"/>
              <w:rPr>
                <w:rFonts w:eastAsia="Times New Roman"/>
                <w:sz w:val="20"/>
                <w:szCs w:val="20"/>
                <w:lang w:eastAsia="pt-BR"/>
              </w:rPr>
            </w:pPr>
          </w:p>
        </w:tc>
        <w:tc>
          <w:tcPr>
            <w:tcW w:w="2362" w:type="dxa"/>
            <w:tcBorders>
              <w:top w:val="nil"/>
              <w:left w:val="single" w:sz="4" w:space="0" w:color="auto"/>
              <w:bottom w:val="single" w:sz="4" w:space="0" w:color="auto"/>
              <w:right w:val="nil"/>
            </w:tcBorders>
            <w:shd w:val="clear" w:color="auto" w:fill="auto"/>
            <w:noWrap/>
            <w:vAlign w:val="bottom"/>
            <w:hideMark/>
          </w:tcPr>
          <w:p w14:paraId="7E403F3E"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(-0,0003)</w:t>
            </w:r>
          </w:p>
        </w:tc>
        <w:tc>
          <w:tcPr>
            <w:tcW w:w="2362" w:type="dxa"/>
            <w:tcBorders>
              <w:top w:val="nil"/>
              <w:left w:val="single" w:sz="4" w:space="0" w:color="auto"/>
              <w:bottom w:val="single" w:sz="4" w:space="0" w:color="auto"/>
              <w:right w:val="nil"/>
            </w:tcBorders>
            <w:shd w:val="clear" w:color="auto" w:fill="auto"/>
            <w:noWrap/>
            <w:vAlign w:val="bottom"/>
            <w:hideMark/>
          </w:tcPr>
          <w:p w14:paraId="01C726B0" w14:textId="77777777" w:rsidR="0063719B" w:rsidRPr="001141A5" w:rsidRDefault="0063719B" w:rsidP="001141A5">
            <w:pPr>
              <w:spacing w:after="0" w:line="240" w:lineRule="auto"/>
              <w:ind w:firstLine="0"/>
              <w:jc w:val="left"/>
              <w:rPr>
                <w:rFonts w:eastAsia="Times New Roman"/>
                <w:sz w:val="20"/>
                <w:szCs w:val="20"/>
                <w:lang w:eastAsia="pt-BR"/>
              </w:rPr>
            </w:pPr>
          </w:p>
        </w:tc>
        <w:tc>
          <w:tcPr>
            <w:tcW w:w="2365" w:type="dxa"/>
            <w:tcBorders>
              <w:top w:val="nil"/>
              <w:left w:val="single" w:sz="4" w:space="0" w:color="auto"/>
              <w:bottom w:val="single" w:sz="4" w:space="0" w:color="auto"/>
              <w:right w:val="nil"/>
            </w:tcBorders>
            <w:shd w:val="clear" w:color="auto" w:fill="auto"/>
            <w:noWrap/>
            <w:vAlign w:val="bottom"/>
            <w:hideMark/>
          </w:tcPr>
          <w:p w14:paraId="5023D679" w14:textId="77777777" w:rsidR="0063719B" w:rsidRPr="001141A5" w:rsidRDefault="0063719B" w:rsidP="001141A5">
            <w:pPr>
              <w:spacing w:after="0" w:line="240" w:lineRule="auto"/>
              <w:ind w:firstLine="0"/>
              <w:jc w:val="left"/>
              <w:rPr>
                <w:rFonts w:eastAsia="Times New Roman"/>
                <w:sz w:val="20"/>
                <w:szCs w:val="20"/>
                <w:lang w:eastAsia="pt-BR"/>
              </w:rPr>
            </w:pPr>
          </w:p>
        </w:tc>
      </w:tr>
      <w:tr w:rsidR="0063719B" w:rsidRPr="001141A5" w14:paraId="7B98DB53" w14:textId="77777777" w:rsidTr="001141A5">
        <w:trPr>
          <w:trHeight w:val="206"/>
        </w:trPr>
        <w:tc>
          <w:tcPr>
            <w:tcW w:w="2075" w:type="dxa"/>
            <w:vMerge w:val="restart"/>
            <w:tcBorders>
              <w:top w:val="nil"/>
              <w:left w:val="nil"/>
              <w:bottom w:val="single" w:sz="4" w:space="0" w:color="000000"/>
              <w:right w:val="nil"/>
            </w:tcBorders>
            <w:shd w:val="clear" w:color="auto" w:fill="auto"/>
            <w:noWrap/>
            <w:vAlign w:val="center"/>
            <w:hideMark/>
          </w:tcPr>
          <w:p w14:paraId="1B597E12"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EM1</w:t>
            </w:r>
          </w:p>
        </w:tc>
        <w:tc>
          <w:tcPr>
            <w:tcW w:w="2362" w:type="dxa"/>
            <w:tcBorders>
              <w:top w:val="nil"/>
              <w:left w:val="single" w:sz="4" w:space="0" w:color="auto"/>
              <w:bottom w:val="nil"/>
              <w:right w:val="nil"/>
            </w:tcBorders>
            <w:shd w:val="clear" w:color="auto" w:fill="auto"/>
            <w:noWrap/>
            <w:vAlign w:val="bottom"/>
            <w:hideMark/>
          </w:tcPr>
          <w:p w14:paraId="53462D5D" w14:textId="77777777" w:rsidR="0063719B" w:rsidRPr="001141A5" w:rsidRDefault="0063719B" w:rsidP="001141A5">
            <w:pPr>
              <w:spacing w:after="0" w:line="240" w:lineRule="auto"/>
              <w:ind w:firstLine="0"/>
              <w:jc w:val="left"/>
              <w:rPr>
                <w:rFonts w:eastAsia="Times New Roman"/>
                <w:sz w:val="20"/>
                <w:szCs w:val="20"/>
                <w:lang w:eastAsia="pt-BR"/>
              </w:rPr>
            </w:pPr>
          </w:p>
        </w:tc>
        <w:tc>
          <w:tcPr>
            <w:tcW w:w="2362" w:type="dxa"/>
            <w:tcBorders>
              <w:top w:val="nil"/>
              <w:left w:val="single" w:sz="4" w:space="0" w:color="auto"/>
              <w:bottom w:val="nil"/>
              <w:right w:val="nil"/>
            </w:tcBorders>
            <w:shd w:val="clear" w:color="auto" w:fill="auto"/>
            <w:noWrap/>
            <w:vAlign w:val="bottom"/>
            <w:hideMark/>
          </w:tcPr>
          <w:p w14:paraId="464724CC"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0,0000</w:t>
            </w:r>
          </w:p>
        </w:tc>
        <w:tc>
          <w:tcPr>
            <w:tcW w:w="2365" w:type="dxa"/>
            <w:tcBorders>
              <w:top w:val="nil"/>
              <w:left w:val="single" w:sz="4" w:space="0" w:color="auto"/>
              <w:bottom w:val="nil"/>
              <w:right w:val="nil"/>
            </w:tcBorders>
            <w:shd w:val="clear" w:color="auto" w:fill="auto"/>
            <w:noWrap/>
            <w:vAlign w:val="bottom"/>
            <w:hideMark/>
          </w:tcPr>
          <w:p w14:paraId="325B820C" w14:textId="77777777" w:rsidR="0063719B" w:rsidRPr="001141A5" w:rsidRDefault="0063719B" w:rsidP="001141A5">
            <w:pPr>
              <w:spacing w:after="0" w:line="240" w:lineRule="auto"/>
              <w:ind w:firstLine="0"/>
              <w:jc w:val="left"/>
              <w:rPr>
                <w:rFonts w:eastAsia="Times New Roman"/>
                <w:sz w:val="20"/>
                <w:szCs w:val="20"/>
                <w:lang w:eastAsia="pt-BR"/>
              </w:rPr>
            </w:pPr>
          </w:p>
        </w:tc>
      </w:tr>
      <w:tr w:rsidR="0063719B" w:rsidRPr="001141A5" w14:paraId="05884B82" w14:textId="77777777" w:rsidTr="001141A5">
        <w:trPr>
          <w:trHeight w:val="174"/>
        </w:trPr>
        <w:tc>
          <w:tcPr>
            <w:tcW w:w="2075" w:type="dxa"/>
            <w:vMerge/>
            <w:tcBorders>
              <w:top w:val="nil"/>
              <w:left w:val="nil"/>
              <w:bottom w:val="single" w:sz="4" w:space="0" w:color="000000"/>
              <w:right w:val="nil"/>
            </w:tcBorders>
            <w:vAlign w:val="center"/>
            <w:hideMark/>
          </w:tcPr>
          <w:p w14:paraId="3222FE9B" w14:textId="77777777" w:rsidR="0063719B" w:rsidRPr="001141A5" w:rsidRDefault="0063719B" w:rsidP="001141A5">
            <w:pPr>
              <w:spacing w:after="0" w:line="240" w:lineRule="auto"/>
              <w:ind w:firstLine="0"/>
              <w:jc w:val="left"/>
              <w:rPr>
                <w:rFonts w:eastAsia="Times New Roman"/>
                <w:sz w:val="20"/>
                <w:szCs w:val="20"/>
                <w:lang w:eastAsia="pt-BR"/>
              </w:rPr>
            </w:pPr>
          </w:p>
        </w:tc>
        <w:tc>
          <w:tcPr>
            <w:tcW w:w="2362" w:type="dxa"/>
            <w:tcBorders>
              <w:top w:val="nil"/>
              <w:left w:val="single" w:sz="4" w:space="0" w:color="auto"/>
              <w:bottom w:val="single" w:sz="4" w:space="0" w:color="auto"/>
              <w:right w:val="nil"/>
            </w:tcBorders>
            <w:shd w:val="clear" w:color="auto" w:fill="auto"/>
            <w:noWrap/>
            <w:vAlign w:val="bottom"/>
            <w:hideMark/>
          </w:tcPr>
          <w:p w14:paraId="038E591A" w14:textId="77777777" w:rsidR="0063719B" w:rsidRPr="001141A5" w:rsidRDefault="0063719B" w:rsidP="001141A5">
            <w:pPr>
              <w:spacing w:after="0" w:line="240" w:lineRule="auto"/>
              <w:ind w:firstLine="0"/>
              <w:jc w:val="left"/>
              <w:rPr>
                <w:rFonts w:eastAsia="Times New Roman"/>
                <w:sz w:val="20"/>
                <w:szCs w:val="20"/>
                <w:lang w:eastAsia="pt-BR"/>
              </w:rPr>
            </w:pPr>
          </w:p>
        </w:tc>
        <w:tc>
          <w:tcPr>
            <w:tcW w:w="2362" w:type="dxa"/>
            <w:tcBorders>
              <w:top w:val="nil"/>
              <w:left w:val="single" w:sz="4" w:space="0" w:color="auto"/>
              <w:bottom w:val="single" w:sz="4" w:space="0" w:color="auto"/>
              <w:right w:val="nil"/>
            </w:tcBorders>
            <w:shd w:val="clear" w:color="auto" w:fill="auto"/>
            <w:noWrap/>
            <w:vAlign w:val="bottom"/>
            <w:hideMark/>
          </w:tcPr>
          <w:p w14:paraId="06FCF74A"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(0,0001)</w:t>
            </w:r>
          </w:p>
        </w:tc>
        <w:tc>
          <w:tcPr>
            <w:tcW w:w="2365" w:type="dxa"/>
            <w:tcBorders>
              <w:top w:val="nil"/>
              <w:left w:val="single" w:sz="4" w:space="0" w:color="auto"/>
              <w:bottom w:val="single" w:sz="4" w:space="0" w:color="auto"/>
              <w:right w:val="nil"/>
            </w:tcBorders>
            <w:shd w:val="clear" w:color="auto" w:fill="auto"/>
            <w:noWrap/>
            <w:vAlign w:val="bottom"/>
            <w:hideMark/>
          </w:tcPr>
          <w:p w14:paraId="31A7983E" w14:textId="77777777" w:rsidR="0063719B" w:rsidRPr="001141A5" w:rsidRDefault="0063719B" w:rsidP="001141A5">
            <w:pPr>
              <w:spacing w:after="0" w:line="240" w:lineRule="auto"/>
              <w:ind w:firstLine="0"/>
              <w:jc w:val="left"/>
              <w:rPr>
                <w:rFonts w:eastAsia="Times New Roman"/>
                <w:sz w:val="20"/>
                <w:szCs w:val="20"/>
                <w:lang w:eastAsia="pt-BR"/>
              </w:rPr>
            </w:pPr>
          </w:p>
        </w:tc>
      </w:tr>
      <w:tr w:rsidR="0063719B" w:rsidRPr="001141A5" w14:paraId="62C2F527" w14:textId="77777777" w:rsidTr="001141A5">
        <w:trPr>
          <w:trHeight w:val="185"/>
        </w:trPr>
        <w:tc>
          <w:tcPr>
            <w:tcW w:w="2075" w:type="dxa"/>
            <w:vMerge w:val="restart"/>
            <w:tcBorders>
              <w:top w:val="nil"/>
              <w:left w:val="nil"/>
              <w:bottom w:val="single" w:sz="4" w:space="0" w:color="000000"/>
              <w:right w:val="nil"/>
            </w:tcBorders>
            <w:shd w:val="clear" w:color="auto" w:fill="auto"/>
            <w:noWrap/>
            <w:vAlign w:val="center"/>
            <w:hideMark/>
          </w:tcPr>
          <w:p w14:paraId="58C56A8E"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EM3</w:t>
            </w:r>
          </w:p>
        </w:tc>
        <w:tc>
          <w:tcPr>
            <w:tcW w:w="2362" w:type="dxa"/>
            <w:tcBorders>
              <w:top w:val="nil"/>
              <w:left w:val="single" w:sz="4" w:space="0" w:color="auto"/>
              <w:bottom w:val="nil"/>
              <w:right w:val="nil"/>
            </w:tcBorders>
            <w:shd w:val="clear" w:color="auto" w:fill="auto"/>
            <w:noWrap/>
            <w:vAlign w:val="bottom"/>
            <w:hideMark/>
          </w:tcPr>
          <w:p w14:paraId="2895A97F" w14:textId="77777777" w:rsidR="0063719B" w:rsidRPr="001141A5" w:rsidRDefault="0063719B" w:rsidP="001141A5">
            <w:pPr>
              <w:spacing w:after="0" w:line="240" w:lineRule="auto"/>
              <w:ind w:firstLine="0"/>
              <w:jc w:val="left"/>
              <w:rPr>
                <w:rFonts w:eastAsia="Times New Roman"/>
                <w:sz w:val="20"/>
                <w:szCs w:val="20"/>
                <w:lang w:eastAsia="pt-BR"/>
              </w:rPr>
            </w:pPr>
          </w:p>
        </w:tc>
        <w:tc>
          <w:tcPr>
            <w:tcW w:w="2362" w:type="dxa"/>
            <w:tcBorders>
              <w:top w:val="nil"/>
              <w:left w:val="single" w:sz="4" w:space="0" w:color="auto"/>
              <w:bottom w:val="nil"/>
              <w:right w:val="nil"/>
            </w:tcBorders>
            <w:shd w:val="clear" w:color="auto" w:fill="auto"/>
            <w:noWrap/>
            <w:vAlign w:val="bottom"/>
            <w:hideMark/>
          </w:tcPr>
          <w:p w14:paraId="109433CC" w14:textId="77777777" w:rsidR="0063719B" w:rsidRPr="001141A5" w:rsidRDefault="0063719B" w:rsidP="001141A5">
            <w:pPr>
              <w:spacing w:after="0" w:line="240" w:lineRule="auto"/>
              <w:ind w:firstLine="0"/>
              <w:jc w:val="left"/>
              <w:rPr>
                <w:rFonts w:eastAsia="Times New Roman"/>
                <w:sz w:val="20"/>
                <w:szCs w:val="20"/>
                <w:lang w:eastAsia="pt-BR"/>
              </w:rPr>
            </w:pPr>
          </w:p>
        </w:tc>
        <w:tc>
          <w:tcPr>
            <w:tcW w:w="2365" w:type="dxa"/>
            <w:tcBorders>
              <w:top w:val="nil"/>
              <w:left w:val="single" w:sz="4" w:space="0" w:color="auto"/>
              <w:bottom w:val="nil"/>
              <w:right w:val="nil"/>
            </w:tcBorders>
            <w:shd w:val="clear" w:color="auto" w:fill="auto"/>
            <w:noWrap/>
            <w:vAlign w:val="bottom"/>
            <w:hideMark/>
          </w:tcPr>
          <w:p w14:paraId="2093D79A"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0,0001</w:t>
            </w:r>
          </w:p>
        </w:tc>
      </w:tr>
      <w:tr w:rsidR="0063719B" w:rsidRPr="001141A5" w14:paraId="5D9D836F" w14:textId="77777777" w:rsidTr="001141A5">
        <w:trPr>
          <w:trHeight w:val="174"/>
        </w:trPr>
        <w:tc>
          <w:tcPr>
            <w:tcW w:w="2075" w:type="dxa"/>
            <w:vMerge/>
            <w:tcBorders>
              <w:top w:val="nil"/>
              <w:left w:val="nil"/>
              <w:bottom w:val="single" w:sz="4" w:space="0" w:color="000000"/>
              <w:right w:val="nil"/>
            </w:tcBorders>
            <w:vAlign w:val="center"/>
            <w:hideMark/>
          </w:tcPr>
          <w:p w14:paraId="6C43BA93" w14:textId="77777777" w:rsidR="0063719B" w:rsidRPr="001141A5" w:rsidRDefault="0063719B" w:rsidP="001141A5">
            <w:pPr>
              <w:spacing w:after="0" w:line="240" w:lineRule="auto"/>
              <w:ind w:firstLine="0"/>
              <w:jc w:val="left"/>
              <w:rPr>
                <w:rFonts w:eastAsia="Times New Roman"/>
                <w:sz w:val="20"/>
                <w:szCs w:val="20"/>
                <w:lang w:eastAsia="pt-BR"/>
              </w:rPr>
            </w:pPr>
          </w:p>
        </w:tc>
        <w:tc>
          <w:tcPr>
            <w:tcW w:w="2362" w:type="dxa"/>
            <w:tcBorders>
              <w:top w:val="nil"/>
              <w:left w:val="single" w:sz="4" w:space="0" w:color="auto"/>
              <w:bottom w:val="single" w:sz="4" w:space="0" w:color="auto"/>
              <w:right w:val="nil"/>
            </w:tcBorders>
            <w:shd w:val="clear" w:color="auto" w:fill="auto"/>
            <w:noWrap/>
            <w:vAlign w:val="bottom"/>
            <w:hideMark/>
          </w:tcPr>
          <w:p w14:paraId="7D597855" w14:textId="77777777" w:rsidR="0063719B" w:rsidRPr="001141A5" w:rsidRDefault="0063719B" w:rsidP="001141A5">
            <w:pPr>
              <w:spacing w:after="0" w:line="240" w:lineRule="auto"/>
              <w:ind w:firstLine="0"/>
              <w:jc w:val="left"/>
              <w:rPr>
                <w:rFonts w:eastAsia="Times New Roman"/>
                <w:sz w:val="20"/>
                <w:szCs w:val="20"/>
                <w:lang w:eastAsia="pt-BR"/>
              </w:rPr>
            </w:pPr>
          </w:p>
        </w:tc>
        <w:tc>
          <w:tcPr>
            <w:tcW w:w="2362" w:type="dxa"/>
            <w:tcBorders>
              <w:top w:val="nil"/>
              <w:left w:val="single" w:sz="4" w:space="0" w:color="auto"/>
              <w:bottom w:val="single" w:sz="4" w:space="0" w:color="auto"/>
              <w:right w:val="nil"/>
            </w:tcBorders>
            <w:shd w:val="clear" w:color="auto" w:fill="auto"/>
            <w:noWrap/>
            <w:vAlign w:val="bottom"/>
            <w:hideMark/>
          </w:tcPr>
          <w:p w14:paraId="6C6A5A79" w14:textId="77777777" w:rsidR="0063719B" w:rsidRPr="001141A5" w:rsidRDefault="0063719B" w:rsidP="001141A5">
            <w:pPr>
              <w:spacing w:after="0" w:line="240" w:lineRule="auto"/>
              <w:ind w:firstLine="0"/>
              <w:jc w:val="left"/>
              <w:rPr>
                <w:rFonts w:eastAsia="Times New Roman"/>
                <w:sz w:val="20"/>
                <w:szCs w:val="20"/>
                <w:lang w:eastAsia="pt-BR"/>
              </w:rPr>
            </w:pPr>
          </w:p>
        </w:tc>
        <w:tc>
          <w:tcPr>
            <w:tcW w:w="2365" w:type="dxa"/>
            <w:tcBorders>
              <w:top w:val="nil"/>
              <w:left w:val="single" w:sz="4" w:space="0" w:color="auto"/>
              <w:bottom w:val="single" w:sz="4" w:space="0" w:color="auto"/>
              <w:right w:val="nil"/>
            </w:tcBorders>
            <w:shd w:val="clear" w:color="auto" w:fill="auto"/>
            <w:noWrap/>
            <w:vAlign w:val="bottom"/>
            <w:hideMark/>
          </w:tcPr>
          <w:p w14:paraId="471DCF10"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(0,0001)</w:t>
            </w:r>
          </w:p>
        </w:tc>
      </w:tr>
      <w:tr w:rsidR="0063719B" w:rsidRPr="001141A5" w14:paraId="4494B28B" w14:textId="77777777" w:rsidTr="001141A5">
        <w:trPr>
          <w:trHeight w:val="174"/>
        </w:trPr>
        <w:tc>
          <w:tcPr>
            <w:tcW w:w="2075" w:type="dxa"/>
            <w:vMerge w:val="restart"/>
            <w:tcBorders>
              <w:top w:val="nil"/>
              <w:left w:val="nil"/>
              <w:bottom w:val="single" w:sz="4" w:space="0" w:color="000000"/>
              <w:right w:val="nil"/>
            </w:tcBorders>
            <w:shd w:val="clear" w:color="auto" w:fill="auto"/>
            <w:noWrap/>
            <w:vAlign w:val="center"/>
            <w:hideMark/>
          </w:tcPr>
          <w:p w14:paraId="7EC8255E"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ROA</w:t>
            </w:r>
          </w:p>
        </w:tc>
        <w:tc>
          <w:tcPr>
            <w:tcW w:w="2362" w:type="dxa"/>
            <w:tcBorders>
              <w:top w:val="nil"/>
              <w:left w:val="single" w:sz="4" w:space="0" w:color="auto"/>
              <w:bottom w:val="nil"/>
              <w:right w:val="nil"/>
            </w:tcBorders>
            <w:shd w:val="clear" w:color="auto" w:fill="auto"/>
            <w:noWrap/>
            <w:vAlign w:val="bottom"/>
            <w:hideMark/>
          </w:tcPr>
          <w:p w14:paraId="5F4E8480"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0,0006</w:t>
            </w:r>
          </w:p>
        </w:tc>
        <w:tc>
          <w:tcPr>
            <w:tcW w:w="2362" w:type="dxa"/>
            <w:tcBorders>
              <w:top w:val="nil"/>
              <w:left w:val="single" w:sz="4" w:space="0" w:color="auto"/>
              <w:bottom w:val="nil"/>
              <w:right w:val="nil"/>
            </w:tcBorders>
            <w:shd w:val="clear" w:color="auto" w:fill="auto"/>
            <w:noWrap/>
            <w:vAlign w:val="bottom"/>
            <w:hideMark/>
          </w:tcPr>
          <w:p w14:paraId="623E1E5B"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0,0001</w:t>
            </w:r>
          </w:p>
        </w:tc>
        <w:tc>
          <w:tcPr>
            <w:tcW w:w="2365" w:type="dxa"/>
            <w:tcBorders>
              <w:top w:val="nil"/>
              <w:left w:val="single" w:sz="4" w:space="0" w:color="auto"/>
              <w:bottom w:val="nil"/>
              <w:right w:val="nil"/>
            </w:tcBorders>
            <w:shd w:val="clear" w:color="auto" w:fill="auto"/>
            <w:noWrap/>
            <w:vAlign w:val="bottom"/>
            <w:hideMark/>
          </w:tcPr>
          <w:p w14:paraId="041F6C91"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0,0001</w:t>
            </w:r>
          </w:p>
        </w:tc>
      </w:tr>
      <w:tr w:rsidR="0063719B" w:rsidRPr="001141A5" w14:paraId="423164A2" w14:textId="77777777" w:rsidTr="001141A5">
        <w:trPr>
          <w:trHeight w:val="185"/>
        </w:trPr>
        <w:tc>
          <w:tcPr>
            <w:tcW w:w="2075" w:type="dxa"/>
            <w:vMerge/>
            <w:tcBorders>
              <w:top w:val="nil"/>
              <w:left w:val="nil"/>
              <w:bottom w:val="single" w:sz="4" w:space="0" w:color="000000"/>
              <w:right w:val="nil"/>
            </w:tcBorders>
            <w:vAlign w:val="center"/>
            <w:hideMark/>
          </w:tcPr>
          <w:p w14:paraId="17925D5C" w14:textId="77777777" w:rsidR="0063719B" w:rsidRPr="001141A5" w:rsidRDefault="0063719B" w:rsidP="001141A5">
            <w:pPr>
              <w:spacing w:after="0" w:line="240" w:lineRule="auto"/>
              <w:ind w:firstLine="0"/>
              <w:jc w:val="left"/>
              <w:rPr>
                <w:rFonts w:eastAsia="Times New Roman"/>
                <w:sz w:val="20"/>
                <w:szCs w:val="20"/>
                <w:lang w:eastAsia="pt-BR"/>
              </w:rPr>
            </w:pPr>
          </w:p>
        </w:tc>
        <w:tc>
          <w:tcPr>
            <w:tcW w:w="2362" w:type="dxa"/>
            <w:tcBorders>
              <w:top w:val="nil"/>
              <w:left w:val="single" w:sz="4" w:space="0" w:color="auto"/>
              <w:bottom w:val="single" w:sz="4" w:space="0" w:color="auto"/>
              <w:right w:val="nil"/>
            </w:tcBorders>
            <w:shd w:val="clear" w:color="auto" w:fill="auto"/>
            <w:noWrap/>
            <w:vAlign w:val="bottom"/>
            <w:hideMark/>
          </w:tcPr>
          <w:p w14:paraId="6514443F"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(0,0063)</w:t>
            </w:r>
          </w:p>
        </w:tc>
        <w:tc>
          <w:tcPr>
            <w:tcW w:w="2362" w:type="dxa"/>
            <w:tcBorders>
              <w:top w:val="nil"/>
              <w:left w:val="single" w:sz="4" w:space="0" w:color="auto"/>
              <w:bottom w:val="single" w:sz="4" w:space="0" w:color="auto"/>
              <w:right w:val="nil"/>
            </w:tcBorders>
            <w:shd w:val="clear" w:color="auto" w:fill="auto"/>
            <w:noWrap/>
            <w:vAlign w:val="bottom"/>
            <w:hideMark/>
          </w:tcPr>
          <w:p w14:paraId="558B1D12"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(0,0063)</w:t>
            </w:r>
          </w:p>
        </w:tc>
        <w:tc>
          <w:tcPr>
            <w:tcW w:w="2365" w:type="dxa"/>
            <w:tcBorders>
              <w:top w:val="nil"/>
              <w:left w:val="single" w:sz="4" w:space="0" w:color="auto"/>
              <w:bottom w:val="single" w:sz="4" w:space="0" w:color="auto"/>
              <w:right w:val="nil"/>
            </w:tcBorders>
            <w:shd w:val="clear" w:color="auto" w:fill="auto"/>
            <w:noWrap/>
            <w:vAlign w:val="bottom"/>
            <w:hideMark/>
          </w:tcPr>
          <w:p w14:paraId="54E722DD"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(0,0063)</w:t>
            </w:r>
          </w:p>
        </w:tc>
      </w:tr>
      <w:tr w:rsidR="0063719B" w:rsidRPr="001141A5" w14:paraId="29BF0A86" w14:textId="77777777" w:rsidTr="001141A5">
        <w:trPr>
          <w:trHeight w:val="215"/>
        </w:trPr>
        <w:tc>
          <w:tcPr>
            <w:tcW w:w="2075" w:type="dxa"/>
            <w:vMerge w:val="restart"/>
            <w:tcBorders>
              <w:top w:val="nil"/>
              <w:left w:val="nil"/>
              <w:bottom w:val="single" w:sz="4" w:space="0" w:color="000000"/>
              <w:right w:val="nil"/>
            </w:tcBorders>
            <w:shd w:val="clear" w:color="auto" w:fill="auto"/>
            <w:noWrap/>
            <w:vAlign w:val="center"/>
            <w:hideMark/>
          </w:tcPr>
          <w:p w14:paraId="7BEE675A"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ALAV</w:t>
            </w:r>
          </w:p>
        </w:tc>
        <w:tc>
          <w:tcPr>
            <w:tcW w:w="2362" w:type="dxa"/>
            <w:tcBorders>
              <w:top w:val="nil"/>
              <w:left w:val="single" w:sz="4" w:space="0" w:color="auto"/>
              <w:bottom w:val="nil"/>
              <w:right w:val="nil"/>
            </w:tcBorders>
            <w:shd w:val="clear" w:color="auto" w:fill="auto"/>
            <w:noWrap/>
            <w:vAlign w:val="bottom"/>
            <w:hideMark/>
          </w:tcPr>
          <w:p w14:paraId="03FFD2FF"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0,011**</w:t>
            </w:r>
          </w:p>
        </w:tc>
        <w:tc>
          <w:tcPr>
            <w:tcW w:w="2362" w:type="dxa"/>
            <w:tcBorders>
              <w:top w:val="nil"/>
              <w:left w:val="single" w:sz="4" w:space="0" w:color="auto"/>
              <w:bottom w:val="nil"/>
              <w:right w:val="nil"/>
            </w:tcBorders>
            <w:shd w:val="clear" w:color="auto" w:fill="auto"/>
            <w:noWrap/>
            <w:vAlign w:val="bottom"/>
            <w:hideMark/>
          </w:tcPr>
          <w:p w14:paraId="084E3850"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0,0099 **</w:t>
            </w:r>
          </w:p>
        </w:tc>
        <w:tc>
          <w:tcPr>
            <w:tcW w:w="2365" w:type="dxa"/>
            <w:tcBorders>
              <w:top w:val="nil"/>
              <w:left w:val="single" w:sz="4" w:space="0" w:color="auto"/>
              <w:bottom w:val="nil"/>
              <w:right w:val="nil"/>
            </w:tcBorders>
            <w:shd w:val="clear" w:color="auto" w:fill="auto"/>
            <w:noWrap/>
            <w:vAlign w:val="bottom"/>
            <w:hideMark/>
          </w:tcPr>
          <w:p w14:paraId="3BD306F7"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0,0099 **</w:t>
            </w:r>
          </w:p>
        </w:tc>
      </w:tr>
      <w:tr w:rsidR="0063719B" w:rsidRPr="001141A5" w14:paraId="495D3A7A" w14:textId="77777777" w:rsidTr="001141A5">
        <w:trPr>
          <w:trHeight w:val="174"/>
        </w:trPr>
        <w:tc>
          <w:tcPr>
            <w:tcW w:w="2075" w:type="dxa"/>
            <w:vMerge/>
            <w:tcBorders>
              <w:top w:val="nil"/>
              <w:left w:val="nil"/>
              <w:bottom w:val="single" w:sz="4" w:space="0" w:color="000000"/>
              <w:right w:val="nil"/>
            </w:tcBorders>
            <w:vAlign w:val="center"/>
            <w:hideMark/>
          </w:tcPr>
          <w:p w14:paraId="21037386" w14:textId="77777777" w:rsidR="0063719B" w:rsidRPr="001141A5" w:rsidRDefault="0063719B" w:rsidP="001141A5">
            <w:pPr>
              <w:spacing w:after="0" w:line="240" w:lineRule="auto"/>
              <w:ind w:firstLine="0"/>
              <w:jc w:val="left"/>
              <w:rPr>
                <w:rFonts w:eastAsia="Times New Roman"/>
                <w:sz w:val="20"/>
                <w:szCs w:val="20"/>
                <w:lang w:eastAsia="pt-BR"/>
              </w:rPr>
            </w:pPr>
          </w:p>
        </w:tc>
        <w:tc>
          <w:tcPr>
            <w:tcW w:w="2362" w:type="dxa"/>
            <w:tcBorders>
              <w:top w:val="nil"/>
              <w:left w:val="single" w:sz="4" w:space="0" w:color="auto"/>
              <w:bottom w:val="single" w:sz="4" w:space="0" w:color="auto"/>
              <w:right w:val="nil"/>
            </w:tcBorders>
            <w:shd w:val="clear" w:color="auto" w:fill="auto"/>
            <w:noWrap/>
            <w:vAlign w:val="bottom"/>
            <w:hideMark/>
          </w:tcPr>
          <w:p w14:paraId="1C73A20A"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(0,0048)</w:t>
            </w:r>
          </w:p>
        </w:tc>
        <w:tc>
          <w:tcPr>
            <w:tcW w:w="2362" w:type="dxa"/>
            <w:tcBorders>
              <w:top w:val="nil"/>
              <w:left w:val="single" w:sz="4" w:space="0" w:color="auto"/>
              <w:bottom w:val="single" w:sz="4" w:space="0" w:color="auto"/>
              <w:right w:val="nil"/>
            </w:tcBorders>
            <w:shd w:val="clear" w:color="auto" w:fill="auto"/>
            <w:noWrap/>
            <w:vAlign w:val="bottom"/>
            <w:hideMark/>
          </w:tcPr>
          <w:p w14:paraId="1B1C229E"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(0,0049)</w:t>
            </w:r>
          </w:p>
        </w:tc>
        <w:tc>
          <w:tcPr>
            <w:tcW w:w="2365" w:type="dxa"/>
            <w:tcBorders>
              <w:top w:val="nil"/>
              <w:left w:val="single" w:sz="4" w:space="0" w:color="auto"/>
              <w:bottom w:val="single" w:sz="4" w:space="0" w:color="auto"/>
              <w:right w:val="nil"/>
            </w:tcBorders>
            <w:shd w:val="clear" w:color="auto" w:fill="auto"/>
            <w:noWrap/>
            <w:vAlign w:val="bottom"/>
            <w:hideMark/>
          </w:tcPr>
          <w:p w14:paraId="2168B7BB"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(0,0048)</w:t>
            </w:r>
          </w:p>
        </w:tc>
      </w:tr>
      <w:tr w:rsidR="0063719B" w:rsidRPr="001141A5" w14:paraId="6BDBC1A2" w14:textId="77777777" w:rsidTr="001141A5">
        <w:trPr>
          <w:trHeight w:val="185"/>
        </w:trPr>
        <w:tc>
          <w:tcPr>
            <w:tcW w:w="2075" w:type="dxa"/>
            <w:vMerge w:val="restart"/>
            <w:tcBorders>
              <w:top w:val="nil"/>
              <w:left w:val="nil"/>
              <w:bottom w:val="single" w:sz="4" w:space="0" w:color="000000"/>
              <w:right w:val="nil"/>
            </w:tcBorders>
            <w:shd w:val="clear" w:color="auto" w:fill="auto"/>
            <w:noWrap/>
            <w:vAlign w:val="center"/>
            <w:hideMark/>
          </w:tcPr>
          <w:p w14:paraId="18994758"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TAM</w:t>
            </w:r>
          </w:p>
        </w:tc>
        <w:tc>
          <w:tcPr>
            <w:tcW w:w="2362" w:type="dxa"/>
            <w:tcBorders>
              <w:top w:val="nil"/>
              <w:left w:val="single" w:sz="4" w:space="0" w:color="auto"/>
              <w:bottom w:val="nil"/>
              <w:right w:val="nil"/>
            </w:tcBorders>
            <w:shd w:val="clear" w:color="auto" w:fill="auto"/>
            <w:noWrap/>
            <w:vAlign w:val="bottom"/>
            <w:hideMark/>
          </w:tcPr>
          <w:p w14:paraId="4B52B975"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−0,0029</w:t>
            </w:r>
          </w:p>
        </w:tc>
        <w:tc>
          <w:tcPr>
            <w:tcW w:w="2362" w:type="dxa"/>
            <w:tcBorders>
              <w:top w:val="nil"/>
              <w:left w:val="single" w:sz="4" w:space="0" w:color="auto"/>
              <w:bottom w:val="nil"/>
              <w:right w:val="nil"/>
            </w:tcBorders>
            <w:shd w:val="clear" w:color="auto" w:fill="auto"/>
            <w:noWrap/>
            <w:vAlign w:val="bottom"/>
            <w:hideMark/>
          </w:tcPr>
          <w:p w14:paraId="3FA1AA13"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−0,00245</w:t>
            </w:r>
          </w:p>
        </w:tc>
        <w:tc>
          <w:tcPr>
            <w:tcW w:w="2365" w:type="dxa"/>
            <w:tcBorders>
              <w:top w:val="nil"/>
              <w:left w:val="single" w:sz="4" w:space="0" w:color="auto"/>
              <w:bottom w:val="nil"/>
              <w:right w:val="nil"/>
            </w:tcBorders>
            <w:shd w:val="clear" w:color="auto" w:fill="auto"/>
            <w:noWrap/>
            <w:vAlign w:val="bottom"/>
            <w:hideMark/>
          </w:tcPr>
          <w:p w14:paraId="38067C4F"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−0,0024</w:t>
            </w:r>
          </w:p>
        </w:tc>
      </w:tr>
      <w:tr w:rsidR="0063719B" w:rsidRPr="001141A5" w14:paraId="07CD3ECF" w14:textId="77777777" w:rsidTr="001141A5">
        <w:trPr>
          <w:trHeight w:val="174"/>
        </w:trPr>
        <w:tc>
          <w:tcPr>
            <w:tcW w:w="2075" w:type="dxa"/>
            <w:vMerge/>
            <w:tcBorders>
              <w:top w:val="nil"/>
              <w:left w:val="nil"/>
              <w:bottom w:val="single" w:sz="4" w:space="0" w:color="000000"/>
              <w:right w:val="nil"/>
            </w:tcBorders>
            <w:vAlign w:val="center"/>
            <w:hideMark/>
          </w:tcPr>
          <w:p w14:paraId="68A04302" w14:textId="77777777" w:rsidR="0063719B" w:rsidRPr="001141A5" w:rsidRDefault="0063719B" w:rsidP="001141A5">
            <w:pPr>
              <w:spacing w:after="0" w:line="240" w:lineRule="auto"/>
              <w:ind w:firstLine="0"/>
              <w:jc w:val="left"/>
              <w:rPr>
                <w:rFonts w:eastAsia="Times New Roman"/>
                <w:sz w:val="20"/>
                <w:szCs w:val="20"/>
                <w:lang w:eastAsia="pt-BR"/>
              </w:rPr>
            </w:pPr>
          </w:p>
        </w:tc>
        <w:tc>
          <w:tcPr>
            <w:tcW w:w="2362" w:type="dxa"/>
            <w:tcBorders>
              <w:top w:val="nil"/>
              <w:left w:val="single" w:sz="4" w:space="0" w:color="auto"/>
              <w:bottom w:val="single" w:sz="4" w:space="0" w:color="auto"/>
              <w:right w:val="nil"/>
            </w:tcBorders>
            <w:shd w:val="clear" w:color="auto" w:fill="auto"/>
            <w:noWrap/>
            <w:vAlign w:val="bottom"/>
            <w:hideMark/>
          </w:tcPr>
          <w:p w14:paraId="673797F0"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(0,0101)</w:t>
            </w:r>
          </w:p>
        </w:tc>
        <w:tc>
          <w:tcPr>
            <w:tcW w:w="2362" w:type="dxa"/>
            <w:tcBorders>
              <w:top w:val="nil"/>
              <w:left w:val="single" w:sz="4" w:space="0" w:color="auto"/>
              <w:bottom w:val="single" w:sz="4" w:space="0" w:color="auto"/>
              <w:right w:val="nil"/>
            </w:tcBorders>
            <w:shd w:val="clear" w:color="auto" w:fill="auto"/>
            <w:noWrap/>
            <w:vAlign w:val="bottom"/>
            <w:hideMark/>
          </w:tcPr>
          <w:p w14:paraId="5ACCC7D3"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(0,0100)</w:t>
            </w:r>
          </w:p>
        </w:tc>
        <w:tc>
          <w:tcPr>
            <w:tcW w:w="2365" w:type="dxa"/>
            <w:tcBorders>
              <w:top w:val="nil"/>
              <w:left w:val="single" w:sz="4" w:space="0" w:color="auto"/>
              <w:bottom w:val="single" w:sz="4" w:space="0" w:color="auto"/>
              <w:right w:val="nil"/>
            </w:tcBorders>
            <w:shd w:val="clear" w:color="auto" w:fill="auto"/>
            <w:noWrap/>
            <w:vAlign w:val="bottom"/>
            <w:hideMark/>
          </w:tcPr>
          <w:p w14:paraId="7D1ACA3B"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(0,0100)</w:t>
            </w:r>
          </w:p>
        </w:tc>
      </w:tr>
      <w:tr w:rsidR="0063719B" w:rsidRPr="001141A5" w14:paraId="60080D73" w14:textId="77777777" w:rsidTr="001141A5">
        <w:trPr>
          <w:trHeight w:val="185"/>
        </w:trPr>
        <w:tc>
          <w:tcPr>
            <w:tcW w:w="2075" w:type="dxa"/>
            <w:vMerge w:val="restart"/>
            <w:tcBorders>
              <w:top w:val="nil"/>
              <w:left w:val="nil"/>
              <w:bottom w:val="single" w:sz="4" w:space="0" w:color="000000"/>
              <w:right w:val="nil"/>
            </w:tcBorders>
            <w:shd w:val="clear" w:color="auto" w:fill="auto"/>
            <w:noWrap/>
            <w:vAlign w:val="center"/>
            <w:hideMark/>
          </w:tcPr>
          <w:p w14:paraId="67EF4AF6"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GOV</w:t>
            </w:r>
          </w:p>
        </w:tc>
        <w:tc>
          <w:tcPr>
            <w:tcW w:w="2362" w:type="dxa"/>
            <w:tcBorders>
              <w:top w:val="nil"/>
              <w:left w:val="single" w:sz="4" w:space="0" w:color="auto"/>
              <w:bottom w:val="nil"/>
              <w:right w:val="nil"/>
            </w:tcBorders>
            <w:shd w:val="clear" w:color="auto" w:fill="auto"/>
            <w:noWrap/>
            <w:vAlign w:val="bottom"/>
            <w:hideMark/>
          </w:tcPr>
          <w:p w14:paraId="621BAF4F"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−0,1166 ***</w:t>
            </w:r>
          </w:p>
        </w:tc>
        <w:tc>
          <w:tcPr>
            <w:tcW w:w="2362" w:type="dxa"/>
            <w:tcBorders>
              <w:top w:val="nil"/>
              <w:left w:val="single" w:sz="4" w:space="0" w:color="auto"/>
              <w:bottom w:val="nil"/>
              <w:right w:val="nil"/>
            </w:tcBorders>
            <w:shd w:val="clear" w:color="auto" w:fill="auto"/>
            <w:noWrap/>
            <w:vAlign w:val="bottom"/>
            <w:hideMark/>
          </w:tcPr>
          <w:p w14:paraId="5B2151C6"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−0,1169 ***</w:t>
            </w:r>
          </w:p>
        </w:tc>
        <w:tc>
          <w:tcPr>
            <w:tcW w:w="2365" w:type="dxa"/>
            <w:tcBorders>
              <w:top w:val="nil"/>
              <w:left w:val="single" w:sz="4" w:space="0" w:color="auto"/>
              <w:bottom w:val="nil"/>
              <w:right w:val="nil"/>
            </w:tcBorders>
            <w:shd w:val="clear" w:color="auto" w:fill="auto"/>
            <w:noWrap/>
            <w:vAlign w:val="bottom"/>
            <w:hideMark/>
          </w:tcPr>
          <w:p w14:paraId="284AFE3C"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−0,1179 ***</w:t>
            </w:r>
          </w:p>
        </w:tc>
      </w:tr>
      <w:tr w:rsidR="0063719B" w:rsidRPr="001141A5" w14:paraId="2C24A51E" w14:textId="77777777" w:rsidTr="001141A5">
        <w:trPr>
          <w:trHeight w:val="174"/>
        </w:trPr>
        <w:tc>
          <w:tcPr>
            <w:tcW w:w="2075" w:type="dxa"/>
            <w:vMerge/>
            <w:tcBorders>
              <w:top w:val="nil"/>
              <w:left w:val="nil"/>
              <w:bottom w:val="single" w:sz="4" w:space="0" w:color="000000"/>
              <w:right w:val="nil"/>
            </w:tcBorders>
            <w:vAlign w:val="center"/>
            <w:hideMark/>
          </w:tcPr>
          <w:p w14:paraId="2FF8E3D3" w14:textId="77777777" w:rsidR="0063719B" w:rsidRPr="001141A5" w:rsidRDefault="0063719B" w:rsidP="001141A5">
            <w:pPr>
              <w:spacing w:after="0" w:line="240" w:lineRule="auto"/>
              <w:ind w:firstLine="0"/>
              <w:jc w:val="left"/>
              <w:rPr>
                <w:rFonts w:eastAsia="Times New Roman"/>
                <w:sz w:val="20"/>
                <w:szCs w:val="20"/>
                <w:lang w:eastAsia="pt-BR"/>
              </w:rPr>
            </w:pPr>
          </w:p>
        </w:tc>
        <w:tc>
          <w:tcPr>
            <w:tcW w:w="2362" w:type="dxa"/>
            <w:tcBorders>
              <w:top w:val="nil"/>
              <w:left w:val="single" w:sz="4" w:space="0" w:color="auto"/>
              <w:bottom w:val="single" w:sz="4" w:space="0" w:color="auto"/>
              <w:right w:val="nil"/>
            </w:tcBorders>
            <w:shd w:val="clear" w:color="auto" w:fill="auto"/>
            <w:noWrap/>
            <w:vAlign w:val="bottom"/>
            <w:hideMark/>
          </w:tcPr>
          <w:p w14:paraId="7A48D078"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(0,0291)</w:t>
            </w:r>
          </w:p>
        </w:tc>
        <w:tc>
          <w:tcPr>
            <w:tcW w:w="2362" w:type="dxa"/>
            <w:tcBorders>
              <w:top w:val="nil"/>
              <w:left w:val="single" w:sz="4" w:space="0" w:color="auto"/>
              <w:bottom w:val="single" w:sz="4" w:space="0" w:color="auto"/>
              <w:right w:val="nil"/>
            </w:tcBorders>
            <w:shd w:val="clear" w:color="auto" w:fill="auto"/>
            <w:noWrap/>
            <w:vAlign w:val="bottom"/>
            <w:hideMark/>
          </w:tcPr>
          <w:p w14:paraId="56727BFC"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(0,0289)</w:t>
            </w:r>
          </w:p>
        </w:tc>
        <w:tc>
          <w:tcPr>
            <w:tcW w:w="2365" w:type="dxa"/>
            <w:tcBorders>
              <w:top w:val="nil"/>
              <w:left w:val="single" w:sz="4" w:space="0" w:color="auto"/>
              <w:bottom w:val="single" w:sz="4" w:space="0" w:color="auto"/>
              <w:right w:val="nil"/>
            </w:tcBorders>
            <w:shd w:val="clear" w:color="auto" w:fill="auto"/>
            <w:noWrap/>
            <w:vAlign w:val="bottom"/>
            <w:hideMark/>
          </w:tcPr>
          <w:p w14:paraId="010B5E13"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(0,0290)</w:t>
            </w:r>
          </w:p>
        </w:tc>
      </w:tr>
      <w:tr w:rsidR="0063719B" w:rsidRPr="001141A5" w14:paraId="38D1996D" w14:textId="77777777" w:rsidTr="001141A5">
        <w:trPr>
          <w:trHeight w:val="185"/>
        </w:trPr>
        <w:tc>
          <w:tcPr>
            <w:tcW w:w="2075" w:type="dxa"/>
            <w:vMerge w:val="restart"/>
            <w:tcBorders>
              <w:top w:val="nil"/>
              <w:left w:val="nil"/>
              <w:bottom w:val="single" w:sz="4" w:space="0" w:color="000000"/>
              <w:right w:val="nil"/>
            </w:tcBorders>
            <w:shd w:val="clear" w:color="auto" w:fill="auto"/>
            <w:noWrap/>
            <w:vAlign w:val="center"/>
            <w:hideMark/>
          </w:tcPr>
          <w:p w14:paraId="14DF3BCE"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SETOR</w:t>
            </w:r>
          </w:p>
        </w:tc>
        <w:tc>
          <w:tcPr>
            <w:tcW w:w="2362" w:type="dxa"/>
            <w:tcBorders>
              <w:top w:val="nil"/>
              <w:left w:val="single" w:sz="4" w:space="0" w:color="auto"/>
              <w:bottom w:val="nil"/>
              <w:right w:val="nil"/>
            </w:tcBorders>
            <w:shd w:val="clear" w:color="auto" w:fill="auto"/>
            <w:noWrap/>
            <w:vAlign w:val="bottom"/>
            <w:hideMark/>
          </w:tcPr>
          <w:p w14:paraId="53060CE3"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0,1853 ***</w:t>
            </w:r>
          </w:p>
        </w:tc>
        <w:tc>
          <w:tcPr>
            <w:tcW w:w="2362" w:type="dxa"/>
            <w:tcBorders>
              <w:top w:val="nil"/>
              <w:left w:val="single" w:sz="4" w:space="0" w:color="auto"/>
              <w:bottom w:val="nil"/>
              <w:right w:val="nil"/>
            </w:tcBorders>
            <w:shd w:val="clear" w:color="auto" w:fill="auto"/>
            <w:noWrap/>
            <w:vAlign w:val="bottom"/>
            <w:hideMark/>
          </w:tcPr>
          <w:p w14:paraId="2A2947C1"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0,1861 ***</w:t>
            </w:r>
          </w:p>
        </w:tc>
        <w:tc>
          <w:tcPr>
            <w:tcW w:w="2365" w:type="dxa"/>
            <w:tcBorders>
              <w:top w:val="nil"/>
              <w:left w:val="single" w:sz="4" w:space="0" w:color="auto"/>
              <w:bottom w:val="nil"/>
              <w:right w:val="nil"/>
            </w:tcBorders>
            <w:shd w:val="clear" w:color="auto" w:fill="auto"/>
            <w:noWrap/>
            <w:vAlign w:val="bottom"/>
            <w:hideMark/>
          </w:tcPr>
          <w:p w14:paraId="0CB28CD6"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0,1868 ***</w:t>
            </w:r>
          </w:p>
        </w:tc>
      </w:tr>
      <w:tr w:rsidR="0063719B" w:rsidRPr="001141A5" w14:paraId="4C582794" w14:textId="77777777" w:rsidTr="001141A5">
        <w:trPr>
          <w:trHeight w:val="174"/>
        </w:trPr>
        <w:tc>
          <w:tcPr>
            <w:tcW w:w="2075" w:type="dxa"/>
            <w:vMerge/>
            <w:tcBorders>
              <w:top w:val="nil"/>
              <w:left w:val="nil"/>
              <w:bottom w:val="single" w:sz="4" w:space="0" w:color="000000"/>
              <w:right w:val="nil"/>
            </w:tcBorders>
            <w:vAlign w:val="center"/>
            <w:hideMark/>
          </w:tcPr>
          <w:p w14:paraId="5BF7C077" w14:textId="77777777" w:rsidR="0063719B" w:rsidRPr="001141A5" w:rsidRDefault="0063719B" w:rsidP="001141A5">
            <w:pPr>
              <w:spacing w:after="0" w:line="240" w:lineRule="auto"/>
              <w:ind w:firstLine="0"/>
              <w:jc w:val="left"/>
              <w:rPr>
                <w:rFonts w:eastAsia="Times New Roman"/>
                <w:sz w:val="20"/>
                <w:szCs w:val="20"/>
                <w:lang w:eastAsia="pt-BR"/>
              </w:rPr>
            </w:pPr>
          </w:p>
        </w:tc>
        <w:tc>
          <w:tcPr>
            <w:tcW w:w="2362" w:type="dxa"/>
            <w:tcBorders>
              <w:top w:val="nil"/>
              <w:left w:val="single" w:sz="4" w:space="0" w:color="auto"/>
              <w:bottom w:val="single" w:sz="4" w:space="0" w:color="auto"/>
              <w:right w:val="nil"/>
            </w:tcBorders>
            <w:shd w:val="clear" w:color="auto" w:fill="auto"/>
            <w:noWrap/>
            <w:vAlign w:val="bottom"/>
            <w:hideMark/>
          </w:tcPr>
          <w:p w14:paraId="4A9F7537"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(0,0285)</w:t>
            </w:r>
          </w:p>
        </w:tc>
        <w:tc>
          <w:tcPr>
            <w:tcW w:w="2362" w:type="dxa"/>
            <w:tcBorders>
              <w:top w:val="nil"/>
              <w:left w:val="single" w:sz="4" w:space="0" w:color="auto"/>
              <w:bottom w:val="single" w:sz="4" w:space="0" w:color="auto"/>
              <w:right w:val="nil"/>
            </w:tcBorders>
            <w:shd w:val="clear" w:color="auto" w:fill="auto"/>
            <w:noWrap/>
            <w:vAlign w:val="bottom"/>
            <w:hideMark/>
          </w:tcPr>
          <w:p w14:paraId="62608C9B"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(0,0283)</w:t>
            </w:r>
          </w:p>
        </w:tc>
        <w:tc>
          <w:tcPr>
            <w:tcW w:w="2365" w:type="dxa"/>
            <w:tcBorders>
              <w:top w:val="nil"/>
              <w:left w:val="single" w:sz="4" w:space="0" w:color="auto"/>
              <w:bottom w:val="single" w:sz="4" w:space="0" w:color="auto"/>
              <w:right w:val="nil"/>
            </w:tcBorders>
            <w:shd w:val="clear" w:color="auto" w:fill="auto"/>
            <w:noWrap/>
            <w:vAlign w:val="bottom"/>
            <w:hideMark/>
          </w:tcPr>
          <w:p w14:paraId="2CFEF70B"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(0,0284)</w:t>
            </w:r>
          </w:p>
        </w:tc>
      </w:tr>
      <w:tr w:rsidR="0063719B" w:rsidRPr="001141A5" w14:paraId="7B0A6A50" w14:textId="77777777" w:rsidTr="001141A5">
        <w:trPr>
          <w:trHeight w:val="174"/>
        </w:trPr>
        <w:tc>
          <w:tcPr>
            <w:tcW w:w="2075" w:type="dxa"/>
            <w:vMerge w:val="restart"/>
            <w:tcBorders>
              <w:top w:val="nil"/>
              <w:left w:val="nil"/>
              <w:bottom w:val="single" w:sz="4" w:space="0" w:color="000000"/>
              <w:right w:val="nil"/>
            </w:tcBorders>
            <w:shd w:val="clear" w:color="auto" w:fill="auto"/>
            <w:noWrap/>
            <w:vAlign w:val="center"/>
            <w:hideMark/>
          </w:tcPr>
          <w:p w14:paraId="6CF336A6"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CICLO</w:t>
            </w:r>
          </w:p>
        </w:tc>
        <w:tc>
          <w:tcPr>
            <w:tcW w:w="2362" w:type="dxa"/>
            <w:tcBorders>
              <w:top w:val="nil"/>
              <w:left w:val="single" w:sz="4" w:space="0" w:color="auto"/>
              <w:bottom w:val="nil"/>
              <w:right w:val="nil"/>
            </w:tcBorders>
            <w:shd w:val="clear" w:color="auto" w:fill="auto"/>
            <w:noWrap/>
            <w:vAlign w:val="bottom"/>
            <w:hideMark/>
          </w:tcPr>
          <w:p w14:paraId="49846EFF"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−0,0023</w:t>
            </w:r>
          </w:p>
        </w:tc>
        <w:tc>
          <w:tcPr>
            <w:tcW w:w="2362" w:type="dxa"/>
            <w:tcBorders>
              <w:top w:val="nil"/>
              <w:left w:val="single" w:sz="4" w:space="0" w:color="auto"/>
              <w:bottom w:val="nil"/>
              <w:right w:val="nil"/>
            </w:tcBorders>
            <w:shd w:val="clear" w:color="auto" w:fill="auto"/>
            <w:noWrap/>
            <w:vAlign w:val="bottom"/>
            <w:hideMark/>
          </w:tcPr>
          <w:p w14:paraId="78A30DAA"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−0,0032</w:t>
            </w:r>
          </w:p>
        </w:tc>
        <w:tc>
          <w:tcPr>
            <w:tcW w:w="2365" w:type="dxa"/>
            <w:tcBorders>
              <w:top w:val="nil"/>
              <w:left w:val="single" w:sz="4" w:space="0" w:color="auto"/>
              <w:bottom w:val="nil"/>
              <w:right w:val="nil"/>
            </w:tcBorders>
            <w:shd w:val="clear" w:color="auto" w:fill="auto"/>
            <w:noWrap/>
            <w:vAlign w:val="bottom"/>
            <w:hideMark/>
          </w:tcPr>
          <w:p w14:paraId="22503B94"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−0,0034</w:t>
            </w:r>
          </w:p>
        </w:tc>
      </w:tr>
      <w:tr w:rsidR="0063719B" w:rsidRPr="001141A5" w14:paraId="12955A41" w14:textId="77777777" w:rsidTr="001141A5">
        <w:trPr>
          <w:trHeight w:val="174"/>
        </w:trPr>
        <w:tc>
          <w:tcPr>
            <w:tcW w:w="2075" w:type="dxa"/>
            <w:vMerge/>
            <w:tcBorders>
              <w:top w:val="nil"/>
              <w:left w:val="nil"/>
              <w:bottom w:val="single" w:sz="4" w:space="0" w:color="000000"/>
              <w:right w:val="nil"/>
            </w:tcBorders>
            <w:vAlign w:val="center"/>
            <w:hideMark/>
          </w:tcPr>
          <w:p w14:paraId="599D7F30" w14:textId="77777777" w:rsidR="0063719B" w:rsidRPr="001141A5" w:rsidRDefault="0063719B" w:rsidP="001141A5">
            <w:pPr>
              <w:spacing w:after="0" w:line="240" w:lineRule="auto"/>
              <w:ind w:firstLine="0"/>
              <w:jc w:val="left"/>
              <w:rPr>
                <w:rFonts w:eastAsia="Times New Roman"/>
                <w:sz w:val="20"/>
                <w:szCs w:val="20"/>
                <w:lang w:eastAsia="pt-BR"/>
              </w:rPr>
            </w:pPr>
          </w:p>
        </w:tc>
        <w:tc>
          <w:tcPr>
            <w:tcW w:w="2362" w:type="dxa"/>
            <w:tcBorders>
              <w:top w:val="nil"/>
              <w:left w:val="single" w:sz="4" w:space="0" w:color="auto"/>
              <w:bottom w:val="single" w:sz="4" w:space="0" w:color="auto"/>
              <w:right w:val="nil"/>
            </w:tcBorders>
            <w:shd w:val="clear" w:color="auto" w:fill="auto"/>
            <w:noWrap/>
            <w:vAlign w:val="bottom"/>
            <w:hideMark/>
          </w:tcPr>
          <w:p w14:paraId="0A2545A8"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(0,0069)</w:t>
            </w:r>
          </w:p>
        </w:tc>
        <w:tc>
          <w:tcPr>
            <w:tcW w:w="2362" w:type="dxa"/>
            <w:tcBorders>
              <w:top w:val="nil"/>
              <w:left w:val="single" w:sz="4" w:space="0" w:color="auto"/>
              <w:bottom w:val="single" w:sz="4" w:space="0" w:color="auto"/>
              <w:right w:val="nil"/>
            </w:tcBorders>
            <w:shd w:val="clear" w:color="auto" w:fill="auto"/>
            <w:noWrap/>
            <w:vAlign w:val="bottom"/>
            <w:hideMark/>
          </w:tcPr>
          <w:p w14:paraId="52EE031D"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(0,0070)</w:t>
            </w:r>
          </w:p>
        </w:tc>
        <w:tc>
          <w:tcPr>
            <w:tcW w:w="2365" w:type="dxa"/>
            <w:tcBorders>
              <w:top w:val="nil"/>
              <w:left w:val="single" w:sz="4" w:space="0" w:color="auto"/>
              <w:bottom w:val="single" w:sz="4" w:space="0" w:color="auto"/>
              <w:right w:val="nil"/>
            </w:tcBorders>
            <w:shd w:val="clear" w:color="auto" w:fill="auto"/>
            <w:noWrap/>
            <w:vAlign w:val="bottom"/>
            <w:hideMark/>
          </w:tcPr>
          <w:p w14:paraId="0FFA5B83"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(0,0069)</w:t>
            </w:r>
          </w:p>
        </w:tc>
      </w:tr>
      <w:tr w:rsidR="0063719B" w:rsidRPr="001141A5" w14:paraId="0F5FD801" w14:textId="77777777" w:rsidTr="001141A5">
        <w:trPr>
          <w:trHeight w:val="185"/>
        </w:trPr>
        <w:tc>
          <w:tcPr>
            <w:tcW w:w="2075" w:type="dxa"/>
            <w:vMerge w:val="restart"/>
            <w:tcBorders>
              <w:top w:val="nil"/>
              <w:left w:val="nil"/>
              <w:bottom w:val="single" w:sz="4" w:space="0" w:color="000000"/>
              <w:right w:val="nil"/>
            </w:tcBorders>
            <w:shd w:val="clear" w:color="auto" w:fill="auto"/>
            <w:noWrap/>
            <w:vAlign w:val="center"/>
            <w:hideMark/>
          </w:tcPr>
          <w:p w14:paraId="06B422CB"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AUD</w:t>
            </w:r>
          </w:p>
        </w:tc>
        <w:tc>
          <w:tcPr>
            <w:tcW w:w="2362" w:type="dxa"/>
            <w:tcBorders>
              <w:top w:val="nil"/>
              <w:left w:val="single" w:sz="4" w:space="0" w:color="auto"/>
              <w:bottom w:val="nil"/>
              <w:right w:val="nil"/>
            </w:tcBorders>
            <w:shd w:val="clear" w:color="auto" w:fill="auto"/>
            <w:noWrap/>
            <w:vAlign w:val="bottom"/>
            <w:hideMark/>
          </w:tcPr>
          <w:p w14:paraId="47A77B8B"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0,1014 **</w:t>
            </w:r>
          </w:p>
        </w:tc>
        <w:tc>
          <w:tcPr>
            <w:tcW w:w="2362" w:type="dxa"/>
            <w:tcBorders>
              <w:top w:val="nil"/>
              <w:left w:val="single" w:sz="4" w:space="0" w:color="auto"/>
              <w:bottom w:val="nil"/>
              <w:right w:val="nil"/>
            </w:tcBorders>
            <w:shd w:val="clear" w:color="auto" w:fill="auto"/>
            <w:noWrap/>
            <w:vAlign w:val="bottom"/>
            <w:hideMark/>
          </w:tcPr>
          <w:p w14:paraId="7F3B6D5E"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0,1006 **</w:t>
            </w:r>
          </w:p>
        </w:tc>
        <w:tc>
          <w:tcPr>
            <w:tcW w:w="2365" w:type="dxa"/>
            <w:tcBorders>
              <w:top w:val="nil"/>
              <w:left w:val="single" w:sz="4" w:space="0" w:color="auto"/>
              <w:bottom w:val="nil"/>
              <w:right w:val="nil"/>
            </w:tcBorders>
            <w:shd w:val="clear" w:color="auto" w:fill="auto"/>
            <w:noWrap/>
            <w:vAlign w:val="bottom"/>
            <w:hideMark/>
          </w:tcPr>
          <w:p w14:paraId="25DFA23D"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0,0997 **</w:t>
            </w:r>
          </w:p>
        </w:tc>
      </w:tr>
      <w:tr w:rsidR="0063719B" w:rsidRPr="001141A5" w14:paraId="39FD56E5" w14:textId="77777777" w:rsidTr="001141A5">
        <w:trPr>
          <w:trHeight w:val="174"/>
        </w:trPr>
        <w:tc>
          <w:tcPr>
            <w:tcW w:w="2075" w:type="dxa"/>
            <w:vMerge/>
            <w:tcBorders>
              <w:top w:val="nil"/>
              <w:left w:val="nil"/>
              <w:bottom w:val="single" w:sz="4" w:space="0" w:color="000000"/>
              <w:right w:val="nil"/>
            </w:tcBorders>
            <w:vAlign w:val="center"/>
            <w:hideMark/>
          </w:tcPr>
          <w:p w14:paraId="6AEE49AB" w14:textId="77777777" w:rsidR="0063719B" w:rsidRPr="001141A5" w:rsidRDefault="0063719B" w:rsidP="001141A5">
            <w:pPr>
              <w:spacing w:after="0" w:line="240" w:lineRule="auto"/>
              <w:ind w:firstLine="0"/>
              <w:jc w:val="left"/>
              <w:rPr>
                <w:rFonts w:eastAsia="Times New Roman"/>
                <w:sz w:val="20"/>
                <w:szCs w:val="20"/>
                <w:lang w:eastAsia="pt-BR"/>
              </w:rPr>
            </w:pPr>
          </w:p>
        </w:tc>
        <w:tc>
          <w:tcPr>
            <w:tcW w:w="2362" w:type="dxa"/>
            <w:tcBorders>
              <w:top w:val="nil"/>
              <w:left w:val="single" w:sz="4" w:space="0" w:color="auto"/>
              <w:bottom w:val="single" w:sz="4" w:space="0" w:color="auto"/>
              <w:right w:val="nil"/>
            </w:tcBorders>
            <w:shd w:val="clear" w:color="auto" w:fill="auto"/>
            <w:noWrap/>
            <w:vAlign w:val="bottom"/>
            <w:hideMark/>
          </w:tcPr>
          <w:p w14:paraId="528D24DF"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(0,0388)</w:t>
            </w:r>
          </w:p>
        </w:tc>
        <w:tc>
          <w:tcPr>
            <w:tcW w:w="2362" w:type="dxa"/>
            <w:tcBorders>
              <w:top w:val="nil"/>
              <w:left w:val="single" w:sz="4" w:space="0" w:color="auto"/>
              <w:bottom w:val="single" w:sz="4" w:space="0" w:color="auto"/>
              <w:right w:val="nil"/>
            </w:tcBorders>
            <w:shd w:val="clear" w:color="auto" w:fill="auto"/>
            <w:noWrap/>
            <w:vAlign w:val="bottom"/>
            <w:hideMark/>
          </w:tcPr>
          <w:p w14:paraId="0BCC73AE"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(0,0385)</w:t>
            </w:r>
          </w:p>
        </w:tc>
        <w:tc>
          <w:tcPr>
            <w:tcW w:w="2365" w:type="dxa"/>
            <w:tcBorders>
              <w:top w:val="nil"/>
              <w:left w:val="single" w:sz="4" w:space="0" w:color="auto"/>
              <w:bottom w:val="single" w:sz="4" w:space="0" w:color="auto"/>
              <w:right w:val="nil"/>
            </w:tcBorders>
            <w:shd w:val="clear" w:color="auto" w:fill="auto"/>
            <w:noWrap/>
            <w:vAlign w:val="bottom"/>
            <w:hideMark/>
          </w:tcPr>
          <w:p w14:paraId="3D7E8692"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(0,0387)</w:t>
            </w:r>
          </w:p>
        </w:tc>
      </w:tr>
      <w:tr w:rsidR="0063719B" w:rsidRPr="001141A5" w14:paraId="300A8FC3" w14:textId="77777777" w:rsidTr="001141A5">
        <w:trPr>
          <w:trHeight w:val="174"/>
        </w:trPr>
        <w:tc>
          <w:tcPr>
            <w:tcW w:w="2075" w:type="dxa"/>
            <w:vMerge w:val="restart"/>
            <w:tcBorders>
              <w:top w:val="nil"/>
              <w:left w:val="nil"/>
              <w:bottom w:val="single" w:sz="4" w:space="0" w:color="000000"/>
              <w:right w:val="nil"/>
            </w:tcBorders>
            <w:shd w:val="clear" w:color="auto" w:fill="auto"/>
            <w:noWrap/>
            <w:vAlign w:val="center"/>
            <w:hideMark/>
          </w:tcPr>
          <w:p w14:paraId="46FB7073"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Constante</w:t>
            </w:r>
          </w:p>
        </w:tc>
        <w:tc>
          <w:tcPr>
            <w:tcW w:w="2362" w:type="dxa"/>
            <w:tcBorders>
              <w:top w:val="nil"/>
              <w:left w:val="single" w:sz="4" w:space="0" w:color="auto"/>
              <w:bottom w:val="nil"/>
              <w:right w:val="nil"/>
            </w:tcBorders>
            <w:shd w:val="clear" w:color="auto" w:fill="auto"/>
            <w:noWrap/>
            <w:vAlign w:val="bottom"/>
            <w:hideMark/>
          </w:tcPr>
          <w:p w14:paraId="3715BCC7"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0,6544 ***</w:t>
            </w:r>
          </w:p>
        </w:tc>
        <w:tc>
          <w:tcPr>
            <w:tcW w:w="2362" w:type="dxa"/>
            <w:tcBorders>
              <w:top w:val="nil"/>
              <w:left w:val="single" w:sz="4" w:space="0" w:color="auto"/>
              <w:bottom w:val="nil"/>
              <w:right w:val="nil"/>
            </w:tcBorders>
            <w:shd w:val="clear" w:color="auto" w:fill="auto"/>
            <w:noWrap/>
            <w:vAlign w:val="bottom"/>
            <w:hideMark/>
          </w:tcPr>
          <w:p w14:paraId="57F7DF54"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0,00005 ***</w:t>
            </w:r>
          </w:p>
        </w:tc>
        <w:tc>
          <w:tcPr>
            <w:tcW w:w="2365" w:type="dxa"/>
            <w:tcBorders>
              <w:top w:val="nil"/>
              <w:left w:val="single" w:sz="4" w:space="0" w:color="auto"/>
              <w:bottom w:val="nil"/>
              <w:right w:val="nil"/>
            </w:tcBorders>
            <w:shd w:val="clear" w:color="auto" w:fill="auto"/>
            <w:noWrap/>
            <w:vAlign w:val="bottom"/>
            <w:hideMark/>
          </w:tcPr>
          <w:p w14:paraId="5B3F8CD4"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0,6561 ***</w:t>
            </w:r>
          </w:p>
        </w:tc>
      </w:tr>
      <w:tr w:rsidR="0063719B" w:rsidRPr="001141A5" w14:paraId="0C9570A7" w14:textId="77777777" w:rsidTr="001141A5">
        <w:trPr>
          <w:trHeight w:val="174"/>
        </w:trPr>
        <w:tc>
          <w:tcPr>
            <w:tcW w:w="2075" w:type="dxa"/>
            <w:vMerge/>
            <w:tcBorders>
              <w:top w:val="nil"/>
              <w:left w:val="nil"/>
              <w:bottom w:val="single" w:sz="4" w:space="0" w:color="000000"/>
              <w:right w:val="nil"/>
            </w:tcBorders>
            <w:vAlign w:val="center"/>
            <w:hideMark/>
          </w:tcPr>
          <w:p w14:paraId="2039F127" w14:textId="77777777" w:rsidR="0063719B" w:rsidRPr="001141A5" w:rsidRDefault="0063719B" w:rsidP="001141A5">
            <w:pPr>
              <w:spacing w:after="0" w:line="240" w:lineRule="auto"/>
              <w:ind w:firstLine="0"/>
              <w:jc w:val="left"/>
              <w:rPr>
                <w:rFonts w:eastAsia="Times New Roman"/>
                <w:sz w:val="20"/>
                <w:szCs w:val="20"/>
                <w:lang w:eastAsia="pt-BR"/>
              </w:rPr>
            </w:pPr>
          </w:p>
        </w:tc>
        <w:tc>
          <w:tcPr>
            <w:tcW w:w="2362" w:type="dxa"/>
            <w:tcBorders>
              <w:top w:val="nil"/>
              <w:left w:val="single" w:sz="4" w:space="0" w:color="auto"/>
              <w:bottom w:val="single" w:sz="4" w:space="0" w:color="auto"/>
              <w:right w:val="nil"/>
            </w:tcBorders>
            <w:shd w:val="clear" w:color="auto" w:fill="auto"/>
            <w:noWrap/>
            <w:vAlign w:val="bottom"/>
            <w:hideMark/>
          </w:tcPr>
          <w:p w14:paraId="69E51951"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(0,0611)</w:t>
            </w:r>
          </w:p>
        </w:tc>
        <w:tc>
          <w:tcPr>
            <w:tcW w:w="2362" w:type="dxa"/>
            <w:tcBorders>
              <w:top w:val="nil"/>
              <w:left w:val="single" w:sz="4" w:space="0" w:color="auto"/>
              <w:bottom w:val="single" w:sz="4" w:space="0" w:color="auto"/>
              <w:right w:val="nil"/>
            </w:tcBorders>
            <w:shd w:val="clear" w:color="auto" w:fill="auto"/>
            <w:noWrap/>
            <w:vAlign w:val="bottom"/>
            <w:hideMark/>
          </w:tcPr>
          <w:p w14:paraId="15092274"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(0,0001)</w:t>
            </w:r>
          </w:p>
        </w:tc>
        <w:tc>
          <w:tcPr>
            <w:tcW w:w="2365" w:type="dxa"/>
            <w:tcBorders>
              <w:top w:val="nil"/>
              <w:left w:val="single" w:sz="4" w:space="0" w:color="auto"/>
              <w:bottom w:val="single" w:sz="4" w:space="0" w:color="auto"/>
              <w:right w:val="nil"/>
            </w:tcBorders>
            <w:shd w:val="clear" w:color="auto" w:fill="auto"/>
            <w:noWrap/>
            <w:vAlign w:val="bottom"/>
            <w:hideMark/>
          </w:tcPr>
          <w:p w14:paraId="1A7B7071"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(0,0000)</w:t>
            </w:r>
          </w:p>
        </w:tc>
      </w:tr>
      <w:tr w:rsidR="0063719B" w:rsidRPr="001141A5" w14:paraId="3B8B9060" w14:textId="77777777" w:rsidTr="001141A5">
        <w:trPr>
          <w:trHeight w:val="174"/>
        </w:trPr>
        <w:tc>
          <w:tcPr>
            <w:tcW w:w="2075" w:type="dxa"/>
            <w:tcBorders>
              <w:top w:val="nil"/>
              <w:left w:val="nil"/>
              <w:bottom w:val="single" w:sz="8" w:space="0" w:color="auto"/>
              <w:right w:val="single" w:sz="8" w:space="0" w:color="auto"/>
            </w:tcBorders>
            <w:shd w:val="clear" w:color="auto" w:fill="auto"/>
            <w:noWrap/>
            <w:vAlign w:val="bottom"/>
            <w:hideMark/>
          </w:tcPr>
          <w:p w14:paraId="5C0F62B9"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R² - within</w:t>
            </w:r>
          </w:p>
        </w:tc>
        <w:tc>
          <w:tcPr>
            <w:tcW w:w="2362"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554B4BEA"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0,0479</w:t>
            </w:r>
          </w:p>
        </w:tc>
        <w:tc>
          <w:tcPr>
            <w:tcW w:w="2362"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44AC41C0"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0,0447</w:t>
            </w:r>
          </w:p>
        </w:tc>
        <w:tc>
          <w:tcPr>
            <w:tcW w:w="2365" w:type="dxa"/>
            <w:tcBorders>
              <w:top w:val="single" w:sz="4" w:space="0" w:color="auto"/>
              <w:left w:val="single" w:sz="8" w:space="0" w:color="auto"/>
              <w:bottom w:val="single" w:sz="8" w:space="0" w:color="auto"/>
              <w:right w:val="nil"/>
            </w:tcBorders>
            <w:shd w:val="clear" w:color="auto" w:fill="auto"/>
            <w:noWrap/>
            <w:vAlign w:val="bottom"/>
            <w:hideMark/>
          </w:tcPr>
          <w:p w14:paraId="1F633240"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0,0467</w:t>
            </w:r>
          </w:p>
        </w:tc>
      </w:tr>
      <w:tr w:rsidR="0063719B" w:rsidRPr="001141A5" w14:paraId="2F8EE176" w14:textId="77777777" w:rsidTr="001141A5">
        <w:trPr>
          <w:trHeight w:val="174"/>
        </w:trPr>
        <w:tc>
          <w:tcPr>
            <w:tcW w:w="2075" w:type="dxa"/>
            <w:tcBorders>
              <w:top w:val="single" w:sz="8" w:space="0" w:color="auto"/>
              <w:left w:val="nil"/>
              <w:bottom w:val="single" w:sz="8" w:space="0" w:color="auto"/>
              <w:right w:val="single" w:sz="8" w:space="0" w:color="auto"/>
            </w:tcBorders>
            <w:shd w:val="clear" w:color="auto" w:fill="auto"/>
            <w:noWrap/>
            <w:vAlign w:val="bottom"/>
            <w:hideMark/>
          </w:tcPr>
          <w:p w14:paraId="742E8585"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R² - between</w:t>
            </w:r>
          </w:p>
        </w:tc>
        <w:tc>
          <w:tcPr>
            <w:tcW w:w="236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7C52692"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0,8013</w:t>
            </w:r>
          </w:p>
        </w:tc>
        <w:tc>
          <w:tcPr>
            <w:tcW w:w="236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1656E35"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0,8008</w:t>
            </w:r>
          </w:p>
        </w:tc>
        <w:tc>
          <w:tcPr>
            <w:tcW w:w="2365" w:type="dxa"/>
            <w:tcBorders>
              <w:top w:val="single" w:sz="8" w:space="0" w:color="auto"/>
              <w:left w:val="single" w:sz="8" w:space="0" w:color="auto"/>
              <w:bottom w:val="single" w:sz="8" w:space="0" w:color="auto"/>
              <w:right w:val="nil"/>
            </w:tcBorders>
            <w:shd w:val="clear" w:color="auto" w:fill="auto"/>
            <w:noWrap/>
            <w:vAlign w:val="bottom"/>
            <w:hideMark/>
          </w:tcPr>
          <w:p w14:paraId="4B419F73"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0,8019</w:t>
            </w:r>
          </w:p>
        </w:tc>
      </w:tr>
      <w:tr w:rsidR="0063719B" w:rsidRPr="001141A5" w14:paraId="04355E3E" w14:textId="77777777" w:rsidTr="001141A5">
        <w:trPr>
          <w:trHeight w:val="174"/>
        </w:trPr>
        <w:tc>
          <w:tcPr>
            <w:tcW w:w="2075" w:type="dxa"/>
            <w:tcBorders>
              <w:top w:val="single" w:sz="8" w:space="0" w:color="auto"/>
              <w:left w:val="nil"/>
              <w:bottom w:val="single" w:sz="8" w:space="0" w:color="auto"/>
              <w:right w:val="single" w:sz="8" w:space="0" w:color="auto"/>
            </w:tcBorders>
            <w:shd w:val="clear" w:color="auto" w:fill="auto"/>
            <w:noWrap/>
            <w:vAlign w:val="bottom"/>
            <w:hideMark/>
          </w:tcPr>
          <w:p w14:paraId="176C27D0"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R² - overall</w:t>
            </w:r>
          </w:p>
        </w:tc>
        <w:tc>
          <w:tcPr>
            <w:tcW w:w="236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B401607"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0,7597</w:t>
            </w:r>
          </w:p>
        </w:tc>
        <w:tc>
          <w:tcPr>
            <w:tcW w:w="236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499DE9D"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0,759</w:t>
            </w:r>
          </w:p>
        </w:tc>
        <w:tc>
          <w:tcPr>
            <w:tcW w:w="2365" w:type="dxa"/>
            <w:tcBorders>
              <w:top w:val="single" w:sz="8" w:space="0" w:color="auto"/>
              <w:left w:val="single" w:sz="8" w:space="0" w:color="auto"/>
              <w:bottom w:val="single" w:sz="8" w:space="0" w:color="auto"/>
              <w:right w:val="nil"/>
            </w:tcBorders>
            <w:shd w:val="clear" w:color="auto" w:fill="auto"/>
            <w:noWrap/>
            <w:vAlign w:val="bottom"/>
            <w:hideMark/>
          </w:tcPr>
          <w:p w14:paraId="2DFDFF3C"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0,7602</w:t>
            </w:r>
          </w:p>
        </w:tc>
      </w:tr>
      <w:tr w:rsidR="0063719B" w:rsidRPr="001141A5" w14:paraId="1753245E" w14:textId="77777777" w:rsidTr="001141A5">
        <w:trPr>
          <w:trHeight w:val="174"/>
        </w:trPr>
        <w:tc>
          <w:tcPr>
            <w:tcW w:w="2075" w:type="dxa"/>
            <w:tcBorders>
              <w:top w:val="single" w:sz="8" w:space="0" w:color="auto"/>
              <w:left w:val="nil"/>
              <w:bottom w:val="single" w:sz="12" w:space="0" w:color="auto"/>
              <w:right w:val="single" w:sz="8" w:space="0" w:color="auto"/>
            </w:tcBorders>
            <w:shd w:val="clear" w:color="auto" w:fill="auto"/>
            <w:noWrap/>
            <w:vAlign w:val="bottom"/>
            <w:hideMark/>
          </w:tcPr>
          <w:p w14:paraId="0E6D21E8"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Observações</w:t>
            </w:r>
          </w:p>
        </w:tc>
        <w:tc>
          <w:tcPr>
            <w:tcW w:w="2362"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14:paraId="0BBA694C"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136</w:t>
            </w:r>
          </w:p>
        </w:tc>
        <w:tc>
          <w:tcPr>
            <w:tcW w:w="2362" w:type="dxa"/>
            <w:tcBorders>
              <w:top w:val="single" w:sz="8" w:space="0" w:color="auto"/>
              <w:left w:val="single" w:sz="8" w:space="0" w:color="auto"/>
              <w:bottom w:val="single" w:sz="12" w:space="0" w:color="auto"/>
              <w:right w:val="single" w:sz="8" w:space="0" w:color="auto"/>
            </w:tcBorders>
            <w:shd w:val="clear" w:color="auto" w:fill="auto"/>
            <w:noWrap/>
            <w:vAlign w:val="bottom"/>
            <w:hideMark/>
          </w:tcPr>
          <w:p w14:paraId="09663BF0"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136</w:t>
            </w:r>
          </w:p>
        </w:tc>
        <w:tc>
          <w:tcPr>
            <w:tcW w:w="2365" w:type="dxa"/>
            <w:tcBorders>
              <w:top w:val="single" w:sz="8" w:space="0" w:color="auto"/>
              <w:left w:val="single" w:sz="8" w:space="0" w:color="auto"/>
              <w:bottom w:val="single" w:sz="12" w:space="0" w:color="auto"/>
              <w:right w:val="nil"/>
            </w:tcBorders>
            <w:shd w:val="clear" w:color="auto" w:fill="auto"/>
            <w:noWrap/>
            <w:vAlign w:val="bottom"/>
            <w:hideMark/>
          </w:tcPr>
          <w:p w14:paraId="321629ED" w14:textId="77777777" w:rsidR="0063719B" w:rsidRPr="001141A5" w:rsidRDefault="0063719B" w:rsidP="001141A5">
            <w:pPr>
              <w:spacing w:after="0" w:line="240" w:lineRule="auto"/>
              <w:ind w:firstLine="0"/>
              <w:jc w:val="left"/>
              <w:rPr>
                <w:rFonts w:eastAsia="Times New Roman"/>
                <w:sz w:val="20"/>
                <w:szCs w:val="20"/>
                <w:lang w:eastAsia="pt-BR"/>
              </w:rPr>
            </w:pPr>
            <w:r w:rsidRPr="001141A5">
              <w:rPr>
                <w:rFonts w:eastAsia="Times New Roman"/>
                <w:sz w:val="20"/>
                <w:szCs w:val="20"/>
                <w:lang w:eastAsia="pt-BR"/>
              </w:rPr>
              <w:t>136</w:t>
            </w:r>
          </w:p>
        </w:tc>
      </w:tr>
      <w:tr w:rsidR="0063719B" w:rsidRPr="001141A5" w14:paraId="7F7687EB" w14:textId="77777777" w:rsidTr="001141A5">
        <w:trPr>
          <w:trHeight w:val="174"/>
        </w:trPr>
        <w:tc>
          <w:tcPr>
            <w:tcW w:w="9165" w:type="dxa"/>
            <w:gridSpan w:val="4"/>
            <w:tcBorders>
              <w:top w:val="single" w:sz="12" w:space="0" w:color="auto"/>
              <w:left w:val="nil"/>
              <w:bottom w:val="single" w:sz="12" w:space="0" w:color="auto"/>
              <w:right w:val="nil"/>
            </w:tcBorders>
            <w:shd w:val="clear" w:color="auto" w:fill="auto"/>
            <w:vAlign w:val="bottom"/>
            <w:hideMark/>
          </w:tcPr>
          <w:p w14:paraId="6BA6F79F" w14:textId="77777777" w:rsidR="0063719B" w:rsidRPr="001141A5" w:rsidRDefault="0063719B" w:rsidP="001141A5">
            <w:pPr>
              <w:spacing w:after="0" w:line="240" w:lineRule="auto"/>
              <w:ind w:firstLine="0"/>
              <w:rPr>
                <w:rFonts w:eastAsia="Times New Roman"/>
                <w:sz w:val="20"/>
                <w:szCs w:val="20"/>
                <w:lang w:eastAsia="pt-BR"/>
              </w:rPr>
            </w:pPr>
            <w:r w:rsidRPr="001141A5">
              <w:rPr>
                <w:rFonts w:eastAsia="Times New Roman"/>
                <w:sz w:val="20"/>
                <w:szCs w:val="20"/>
                <w:lang w:eastAsia="pt-BR"/>
              </w:rPr>
              <w:t xml:space="preserve">Legenda: IDC = índice de divulgação obrigatória; ISE = índice de suavização de Eckel; EM1 = primeira métrica de suavização de resultados; EM3 = terceira métrica de suavização de resultados; ROA = desempenho; ALAV = alavancagem contábil; TAM = log do ativo total; GOV = variável binária para esfera de governo; SETOR = variável binária para setor regulado; CICLO = variável binária para período de ciclo político; AUD = variável binária para auditoria independente. *, **, *** significativo a 10%, 5% e 1%., </w:t>
            </w:r>
            <w:r w:rsidRPr="001141A5">
              <w:rPr>
                <w:rFonts w:eastAsia="Times New Roman"/>
                <w:iCs/>
                <w:sz w:val="20"/>
                <w:szCs w:val="20"/>
                <w:lang w:eastAsia="pt-BR"/>
              </w:rPr>
              <w:t>Erro padrão</w:t>
            </w:r>
            <w:r w:rsidRPr="001141A5">
              <w:rPr>
                <w:rFonts w:eastAsia="Times New Roman"/>
                <w:sz w:val="20"/>
                <w:szCs w:val="20"/>
                <w:lang w:eastAsia="pt-BR"/>
              </w:rPr>
              <w:t xml:space="preserve"> entre parênteses.</w:t>
            </w:r>
          </w:p>
        </w:tc>
      </w:tr>
      <w:tr w:rsidR="0063719B" w:rsidRPr="001141A5" w14:paraId="70E82607" w14:textId="77777777" w:rsidTr="001141A5">
        <w:trPr>
          <w:trHeight w:val="174"/>
        </w:trPr>
        <w:tc>
          <w:tcPr>
            <w:tcW w:w="9165" w:type="dxa"/>
            <w:gridSpan w:val="4"/>
            <w:tcBorders>
              <w:top w:val="single" w:sz="12" w:space="0" w:color="auto"/>
              <w:left w:val="nil"/>
              <w:bottom w:val="nil"/>
              <w:right w:val="nil"/>
            </w:tcBorders>
            <w:shd w:val="clear" w:color="auto" w:fill="auto"/>
            <w:noWrap/>
            <w:vAlign w:val="bottom"/>
            <w:hideMark/>
          </w:tcPr>
          <w:p w14:paraId="014937A3" w14:textId="77777777" w:rsidR="0063719B" w:rsidRPr="001141A5" w:rsidRDefault="0063719B" w:rsidP="001141A5">
            <w:pPr>
              <w:spacing w:line="240" w:lineRule="auto"/>
              <w:ind w:firstLine="0"/>
              <w:jc w:val="left"/>
              <w:rPr>
                <w:rFonts w:eastAsia="Times New Roman"/>
                <w:sz w:val="20"/>
                <w:szCs w:val="20"/>
                <w:lang w:eastAsia="pt-BR"/>
              </w:rPr>
            </w:pPr>
            <w:r w:rsidRPr="001141A5">
              <w:rPr>
                <w:rFonts w:eastAsia="Times New Roman"/>
                <w:sz w:val="20"/>
                <w:szCs w:val="20"/>
                <w:lang w:eastAsia="pt-BR"/>
              </w:rPr>
              <w:t>Fonte: Dados da pesquisa.</w:t>
            </w:r>
          </w:p>
        </w:tc>
      </w:tr>
    </w:tbl>
    <w:p w14:paraId="1507D521" w14:textId="77777777" w:rsidR="0063719B" w:rsidRPr="00E656E3" w:rsidRDefault="0063719B" w:rsidP="00E240B6">
      <w:pPr>
        <w:autoSpaceDE w:val="0"/>
        <w:autoSpaceDN w:val="0"/>
        <w:adjustRightInd w:val="0"/>
        <w:spacing w:before="240" w:after="0"/>
        <w:ind w:firstLine="0"/>
        <w:rPr>
          <w:szCs w:val="24"/>
          <w:lang w:eastAsia="pt-BR"/>
        </w:rPr>
      </w:pPr>
      <w:r w:rsidRPr="00E656E3">
        <w:rPr>
          <w:szCs w:val="24"/>
          <w:lang w:eastAsia="pt-BR"/>
        </w:rPr>
        <w:tab/>
        <w:t xml:space="preserve">Observa-se inicialmente que em todos os modelos os resultados para todas as variáveis foram similares. As variáveis </w:t>
      </w:r>
      <w:r w:rsidRPr="00E656E3">
        <w:rPr>
          <w:i/>
          <w:szCs w:val="24"/>
          <w:lang w:eastAsia="pt-BR"/>
        </w:rPr>
        <w:t>proxy</w:t>
      </w:r>
      <w:r w:rsidRPr="00E656E3">
        <w:rPr>
          <w:szCs w:val="24"/>
          <w:lang w:eastAsia="pt-BR"/>
        </w:rPr>
        <w:t xml:space="preserve"> de suavização de resultados ISE, EM1 e EM3 não foram significativas e com baixo coeficiente. Isso indica que o fato de suavizar ou não os resultados não interferem nos níveis de divulgação. O pressuposto teórico subjacente é que a suavização tenderia a influenciar os níveis de divulgação. Em partes, o fato da suavização não afetar os níveis de divulgação pode ser explicado pois existem outros fatores que interferem nos níveis de divulgação compulsória</w:t>
      </w:r>
      <w:r w:rsidR="00AA3A22">
        <w:rPr>
          <w:szCs w:val="24"/>
          <w:lang w:eastAsia="pt-BR"/>
        </w:rPr>
        <w:t xml:space="preserve"> como alavancagem, esfera de governo, se a empresa é auditada ou se o setor é regulado</w:t>
      </w:r>
      <w:r w:rsidRPr="00E656E3">
        <w:rPr>
          <w:szCs w:val="24"/>
          <w:lang w:eastAsia="pt-BR"/>
        </w:rPr>
        <w:t xml:space="preserve">. </w:t>
      </w:r>
      <w:r w:rsidR="0078521A">
        <w:rPr>
          <w:szCs w:val="24"/>
          <w:lang w:eastAsia="pt-BR"/>
        </w:rPr>
        <w:t>Os resultados demonstram que o fato de suavizar resultados não influencia diretamente a divulgação de informações compulsórios, isso não significa que não possa influenciar a divulgação de informações voluntárias, que não foi objeto desse estudo.</w:t>
      </w:r>
    </w:p>
    <w:p w14:paraId="6888184B" w14:textId="77777777" w:rsidR="0063719B" w:rsidRPr="00E656E3" w:rsidRDefault="0063719B" w:rsidP="00E240B6">
      <w:pPr>
        <w:autoSpaceDE w:val="0"/>
        <w:autoSpaceDN w:val="0"/>
        <w:adjustRightInd w:val="0"/>
        <w:spacing w:after="0"/>
        <w:ind w:firstLine="708"/>
        <w:rPr>
          <w:szCs w:val="24"/>
          <w:lang w:eastAsia="pt-BR"/>
        </w:rPr>
      </w:pPr>
      <w:r w:rsidRPr="00E656E3">
        <w:rPr>
          <w:szCs w:val="24"/>
          <w:lang w:eastAsia="pt-BR"/>
        </w:rPr>
        <w:t xml:space="preserve">Fatores dos modelos como alavancagem, esfera de governo, setor e auditoria independente foram significativos em todas as regressões. É razoável supor que empresas com maior alavancagem cumpram as exigências legais, tendo em vista que os credores tenderão a solicitar no mínimo as informações compulsórias. Os resultados encontrados são condizentes com pesquisa de </w:t>
      </w:r>
      <w:r w:rsidRPr="00E656E3">
        <w:rPr>
          <w:szCs w:val="24"/>
        </w:rPr>
        <w:t>Maia, Formigoni e Silva (2012) que também encontrarem evidências de maiores níveis de divulgação em empresas com maior</w:t>
      </w:r>
      <w:r w:rsidRPr="00E656E3">
        <w:rPr>
          <w:szCs w:val="24"/>
          <w:lang w:eastAsia="pt-BR"/>
        </w:rPr>
        <w:t xml:space="preserve"> alavancagem, tal comparabilidade é realizada pelos autores terem investigado a influência da alavancagem na divulgação de informações.</w:t>
      </w:r>
    </w:p>
    <w:p w14:paraId="4818F61F" w14:textId="77777777" w:rsidR="0063719B" w:rsidRPr="00E656E3" w:rsidRDefault="0063719B" w:rsidP="00E240B6">
      <w:pPr>
        <w:autoSpaceDE w:val="0"/>
        <w:autoSpaceDN w:val="0"/>
        <w:adjustRightInd w:val="0"/>
        <w:spacing w:after="0"/>
        <w:ind w:firstLine="708"/>
        <w:rPr>
          <w:szCs w:val="24"/>
          <w:lang w:eastAsia="pt-BR"/>
        </w:rPr>
      </w:pPr>
      <w:r w:rsidRPr="00E656E3">
        <w:rPr>
          <w:szCs w:val="24"/>
          <w:lang w:eastAsia="pt-BR"/>
        </w:rPr>
        <w:t xml:space="preserve">A variável Esfera de Governo recebeu 1 se a empresa fosse municipal e 0 caso contrário. Percebe-se que as empresas que possuem como controlador </w:t>
      </w:r>
      <w:r w:rsidR="00E62722" w:rsidRPr="00E656E3">
        <w:rPr>
          <w:szCs w:val="24"/>
          <w:lang w:eastAsia="pt-BR"/>
        </w:rPr>
        <w:t>o governo municipal possui</w:t>
      </w:r>
      <w:r w:rsidRPr="00E656E3">
        <w:rPr>
          <w:szCs w:val="24"/>
          <w:lang w:eastAsia="pt-BR"/>
        </w:rPr>
        <w:t xml:space="preserve"> cerca 0,11 de nível de divulgação a menos do que as empresa estaduais. A ideia </w:t>
      </w:r>
      <w:r w:rsidRPr="00E656E3">
        <w:rPr>
          <w:szCs w:val="24"/>
          <w:lang w:eastAsia="pt-BR"/>
        </w:rPr>
        <w:lastRenderedPageBreak/>
        <w:t>subjacente desse resultado está ligada ao fato do nível de cobrança ser maior em empresas do governo estadual, por gerenciarem maiores montantes de recursos, alinhada com a hipótese dos custos políticos de Watts e Zimmerman (1978).</w:t>
      </w:r>
    </w:p>
    <w:p w14:paraId="00A6ED4A" w14:textId="77777777" w:rsidR="0063719B" w:rsidRPr="00E656E3" w:rsidRDefault="0063719B" w:rsidP="00E240B6">
      <w:pPr>
        <w:autoSpaceDE w:val="0"/>
        <w:autoSpaceDN w:val="0"/>
        <w:adjustRightInd w:val="0"/>
        <w:spacing w:after="0"/>
        <w:ind w:firstLine="708"/>
        <w:rPr>
          <w:szCs w:val="24"/>
          <w:lang w:eastAsia="pt-BR"/>
        </w:rPr>
      </w:pPr>
      <w:r w:rsidRPr="00E656E3">
        <w:rPr>
          <w:szCs w:val="24"/>
          <w:lang w:eastAsia="pt-BR"/>
        </w:rPr>
        <w:t>Em relação ao setor de atuação, a variável recebeu 1 se o setor fosse regulado e 0 caso contrário. As empresas que atuam nos setores Energia, Água e Esgoto e Telecomunicações tiveram aproximadamente 0,18 de nível de divulgação a maior em relação às outras empresas. É natural que essas empresas apresentassem maiores níveis pois, segundo Cooke (1992), a divulgação compulsória pode ser diferente em cada setor da economia e respondem a diversas outras exigências regulamentares e também maior fiscalização.</w:t>
      </w:r>
      <w:r w:rsidR="00886FF9" w:rsidRPr="00E656E3">
        <w:rPr>
          <w:szCs w:val="24"/>
        </w:rPr>
        <w:t xml:space="preserve"> Giner (1997) encontrou evidências empíricas que empresas espanholas com auditoria independente possuíam maiores níveis de divulgação. Os resultados empíricos encontrados sugerem que as empresas com auditoria independente divulgam em torno de 0,10 a mais do que as empresas sem auditoria. A comparação dos resultados encontrados nessa pesquisa com as evidências de Giner (1997) deve-se ao fato do autor ter investigado a influência da auditoria independente na divulgação de informações.</w:t>
      </w:r>
    </w:p>
    <w:p w14:paraId="1EE9E42F" w14:textId="2776E6AD" w:rsidR="0063719B" w:rsidRPr="008D2F7B" w:rsidRDefault="0063719B" w:rsidP="000401BE">
      <w:pPr>
        <w:autoSpaceDE w:val="0"/>
        <w:autoSpaceDN w:val="0"/>
        <w:adjustRightInd w:val="0"/>
        <w:spacing w:after="0"/>
        <w:ind w:firstLine="708"/>
        <w:rPr>
          <w:b/>
          <w:szCs w:val="24"/>
          <w:lang w:eastAsia="pt-BR"/>
        </w:rPr>
      </w:pPr>
      <w:r w:rsidRPr="00E656E3">
        <w:rPr>
          <w:szCs w:val="24"/>
          <w:lang w:eastAsia="pt-BR"/>
        </w:rPr>
        <w:t xml:space="preserve">Em relação às variáveis de Desempenho, tamanho e ciclo político, elas não foram estatisticamente significantes. A interpretação é que essas variáveis não afetam a evidenciação obrigatória, diferentemente do que era previsto, onde se esperava que elas pudessem influenciar a evidenciação obrigatória. </w:t>
      </w:r>
      <w:r w:rsidR="00886FF9" w:rsidRPr="00E656E3">
        <w:rPr>
          <w:szCs w:val="24"/>
          <w:lang w:eastAsia="pt-BR"/>
        </w:rPr>
        <w:t xml:space="preserve">Sob o ponto de vista da Teoria da Agência de Jensen e Meckling (1976), para evitar conflitos entre acionistas e administradores as empresas podem aumentar os níveis de divulgação. </w:t>
      </w:r>
      <w:r w:rsidR="003550B3">
        <w:rPr>
          <w:szCs w:val="24"/>
          <w:lang w:eastAsia="pt-BR"/>
        </w:rPr>
        <w:t xml:space="preserve">O </w:t>
      </w:r>
      <w:r w:rsidR="00886FF9" w:rsidRPr="00E656E3">
        <w:rPr>
          <w:szCs w:val="24"/>
          <w:lang w:eastAsia="pt-BR"/>
        </w:rPr>
        <w:t>IDC, esteve em torno de 0,75 podendo ser considerado razoável. No entanto, não notou-se um aumento crescente dos níveis de divulgação. A explicação para essa constatação talvez esteja atrelada ao fato de existir pouco relacionamento entre Empresas de Economia Mista paranaense com seus acionistas privados, tendo em vista que na maior parte das empresas analisadas são Sociedade Anônimas de capital fechado e com isso a participação de privados é pequena e o interesse em aumentar a divulgação em algumas empresas pode não existir.</w:t>
      </w:r>
    </w:p>
    <w:p w14:paraId="0DE3B0AD" w14:textId="77777777" w:rsidR="00575CE5" w:rsidRPr="00E656E3" w:rsidRDefault="00886FF9" w:rsidP="000401BE">
      <w:pPr>
        <w:autoSpaceDE w:val="0"/>
        <w:autoSpaceDN w:val="0"/>
        <w:adjustRightInd w:val="0"/>
        <w:spacing w:after="0"/>
        <w:ind w:firstLine="708"/>
        <w:rPr>
          <w:szCs w:val="24"/>
          <w:lang w:eastAsia="pt-BR"/>
        </w:rPr>
      </w:pPr>
      <w:r w:rsidRPr="00E656E3">
        <w:rPr>
          <w:szCs w:val="24"/>
          <w:lang w:eastAsia="pt-BR"/>
        </w:rPr>
        <w:t>Em resumo, o</w:t>
      </w:r>
      <w:r w:rsidR="0063719B" w:rsidRPr="00E656E3">
        <w:rPr>
          <w:szCs w:val="24"/>
          <w:lang w:eastAsia="pt-BR"/>
        </w:rPr>
        <w:t xml:space="preserve">s resultados das regressões demonstraram não existir associação entre as variáveis, mesmo que a análise de correção tenha indicado o contrário. De certa forma, os resultados devem ser interpretados com cautela, não como uma conclusão e sim como indícios, pelo fato de ainda carecem de pesquisa que avaliem divulgação de informações financeiras e suavização de resultados em </w:t>
      </w:r>
      <w:r w:rsidR="002C5D2D" w:rsidRPr="00E656E3">
        <w:rPr>
          <w:szCs w:val="24"/>
          <w:lang w:eastAsia="pt-BR"/>
        </w:rPr>
        <w:t>Empresas de Economia Mista</w:t>
      </w:r>
      <w:r w:rsidR="0063719B" w:rsidRPr="00E656E3">
        <w:rPr>
          <w:szCs w:val="24"/>
          <w:lang w:eastAsia="pt-BR"/>
        </w:rPr>
        <w:t>.</w:t>
      </w:r>
      <w:bookmarkStart w:id="32" w:name="_Toc411452239"/>
      <w:bookmarkStart w:id="33" w:name="_Toc411461699"/>
      <w:r w:rsidR="0050037B">
        <w:rPr>
          <w:szCs w:val="24"/>
          <w:lang w:eastAsia="pt-BR"/>
        </w:rPr>
        <w:t xml:space="preserve"> </w:t>
      </w:r>
    </w:p>
    <w:p w14:paraId="2864E035" w14:textId="77777777" w:rsidR="00DC4473" w:rsidRDefault="00DC4473" w:rsidP="00E240B6">
      <w:pPr>
        <w:autoSpaceDE w:val="0"/>
        <w:autoSpaceDN w:val="0"/>
        <w:adjustRightInd w:val="0"/>
        <w:ind w:firstLine="0"/>
        <w:rPr>
          <w:szCs w:val="24"/>
        </w:rPr>
      </w:pPr>
    </w:p>
    <w:p w14:paraId="72FD9467" w14:textId="77777777" w:rsidR="0063719B" w:rsidRPr="00DC4473" w:rsidRDefault="00406F86" w:rsidP="00E240B6">
      <w:pPr>
        <w:autoSpaceDE w:val="0"/>
        <w:autoSpaceDN w:val="0"/>
        <w:adjustRightInd w:val="0"/>
        <w:ind w:firstLine="0"/>
        <w:rPr>
          <w:b/>
          <w:szCs w:val="24"/>
          <w:lang w:eastAsia="pt-BR"/>
        </w:rPr>
      </w:pPr>
      <w:r w:rsidRPr="00DC4473">
        <w:rPr>
          <w:b/>
          <w:szCs w:val="24"/>
        </w:rPr>
        <w:lastRenderedPageBreak/>
        <w:t>5 CONCLUSÕES</w:t>
      </w:r>
    </w:p>
    <w:bookmarkEnd w:id="32"/>
    <w:bookmarkEnd w:id="33"/>
    <w:p w14:paraId="05333AC8" w14:textId="77777777" w:rsidR="0063719B" w:rsidRPr="00E656E3" w:rsidRDefault="0063719B" w:rsidP="00E240B6">
      <w:pPr>
        <w:spacing w:after="0"/>
        <w:rPr>
          <w:szCs w:val="24"/>
        </w:rPr>
      </w:pPr>
      <w:r w:rsidRPr="00E656E3">
        <w:rPr>
          <w:szCs w:val="24"/>
        </w:rPr>
        <w:t xml:space="preserve">A pesquisa utilizou como teoria base a </w:t>
      </w:r>
      <w:r w:rsidR="00886FF9" w:rsidRPr="00E656E3">
        <w:rPr>
          <w:szCs w:val="24"/>
        </w:rPr>
        <w:t>H</w:t>
      </w:r>
      <w:r w:rsidRPr="00E656E3">
        <w:rPr>
          <w:szCs w:val="24"/>
        </w:rPr>
        <w:t xml:space="preserve">ipótese dos </w:t>
      </w:r>
      <w:r w:rsidR="00886FF9" w:rsidRPr="00E656E3">
        <w:rPr>
          <w:szCs w:val="24"/>
        </w:rPr>
        <w:t>C</w:t>
      </w:r>
      <w:r w:rsidRPr="00E656E3">
        <w:rPr>
          <w:szCs w:val="24"/>
        </w:rPr>
        <w:t xml:space="preserve">ustos </w:t>
      </w:r>
      <w:r w:rsidR="00886FF9" w:rsidRPr="00E656E3">
        <w:rPr>
          <w:szCs w:val="24"/>
        </w:rPr>
        <w:t>P</w:t>
      </w:r>
      <w:r w:rsidRPr="00E656E3">
        <w:rPr>
          <w:szCs w:val="24"/>
        </w:rPr>
        <w:t>olíticos de Watts e Zimmerman (1978) e a Teoria do Agente de Jensen e Meckling (1976) para tentar explicar a relação entre suavização de resultados com divulgação de informações compulsórias. Os resultados da pesquisa demonstram que parcialmente a suavização de resultados não é influente na divulgação de informações, o que refuta a ideia de que ao suavizar resultados as empresas divulgariam informações para minimizar conflitos de agência e custos políticos.</w:t>
      </w:r>
    </w:p>
    <w:p w14:paraId="1962B033" w14:textId="77777777" w:rsidR="0063719B" w:rsidRPr="00E656E3" w:rsidRDefault="0063719B" w:rsidP="00E240B6">
      <w:pPr>
        <w:spacing w:after="0"/>
        <w:rPr>
          <w:szCs w:val="24"/>
        </w:rPr>
      </w:pPr>
      <w:r w:rsidRPr="00E656E3">
        <w:rPr>
          <w:szCs w:val="24"/>
        </w:rPr>
        <w:t xml:space="preserve">Em relação às métricas de divulgação de informações, Popova et al. (2013) afirmam que as pesquisas têm utilizado principalmente índices construídos por pesquisadores. Isso não afasta o fato de existir subjetividade nas análises. O ideal é investigar e utilizar formas mais sofisticadas de análise de divulgação como, por exemplo, o uso programas de computadores capazes de capturar a divulgação de informações, assim como o </w:t>
      </w:r>
      <w:r w:rsidRPr="00E656E3">
        <w:rPr>
          <w:i/>
          <w:szCs w:val="24"/>
        </w:rPr>
        <w:t>software</w:t>
      </w:r>
      <w:r w:rsidRPr="00E656E3">
        <w:rPr>
          <w:szCs w:val="24"/>
        </w:rPr>
        <w:t xml:space="preserve"> desenvolvido por Grüning (2011), denominado de </w:t>
      </w:r>
      <w:r w:rsidRPr="00E656E3">
        <w:rPr>
          <w:i/>
          <w:szCs w:val="24"/>
        </w:rPr>
        <w:t>Artificial Intelligence Measurement of Disclosure</w:t>
      </w:r>
      <w:r w:rsidRPr="00E656E3">
        <w:rPr>
          <w:szCs w:val="24"/>
        </w:rPr>
        <w:t xml:space="preserve"> (AIMD), utilizado em sua pesquisa sobre divulgação de informações corporativas no mercado de capitais alemão.</w:t>
      </w:r>
    </w:p>
    <w:p w14:paraId="7A0E4813" w14:textId="77777777" w:rsidR="0063719B" w:rsidRPr="00E656E3" w:rsidRDefault="0063719B" w:rsidP="00E240B6">
      <w:pPr>
        <w:spacing w:after="0"/>
        <w:rPr>
          <w:szCs w:val="24"/>
        </w:rPr>
      </w:pPr>
      <w:r w:rsidRPr="00E656E3">
        <w:rPr>
          <w:szCs w:val="24"/>
        </w:rPr>
        <w:t xml:space="preserve">É interessante salientar com base na coleta de dados que, </w:t>
      </w:r>
      <w:r w:rsidRPr="00E656E3">
        <w:rPr>
          <w:i/>
          <w:szCs w:val="24"/>
        </w:rPr>
        <w:t>a priori</w:t>
      </w:r>
      <w:r w:rsidRPr="00E656E3">
        <w:rPr>
          <w:szCs w:val="24"/>
        </w:rPr>
        <w:t>, os gestores e elaboradores dos relatórios estão preocupados em divulgar os números contábeis do que em explicar como foram encontradas e avaliadas as informações. Essa afirmação é realizada com base nos níveis de divulgação encontrados em cada bloco, sendo que as EEM cumpriram mais os requisitos no tocan</w:t>
      </w:r>
      <w:r w:rsidR="00E169CF">
        <w:rPr>
          <w:szCs w:val="24"/>
        </w:rPr>
        <w:t>te</w:t>
      </w:r>
      <w:r w:rsidRPr="00E656E3">
        <w:rPr>
          <w:szCs w:val="24"/>
        </w:rPr>
        <w:t xml:space="preserve"> à estrutura das demonstrações do que em notas explicativas. </w:t>
      </w:r>
    </w:p>
    <w:p w14:paraId="10EFFFE9" w14:textId="77777777" w:rsidR="0063719B" w:rsidRPr="00E656E3" w:rsidRDefault="0063719B" w:rsidP="00E240B6">
      <w:pPr>
        <w:spacing w:after="0"/>
        <w:rPr>
          <w:szCs w:val="24"/>
        </w:rPr>
      </w:pPr>
      <w:r w:rsidRPr="00E656E3">
        <w:rPr>
          <w:szCs w:val="24"/>
        </w:rPr>
        <w:t>Pela natureza da informação ser compulsória, esperava-se que os níveis de divulgação poderiam atingir patamares altos e não índices razoáveis como encontrados. Também notou-se que as informações divulgadas por determinadas empresas careciam de qualidades visuais, dificultando a análise. Percebe-se que as empresas não atendem integralmente as exigências mínimas de divulgação, refletindo os mesmos achados da pesquisa de Maia (2009) em uma empresa de economia mista financeira do nordeste brasileiro. Uma das questões que ainda necessitam de respostas é porque qual razão as empresas não divulgam todas as informações exigidas legalmente.</w:t>
      </w:r>
    </w:p>
    <w:p w14:paraId="62393C9F" w14:textId="77777777" w:rsidR="0063719B" w:rsidRDefault="0063719B" w:rsidP="00E240B6">
      <w:pPr>
        <w:spacing w:after="0"/>
        <w:rPr>
          <w:szCs w:val="24"/>
        </w:rPr>
      </w:pPr>
      <w:r w:rsidRPr="00E656E3">
        <w:rPr>
          <w:szCs w:val="24"/>
        </w:rPr>
        <w:t xml:space="preserve">Em relação às métricas de suavização de resultados, diversas pesquisas têm utilizado o modelo de Eckel (1981) e as métricas de Leuz, Nanda e Wysocki (2003) como forma de capturar a intervenção dos gestores nos números contábeis como mecanismo reduzir a variabilidade nos resultados. Martinez (2013) afirma que </w:t>
      </w:r>
      <w:r w:rsidR="007A6EE7" w:rsidRPr="00E656E3">
        <w:rPr>
          <w:szCs w:val="24"/>
        </w:rPr>
        <w:t>as pesquisas sobre a temática têm</w:t>
      </w:r>
      <w:r w:rsidRPr="00E656E3">
        <w:rPr>
          <w:szCs w:val="24"/>
        </w:rPr>
        <w:t xml:space="preserve"> se </w:t>
      </w:r>
      <w:r w:rsidRPr="00E656E3">
        <w:rPr>
          <w:szCs w:val="24"/>
        </w:rPr>
        <w:lastRenderedPageBreak/>
        <w:t>preocupado principalmente em aplicar as métricas e poucos são os estudos que tem realiza</w:t>
      </w:r>
      <w:r w:rsidR="00213EA0" w:rsidRPr="00E656E3">
        <w:rPr>
          <w:szCs w:val="24"/>
        </w:rPr>
        <w:t>do propostas de novas métricas.</w:t>
      </w:r>
    </w:p>
    <w:p w14:paraId="48D79BB1" w14:textId="77777777" w:rsidR="00632211" w:rsidRDefault="00D01942" w:rsidP="00632211">
      <w:pPr>
        <w:spacing w:after="0"/>
        <w:ind w:firstLine="0"/>
        <w:rPr>
          <w:szCs w:val="24"/>
        </w:rPr>
      </w:pPr>
      <w:r>
        <w:rPr>
          <w:szCs w:val="24"/>
        </w:rPr>
        <w:tab/>
        <w:t xml:space="preserve"> </w:t>
      </w:r>
      <w:r w:rsidR="00952481">
        <w:rPr>
          <w:szCs w:val="24"/>
        </w:rPr>
        <w:t xml:space="preserve">Os resultados dessa pesquisa podem contribuir com o desenvolvimento de </w:t>
      </w:r>
      <w:r w:rsidR="00632211" w:rsidRPr="00632211">
        <w:rPr>
          <w:szCs w:val="24"/>
        </w:rPr>
        <w:t>estudos que avaliem o impacto dos agentes políticos na gestão da</w:t>
      </w:r>
      <w:r w:rsidR="00632211">
        <w:rPr>
          <w:szCs w:val="24"/>
        </w:rPr>
        <w:t xml:space="preserve"> companhia e</w:t>
      </w:r>
      <w:r w:rsidR="00632211" w:rsidRPr="00632211">
        <w:rPr>
          <w:szCs w:val="24"/>
        </w:rPr>
        <w:t xml:space="preserve"> de que forma isso</w:t>
      </w:r>
      <w:r w:rsidR="00632211">
        <w:rPr>
          <w:szCs w:val="24"/>
        </w:rPr>
        <w:t xml:space="preserve"> afeta a qualidade da informação </w:t>
      </w:r>
      <w:r w:rsidR="00632211" w:rsidRPr="00632211">
        <w:rPr>
          <w:szCs w:val="24"/>
        </w:rPr>
        <w:t>divulgada. Recomenda-se também que pesquisas futuras inves</w:t>
      </w:r>
      <w:r w:rsidR="00632211">
        <w:rPr>
          <w:szCs w:val="24"/>
        </w:rPr>
        <w:t xml:space="preserve">tiguem a divulgação voluntária </w:t>
      </w:r>
      <w:r w:rsidR="00632211" w:rsidRPr="00632211">
        <w:rPr>
          <w:szCs w:val="24"/>
        </w:rPr>
        <w:t>em empresas de economia mista e que se possível seja</w:t>
      </w:r>
      <w:r w:rsidR="00632211">
        <w:rPr>
          <w:szCs w:val="24"/>
        </w:rPr>
        <w:t>m</w:t>
      </w:r>
      <w:r w:rsidR="00632211" w:rsidRPr="00632211">
        <w:rPr>
          <w:szCs w:val="24"/>
        </w:rPr>
        <w:t xml:space="preserve"> avaliad</w:t>
      </w:r>
      <w:r w:rsidR="00632211">
        <w:rPr>
          <w:szCs w:val="24"/>
        </w:rPr>
        <w:t>as EEM de outros Estados, assim de</w:t>
      </w:r>
      <w:r w:rsidR="00632211" w:rsidRPr="00632211">
        <w:rPr>
          <w:szCs w:val="24"/>
        </w:rPr>
        <w:t xml:space="preserve"> outros países.  Sugere-se também investigar outras modalidades de suavização e</w:t>
      </w:r>
      <w:r w:rsidR="00632211">
        <w:rPr>
          <w:szCs w:val="24"/>
        </w:rPr>
        <w:t xml:space="preserve"> </w:t>
      </w:r>
      <w:r w:rsidR="00632211" w:rsidRPr="00632211">
        <w:rPr>
          <w:szCs w:val="24"/>
        </w:rPr>
        <w:t>gerenciamento de resultados</w:t>
      </w:r>
      <w:r w:rsidR="00632211">
        <w:rPr>
          <w:szCs w:val="24"/>
        </w:rPr>
        <w:t>.</w:t>
      </w:r>
      <w:r w:rsidR="00164565">
        <w:rPr>
          <w:szCs w:val="24"/>
        </w:rPr>
        <w:t xml:space="preserve"> </w:t>
      </w:r>
    </w:p>
    <w:p w14:paraId="127CBFC7" w14:textId="77777777" w:rsidR="00164565" w:rsidRPr="00E656E3" w:rsidRDefault="00164565" w:rsidP="00632211">
      <w:pPr>
        <w:spacing w:after="0"/>
        <w:ind w:firstLine="0"/>
        <w:rPr>
          <w:szCs w:val="24"/>
        </w:rPr>
      </w:pPr>
      <w:r>
        <w:rPr>
          <w:szCs w:val="24"/>
        </w:rPr>
        <w:tab/>
        <w:t>Em termos te</w:t>
      </w:r>
      <w:r w:rsidR="00E61C0D">
        <w:rPr>
          <w:szCs w:val="24"/>
        </w:rPr>
        <w:t xml:space="preserve">óricos, esse estudo pode contribuir com evidencias empíricas sobre aspectos relacionados com a Hipótese dos Custos Políticos e a Teoria da Agência. Espera-se que este estudo possa auxiliar na melhor compreensão dos fenômenos divulgação de informações e gerenciamento de resultados.  </w:t>
      </w:r>
    </w:p>
    <w:p w14:paraId="56D5ED0A" w14:textId="77777777" w:rsidR="00886FF9" w:rsidRPr="00E656E3" w:rsidRDefault="002136B3" w:rsidP="007A6EE7">
      <w:pPr>
        <w:spacing w:after="0"/>
        <w:rPr>
          <w:szCs w:val="24"/>
        </w:rPr>
      </w:pPr>
      <w:r w:rsidRPr="00E656E3">
        <w:rPr>
          <w:szCs w:val="24"/>
        </w:rPr>
        <w:t>As principais limitações da pesquisa referem-se à amostra selecionada, coleta de dados, os modelos para detecção de suavização de resultados e a elaboração do Índice de Divulgação Compulsória.</w:t>
      </w:r>
      <w:r w:rsidR="00886FF9" w:rsidRPr="00E656E3">
        <w:rPr>
          <w:szCs w:val="24"/>
        </w:rPr>
        <w:t xml:space="preserve"> Como reflexão final, faz-se necessário a discussão de ações que</w:t>
      </w:r>
      <w:r w:rsidR="007A6EE7">
        <w:rPr>
          <w:szCs w:val="24"/>
        </w:rPr>
        <w:t xml:space="preserve"> a</w:t>
      </w:r>
      <w:r w:rsidR="00886FF9" w:rsidRPr="00E656E3">
        <w:rPr>
          <w:szCs w:val="24"/>
        </w:rPr>
        <w:t xml:space="preserve"> administração das Empresas de Economia Mista devem desenvolver com o intuito de garantir a transparência e conseguir legitimar seus atos perante a sociedade, garantindo assim que o complexo sistema público brasileiro possa realmente cumprir com a função</w:t>
      </w:r>
      <w:bookmarkStart w:id="34" w:name="_Toc411452242"/>
      <w:bookmarkStart w:id="35" w:name="_Toc411461702"/>
      <w:bookmarkStart w:id="36" w:name="referencia"/>
      <w:r w:rsidR="007A6EE7">
        <w:rPr>
          <w:szCs w:val="24"/>
        </w:rPr>
        <w:t>: maximizar o bem estar social.</w:t>
      </w:r>
    </w:p>
    <w:p w14:paraId="23D7E38F" w14:textId="77777777" w:rsidR="00DC4473" w:rsidRDefault="00DC4473" w:rsidP="00E240B6">
      <w:pPr>
        <w:pStyle w:val="Ttulo1"/>
        <w:numPr>
          <w:ilvl w:val="0"/>
          <w:numId w:val="0"/>
        </w:numPr>
        <w:spacing w:after="0" w:line="360" w:lineRule="auto"/>
        <w:rPr>
          <w:szCs w:val="24"/>
          <w:lang w:val="pt-BR"/>
        </w:rPr>
      </w:pPr>
    </w:p>
    <w:p w14:paraId="67F377DD" w14:textId="77777777" w:rsidR="0063719B" w:rsidRPr="009E6834" w:rsidRDefault="009E6834" w:rsidP="00E240B6">
      <w:pPr>
        <w:pStyle w:val="Ttulo1"/>
        <w:numPr>
          <w:ilvl w:val="0"/>
          <w:numId w:val="0"/>
        </w:numPr>
        <w:spacing w:after="0" w:line="360" w:lineRule="auto"/>
        <w:rPr>
          <w:szCs w:val="24"/>
          <w:lang w:val="pt-BR"/>
        </w:rPr>
      </w:pPr>
      <w:bookmarkStart w:id="37" w:name="_GoBack"/>
      <w:bookmarkEnd w:id="37"/>
      <w:r w:rsidRPr="009E6834">
        <w:rPr>
          <w:szCs w:val="24"/>
        </w:rPr>
        <w:t>REFERÊNCIAS</w:t>
      </w:r>
      <w:bookmarkEnd w:id="34"/>
      <w:bookmarkEnd w:id="35"/>
    </w:p>
    <w:bookmarkEnd w:id="36"/>
    <w:p w14:paraId="024A5452" w14:textId="77777777" w:rsidR="0063719B" w:rsidRPr="001B570D" w:rsidRDefault="0063719B" w:rsidP="008325AA">
      <w:pPr>
        <w:autoSpaceDE w:val="0"/>
        <w:autoSpaceDN w:val="0"/>
        <w:adjustRightInd w:val="0"/>
        <w:spacing w:after="0"/>
        <w:ind w:firstLine="0"/>
        <w:jc w:val="left"/>
        <w:rPr>
          <w:szCs w:val="24"/>
          <w:lang w:eastAsia="pt-BR"/>
        </w:rPr>
      </w:pPr>
      <w:r w:rsidRPr="001B570D">
        <w:rPr>
          <w:szCs w:val="24"/>
          <w:lang w:eastAsia="pt-BR"/>
        </w:rPr>
        <w:t>ABRANCHES, S. H. A questão da empresa estatal – economia, política e interesse público.</w:t>
      </w:r>
      <w:r w:rsidR="007A2732" w:rsidRPr="001B570D">
        <w:rPr>
          <w:szCs w:val="24"/>
          <w:lang w:eastAsia="pt-BR"/>
        </w:rPr>
        <w:t xml:space="preserve"> </w:t>
      </w:r>
      <w:r w:rsidRPr="001B570D">
        <w:rPr>
          <w:b/>
          <w:bCs/>
          <w:szCs w:val="24"/>
          <w:lang w:eastAsia="pt-BR"/>
        </w:rPr>
        <w:t>Revista de Administração de Empresas</w:t>
      </w:r>
      <w:r w:rsidRPr="001B570D">
        <w:rPr>
          <w:szCs w:val="24"/>
          <w:lang w:eastAsia="pt-BR"/>
        </w:rPr>
        <w:t>, Rio de Janeiro, v. 19, n. 4, p. 95-105, out./dez.</w:t>
      </w:r>
    </w:p>
    <w:p w14:paraId="78918B01" w14:textId="77777777" w:rsidR="0063719B" w:rsidRPr="001B570D" w:rsidRDefault="0063719B" w:rsidP="008325AA">
      <w:pPr>
        <w:spacing w:after="0"/>
        <w:ind w:firstLine="0"/>
        <w:rPr>
          <w:szCs w:val="24"/>
          <w:shd w:val="clear" w:color="auto" w:fill="FFFFFF"/>
          <w:lang w:val="en-US"/>
        </w:rPr>
      </w:pPr>
      <w:r w:rsidRPr="001B570D">
        <w:rPr>
          <w:szCs w:val="24"/>
          <w:lang w:val="en-US" w:eastAsia="pt-BR"/>
        </w:rPr>
        <w:t>1979.</w:t>
      </w:r>
    </w:p>
    <w:p w14:paraId="028E8E92" w14:textId="77777777" w:rsidR="0063719B" w:rsidRPr="001B570D" w:rsidRDefault="0063719B" w:rsidP="008325AA">
      <w:pPr>
        <w:spacing w:after="0"/>
        <w:ind w:firstLine="0"/>
        <w:rPr>
          <w:szCs w:val="24"/>
          <w:shd w:val="clear" w:color="auto" w:fill="FFFFFF"/>
          <w:lang w:val="en-US"/>
        </w:rPr>
      </w:pPr>
      <w:r w:rsidRPr="001B570D">
        <w:rPr>
          <w:szCs w:val="24"/>
          <w:shd w:val="clear" w:color="auto" w:fill="FFFFFF"/>
          <w:lang w:val="en-US"/>
        </w:rPr>
        <w:t xml:space="preserve">ADINA, P.; ION, P. Aspects regarding corporate mandatory and voluntary disclosure. In.:  </w:t>
      </w:r>
      <w:r w:rsidRPr="001B570D">
        <w:rPr>
          <w:b/>
          <w:szCs w:val="24"/>
          <w:shd w:val="clear" w:color="auto" w:fill="FFFFFF"/>
          <w:lang w:val="en-US"/>
        </w:rPr>
        <w:t>Annals of the University of Oradea: Economic Science</w:t>
      </w:r>
      <w:r w:rsidRPr="001B570D">
        <w:rPr>
          <w:szCs w:val="24"/>
          <w:shd w:val="clear" w:color="auto" w:fill="FFFFFF"/>
          <w:lang w:val="en-US"/>
        </w:rPr>
        <w:t xml:space="preserve">, 3(1), p. 1407-1411, 2008. </w:t>
      </w:r>
    </w:p>
    <w:p w14:paraId="32001C21" w14:textId="72E04AF8" w:rsidR="0063719B" w:rsidRPr="001B570D" w:rsidRDefault="0063719B" w:rsidP="008325AA">
      <w:pPr>
        <w:pStyle w:val="Default"/>
        <w:spacing w:line="360" w:lineRule="auto"/>
        <w:rPr>
          <w:rFonts w:eastAsia="Times New Roman"/>
          <w:color w:val="auto"/>
        </w:rPr>
      </w:pPr>
      <w:r w:rsidRPr="001B570D">
        <w:rPr>
          <w:color w:val="auto"/>
          <w:shd w:val="clear" w:color="auto" w:fill="FFFFFF"/>
          <w:lang w:val="en-US"/>
        </w:rPr>
        <w:t>AKMAN, N</w:t>
      </w:r>
      <w:r w:rsidR="00CD1E42" w:rsidRPr="001B570D">
        <w:rPr>
          <w:color w:val="auto"/>
          <w:shd w:val="clear" w:color="auto" w:fill="FFFFFF"/>
          <w:lang w:val="en-US"/>
        </w:rPr>
        <w:t>.</w:t>
      </w:r>
      <w:r w:rsidR="002569FC" w:rsidRPr="001B570D">
        <w:rPr>
          <w:color w:val="auto"/>
          <w:shd w:val="clear" w:color="auto" w:fill="FFFFFF"/>
          <w:lang w:val="en-US"/>
        </w:rPr>
        <w:t xml:space="preserve"> </w:t>
      </w:r>
      <w:r w:rsidRPr="001B570D">
        <w:rPr>
          <w:color w:val="auto"/>
          <w:shd w:val="clear" w:color="auto" w:fill="FFFFFF"/>
          <w:lang w:val="en-US"/>
        </w:rPr>
        <w:t xml:space="preserve">H. </w:t>
      </w:r>
      <w:r w:rsidRPr="001B570D">
        <w:rPr>
          <w:bCs/>
          <w:color w:val="auto"/>
          <w:lang w:val="en-US"/>
        </w:rPr>
        <w:t>The Effect of IFRS Adoption on Financial Disclosure: Does C</w:t>
      </w:r>
      <w:r w:rsidR="002569FC" w:rsidRPr="001B570D">
        <w:rPr>
          <w:bCs/>
          <w:color w:val="auto"/>
          <w:lang w:val="en-US"/>
        </w:rPr>
        <w:t>ulture Still Play A Role?</w:t>
      </w:r>
      <w:r w:rsidRPr="001B570D">
        <w:rPr>
          <w:bCs/>
          <w:color w:val="auto"/>
          <w:lang w:val="en-US"/>
        </w:rPr>
        <w:t xml:space="preserve"> </w:t>
      </w:r>
      <w:r w:rsidRPr="001B570D">
        <w:rPr>
          <w:b/>
          <w:iCs/>
          <w:color w:val="auto"/>
        </w:rPr>
        <w:t>American International Journal of Contemporary Research</w:t>
      </w:r>
      <w:r w:rsidRPr="001B570D">
        <w:rPr>
          <w:i/>
          <w:iCs/>
          <w:color w:val="auto"/>
        </w:rPr>
        <w:t>.</w:t>
      </w:r>
      <w:r w:rsidRPr="001B570D">
        <w:rPr>
          <w:b/>
          <w:iCs/>
          <w:color w:val="auto"/>
        </w:rPr>
        <w:t xml:space="preserve"> </w:t>
      </w:r>
      <w:r w:rsidR="00CD1E42" w:rsidRPr="001B570D">
        <w:rPr>
          <w:iCs/>
          <w:color w:val="auto"/>
        </w:rPr>
        <w:t>v</w:t>
      </w:r>
      <w:r w:rsidRPr="001B570D">
        <w:rPr>
          <w:iCs/>
          <w:color w:val="auto"/>
        </w:rPr>
        <w:t>. 1</w:t>
      </w:r>
      <w:r w:rsidR="00CD1E42" w:rsidRPr="001B570D">
        <w:rPr>
          <w:iCs/>
          <w:color w:val="auto"/>
        </w:rPr>
        <w:t>,</w:t>
      </w:r>
      <w:r w:rsidRPr="001B570D">
        <w:rPr>
          <w:iCs/>
          <w:color w:val="auto"/>
        </w:rPr>
        <w:t xml:space="preserve"> </w:t>
      </w:r>
      <w:r w:rsidR="00CD1E42" w:rsidRPr="001B570D">
        <w:rPr>
          <w:iCs/>
          <w:color w:val="auto"/>
        </w:rPr>
        <w:t>n</w:t>
      </w:r>
      <w:r w:rsidRPr="001B570D">
        <w:rPr>
          <w:iCs/>
          <w:color w:val="auto"/>
        </w:rPr>
        <w:t xml:space="preserve">.1, </w:t>
      </w:r>
      <w:r w:rsidR="00CD1E42" w:rsidRPr="001B570D">
        <w:rPr>
          <w:iCs/>
          <w:color w:val="auto"/>
        </w:rPr>
        <w:t>j</w:t>
      </w:r>
      <w:r w:rsidRPr="001B570D">
        <w:rPr>
          <w:iCs/>
          <w:color w:val="auto"/>
        </w:rPr>
        <w:t>ul</w:t>
      </w:r>
      <w:r w:rsidR="00CD1E42" w:rsidRPr="001B570D">
        <w:rPr>
          <w:iCs/>
          <w:color w:val="auto"/>
        </w:rPr>
        <w:t>.</w:t>
      </w:r>
      <w:r w:rsidRPr="001B570D">
        <w:rPr>
          <w:iCs/>
          <w:color w:val="auto"/>
        </w:rPr>
        <w:t xml:space="preserve"> 2011. </w:t>
      </w:r>
      <w:r w:rsidRPr="001B570D">
        <w:rPr>
          <w:b/>
          <w:iCs/>
          <w:color w:val="auto"/>
        </w:rPr>
        <w:t xml:space="preserve"> </w:t>
      </w:r>
      <w:r w:rsidRPr="001B570D">
        <w:rPr>
          <w:rFonts w:eastAsia="Times New Roman"/>
          <w:color w:val="auto"/>
          <w:lang w:eastAsia="en-US"/>
        </w:rPr>
        <w:t xml:space="preserve"> </w:t>
      </w:r>
    </w:p>
    <w:p w14:paraId="4943F475" w14:textId="6BDF61A6" w:rsidR="0063719B" w:rsidRPr="001B570D" w:rsidRDefault="0063719B" w:rsidP="008325AA">
      <w:pPr>
        <w:spacing w:after="0"/>
        <w:ind w:firstLine="0"/>
        <w:rPr>
          <w:szCs w:val="24"/>
          <w:lang w:val="en-US"/>
        </w:rPr>
      </w:pPr>
      <w:r w:rsidRPr="001B570D">
        <w:rPr>
          <w:szCs w:val="24"/>
        </w:rPr>
        <w:t>ANTUNES, G. A.; GALDI, F</w:t>
      </w:r>
      <w:r w:rsidR="008325AA" w:rsidRPr="001B570D">
        <w:rPr>
          <w:szCs w:val="24"/>
        </w:rPr>
        <w:t xml:space="preserve">. </w:t>
      </w:r>
      <w:r w:rsidRPr="001B570D">
        <w:rPr>
          <w:szCs w:val="24"/>
        </w:rPr>
        <w:t>C</w:t>
      </w:r>
      <w:r w:rsidR="008325AA" w:rsidRPr="001B570D">
        <w:rPr>
          <w:szCs w:val="24"/>
        </w:rPr>
        <w:t>.</w:t>
      </w:r>
      <w:r w:rsidRPr="001B570D">
        <w:rPr>
          <w:szCs w:val="24"/>
        </w:rPr>
        <w:t>; AZEVEDO, F</w:t>
      </w:r>
      <w:r w:rsidR="008325AA" w:rsidRPr="001B570D">
        <w:rPr>
          <w:szCs w:val="24"/>
        </w:rPr>
        <w:t>.</w:t>
      </w:r>
      <w:r w:rsidRPr="001B570D">
        <w:rPr>
          <w:szCs w:val="24"/>
        </w:rPr>
        <w:t xml:space="preserve"> B</w:t>
      </w:r>
      <w:r w:rsidR="00CD1E42" w:rsidRPr="001B570D">
        <w:rPr>
          <w:szCs w:val="24"/>
        </w:rPr>
        <w:t>.</w:t>
      </w:r>
      <w:r w:rsidRPr="001B570D">
        <w:rPr>
          <w:szCs w:val="24"/>
        </w:rPr>
        <w:t>; MENDONÇA, M</w:t>
      </w:r>
      <w:r w:rsidR="008325AA" w:rsidRPr="001B570D">
        <w:rPr>
          <w:szCs w:val="24"/>
        </w:rPr>
        <w:t>.</w:t>
      </w:r>
      <w:r w:rsidRPr="001B570D">
        <w:rPr>
          <w:szCs w:val="24"/>
        </w:rPr>
        <w:t xml:space="preserve"> M. Instrumentos contábeis de proteção aos recursos públicos investidos nas sociedades de economia mista: uma investigação empírica. </w:t>
      </w:r>
      <w:r w:rsidRPr="001B570D">
        <w:rPr>
          <w:szCs w:val="24"/>
          <w:lang w:val="en-US"/>
        </w:rPr>
        <w:t xml:space="preserve">In: </w:t>
      </w:r>
      <w:r w:rsidRPr="001B570D">
        <w:rPr>
          <w:b/>
          <w:szCs w:val="24"/>
          <w:lang w:val="en-US"/>
        </w:rPr>
        <w:t>Congresso de Controladoria e Contabilidade da USP</w:t>
      </w:r>
      <w:r w:rsidRPr="001B570D">
        <w:rPr>
          <w:i/>
          <w:szCs w:val="24"/>
          <w:lang w:val="en-US"/>
        </w:rPr>
        <w:t>.</w:t>
      </w:r>
      <w:r w:rsidRPr="001B570D">
        <w:rPr>
          <w:szCs w:val="24"/>
          <w:lang w:val="en-US"/>
        </w:rPr>
        <w:t xml:space="preserve"> 8, 2008.</w:t>
      </w:r>
    </w:p>
    <w:p w14:paraId="4F060E82" w14:textId="5F1385FC" w:rsidR="0063719B" w:rsidRPr="00DC4473" w:rsidRDefault="0063719B" w:rsidP="008325AA">
      <w:pPr>
        <w:spacing w:after="0"/>
        <w:ind w:firstLine="0"/>
        <w:rPr>
          <w:szCs w:val="24"/>
          <w:lang w:val="en-US"/>
        </w:rPr>
      </w:pPr>
      <w:r w:rsidRPr="001B570D">
        <w:rPr>
          <w:szCs w:val="24"/>
          <w:lang w:val="en-US"/>
        </w:rPr>
        <w:lastRenderedPageBreak/>
        <w:t xml:space="preserve">ARRUÑADA, B. Mandatory Accounting Disclosure by Small Private Companies. </w:t>
      </w:r>
      <w:r w:rsidRPr="00DC4473">
        <w:rPr>
          <w:b/>
          <w:szCs w:val="24"/>
          <w:lang w:val="en-US"/>
        </w:rPr>
        <w:t>European Journal of Law and Economics</w:t>
      </w:r>
      <w:r w:rsidRPr="00DC4473">
        <w:rPr>
          <w:szCs w:val="24"/>
          <w:lang w:val="en-US"/>
        </w:rPr>
        <w:t>,</w:t>
      </w:r>
      <w:r w:rsidR="001B570D" w:rsidRPr="00DC4473">
        <w:rPr>
          <w:szCs w:val="24"/>
          <w:lang w:val="en-US"/>
        </w:rPr>
        <w:t xml:space="preserve"> v.</w:t>
      </w:r>
      <w:r w:rsidRPr="00DC4473">
        <w:rPr>
          <w:szCs w:val="24"/>
          <w:lang w:val="en-US"/>
        </w:rPr>
        <w:t xml:space="preserve"> 32</w:t>
      </w:r>
      <w:r w:rsidR="001B570D" w:rsidRPr="00DC4473">
        <w:rPr>
          <w:szCs w:val="24"/>
          <w:lang w:val="en-US"/>
        </w:rPr>
        <w:t>,</w:t>
      </w:r>
      <w:r w:rsidRPr="00DC4473">
        <w:rPr>
          <w:szCs w:val="24"/>
          <w:lang w:val="en-US"/>
        </w:rPr>
        <w:t xml:space="preserve"> </w:t>
      </w:r>
      <w:r w:rsidR="001B570D" w:rsidRPr="00DC4473">
        <w:rPr>
          <w:szCs w:val="24"/>
          <w:lang w:val="en-US"/>
        </w:rPr>
        <w:t>n. 3</w:t>
      </w:r>
      <w:r w:rsidRPr="00DC4473">
        <w:rPr>
          <w:szCs w:val="24"/>
          <w:lang w:val="en-US"/>
        </w:rPr>
        <w:t>, p. 377-413, 2011.</w:t>
      </w:r>
    </w:p>
    <w:p w14:paraId="3667818C" w14:textId="4D4578E9" w:rsidR="0063719B" w:rsidRPr="001B570D" w:rsidRDefault="0063719B" w:rsidP="008325AA">
      <w:pPr>
        <w:spacing w:after="0"/>
        <w:ind w:firstLine="0"/>
        <w:rPr>
          <w:szCs w:val="24"/>
          <w:shd w:val="clear" w:color="auto" w:fill="FFFFFF"/>
          <w:lang w:val="en-US"/>
        </w:rPr>
      </w:pPr>
      <w:r w:rsidRPr="001B570D">
        <w:rPr>
          <w:szCs w:val="24"/>
          <w:shd w:val="clear" w:color="auto" w:fill="FFFFFF"/>
        </w:rPr>
        <w:t>BAIOCO, V</w:t>
      </w:r>
      <w:r w:rsidR="00D31421" w:rsidRPr="001B570D">
        <w:rPr>
          <w:szCs w:val="24"/>
          <w:shd w:val="clear" w:color="auto" w:fill="FFFFFF"/>
        </w:rPr>
        <w:t>.</w:t>
      </w:r>
      <w:r w:rsidR="006B6B6D" w:rsidRPr="001B570D">
        <w:rPr>
          <w:szCs w:val="24"/>
          <w:shd w:val="clear" w:color="auto" w:fill="FFFFFF"/>
        </w:rPr>
        <w:t xml:space="preserve"> </w:t>
      </w:r>
      <w:r w:rsidR="00D31421" w:rsidRPr="001B570D">
        <w:rPr>
          <w:szCs w:val="24"/>
          <w:shd w:val="clear" w:color="auto" w:fill="FFFFFF"/>
        </w:rPr>
        <w:t>G.;</w:t>
      </w:r>
      <w:r w:rsidRPr="001B570D">
        <w:rPr>
          <w:szCs w:val="24"/>
          <w:shd w:val="clear" w:color="auto" w:fill="FFFFFF"/>
        </w:rPr>
        <w:t xml:space="preserve"> ALMEIDA, J</w:t>
      </w:r>
      <w:r w:rsidR="00D31421" w:rsidRPr="001B570D">
        <w:rPr>
          <w:szCs w:val="24"/>
          <w:shd w:val="clear" w:color="auto" w:fill="FFFFFF"/>
        </w:rPr>
        <w:t>.</w:t>
      </w:r>
      <w:r w:rsidR="006B6B6D" w:rsidRPr="001B570D">
        <w:rPr>
          <w:szCs w:val="24"/>
          <w:shd w:val="clear" w:color="auto" w:fill="FFFFFF"/>
        </w:rPr>
        <w:t xml:space="preserve"> </w:t>
      </w:r>
      <w:r w:rsidRPr="001B570D">
        <w:rPr>
          <w:szCs w:val="24"/>
          <w:shd w:val="clear" w:color="auto" w:fill="FFFFFF"/>
        </w:rPr>
        <w:t>E.</w:t>
      </w:r>
      <w:r w:rsidR="006B6B6D" w:rsidRPr="001B570D">
        <w:rPr>
          <w:szCs w:val="24"/>
          <w:shd w:val="clear" w:color="auto" w:fill="FFFFFF"/>
        </w:rPr>
        <w:t xml:space="preserve"> </w:t>
      </w:r>
      <w:r w:rsidRPr="001B570D">
        <w:rPr>
          <w:szCs w:val="24"/>
          <w:shd w:val="clear" w:color="auto" w:fill="FFFFFF"/>
        </w:rPr>
        <w:t xml:space="preserve">F.; RODRIGUES, A. Incentivos da regulação de mercados sobre o nível de suavização de resultados. </w:t>
      </w:r>
      <w:r w:rsidRPr="001B570D">
        <w:rPr>
          <w:b/>
          <w:szCs w:val="24"/>
          <w:shd w:val="clear" w:color="auto" w:fill="FFFFFF"/>
          <w:lang w:val="en-US"/>
        </w:rPr>
        <w:t>Revista Contabilidade Vista &amp; Revista</w:t>
      </w:r>
      <w:r w:rsidR="00A33243" w:rsidRPr="00A33243">
        <w:rPr>
          <w:szCs w:val="24"/>
          <w:shd w:val="clear" w:color="auto" w:fill="FFFFFF"/>
          <w:lang w:val="en-US"/>
        </w:rPr>
        <w:t>,</w:t>
      </w:r>
      <w:r w:rsidR="001B570D">
        <w:rPr>
          <w:szCs w:val="24"/>
          <w:shd w:val="clear" w:color="auto" w:fill="FFFFFF"/>
          <w:lang w:val="en-US"/>
        </w:rPr>
        <w:t xml:space="preserve"> v. 24, n. 2, p. 11-</w:t>
      </w:r>
      <w:r w:rsidRPr="001B570D">
        <w:rPr>
          <w:szCs w:val="24"/>
          <w:shd w:val="clear" w:color="auto" w:fill="FFFFFF"/>
          <w:lang w:val="en-US"/>
        </w:rPr>
        <w:t>36, abr./jun. 2013.</w:t>
      </w:r>
    </w:p>
    <w:p w14:paraId="3BE1960D" w14:textId="77777777" w:rsidR="0063719B" w:rsidRPr="001B570D" w:rsidRDefault="0063719B" w:rsidP="008325AA">
      <w:pPr>
        <w:spacing w:after="0"/>
        <w:ind w:firstLine="0"/>
        <w:rPr>
          <w:szCs w:val="24"/>
          <w:shd w:val="clear" w:color="auto" w:fill="FFFFFF"/>
          <w:lang w:val="en-US"/>
        </w:rPr>
      </w:pPr>
      <w:r w:rsidRPr="001B570D">
        <w:rPr>
          <w:szCs w:val="24"/>
          <w:shd w:val="clear" w:color="auto" w:fill="FFFFFF"/>
          <w:lang w:val="en-US"/>
        </w:rPr>
        <w:t xml:space="preserve">BAO, B.; BAO, H. Income smoothing, earnings quality and firm valuation. </w:t>
      </w:r>
      <w:r w:rsidRPr="001B570D">
        <w:rPr>
          <w:b/>
          <w:szCs w:val="24"/>
          <w:shd w:val="clear" w:color="auto" w:fill="FFFFFF"/>
          <w:lang w:val="en-US"/>
        </w:rPr>
        <w:t>Journal of Business Finance and Accounting</w:t>
      </w:r>
      <w:r w:rsidRPr="001B570D">
        <w:rPr>
          <w:szCs w:val="24"/>
          <w:shd w:val="clear" w:color="auto" w:fill="FFFFFF"/>
          <w:lang w:val="en-US"/>
        </w:rPr>
        <w:t>, v. 31, n. 9-10, p. 1525-1557, 2004</w:t>
      </w:r>
    </w:p>
    <w:p w14:paraId="5846416B" w14:textId="77777777" w:rsidR="0063719B" w:rsidRPr="001B570D" w:rsidRDefault="0063719B" w:rsidP="008325AA">
      <w:pPr>
        <w:spacing w:after="0"/>
        <w:ind w:firstLine="0"/>
        <w:rPr>
          <w:szCs w:val="24"/>
          <w:shd w:val="clear" w:color="auto" w:fill="FFFFFF"/>
        </w:rPr>
      </w:pPr>
      <w:r w:rsidRPr="001B570D">
        <w:rPr>
          <w:szCs w:val="24"/>
          <w:shd w:val="clear" w:color="auto" w:fill="FFFFFF"/>
          <w:lang w:val="en-US"/>
        </w:rPr>
        <w:t>BOGNETTI, G</w:t>
      </w:r>
      <w:r w:rsidR="00D31421" w:rsidRPr="001B570D">
        <w:rPr>
          <w:szCs w:val="24"/>
          <w:shd w:val="clear" w:color="auto" w:fill="FFFFFF"/>
          <w:lang w:val="en-US"/>
        </w:rPr>
        <w:t>.</w:t>
      </w:r>
      <w:r w:rsidRPr="001B570D">
        <w:rPr>
          <w:szCs w:val="24"/>
          <w:shd w:val="clear" w:color="auto" w:fill="FFFFFF"/>
          <w:lang w:val="en-US"/>
        </w:rPr>
        <w:t>.; ROBOTTI, L</w:t>
      </w:r>
      <w:r w:rsidR="00D31421" w:rsidRPr="001B570D">
        <w:rPr>
          <w:szCs w:val="24"/>
          <w:shd w:val="clear" w:color="auto" w:fill="FFFFFF"/>
          <w:lang w:val="en-US"/>
        </w:rPr>
        <w:t>.</w:t>
      </w:r>
      <w:r w:rsidRPr="001B570D">
        <w:rPr>
          <w:szCs w:val="24"/>
          <w:shd w:val="clear" w:color="auto" w:fill="FFFFFF"/>
          <w:lang w:val="en-US"/>
        </w:rPr>
        <w:t>. The Provision of Local Public Services Through Mixed Enterprises: The Italian Case.</w:t>
      </w:r>
      <w:r w:rsidRPr="001B570D">
        <w:rPr>
          <w:szCs w:val="24"/>
          <w:lang w:val="en-US"/>
        </w:rPr>
        <w:t xml:space="preserve"> </w:t>
      </w:r>
      <w:r w:rsidRPr="001B570D">
        <w:rPr>
          <w:b/>
          <w:szCs w:val="24"/>
          <w:shd w:val="clear" w:color="auto" w:fill="FFFFFF"/>
        </w:rPr>
        <w:t>Annals of Public and Cooperative Economic</w:t>
      </w:r>
      <w:r w:rsidRPr="001B570D">
        <w:rPr>
          <w:szCs w:val="24"/>
          <w:shd w:val="clear" w:color="auto" w:fill="FFFFFF"/>
        </w:rPr>
        <w:t>, v.78, n.3, p.415-437, 2007.</w:t>
      </w:r>
    </w:p>
    <w:p w14:paraId="1A4897C4" w14:textId="77777777" w:rsidR="0063719B" w:rsidRPr="001B570D" w:rsidRDefault="0063719B" w:rsidP="008325AA">
      <w:pPr>
        <w:spacing w:after="0"/>
        <w:ind w:firstLine="0"/>
        <w:rPr>
          <w:rFonts w:eastAsia="Times New Roman"/>
          <w:szCs w:val="24"/>
        </w:rPr>
      </w:pPr>
      <w:r w:rsidRPr="001B570D">
        <w:rPr>
          <w:rFonts w:eastAsia="Times New Roman"/>
          <w:szCs w:val="24"/>
        </w:rPr>
        <w:t>BONFIM, N</w:t>
      </w:r>
      <w:r w:rsidR="00350E90" w:rsidRPr="001B570D">
        <w:rPr>
          <w:rFonts w:eastAsia="Times New Roman"/>
          <w:szCs w:val="24"/>
        </w:rPr>
        <w:t>.</w:t>
      </w:r>
      <w:r w:rsidR="008508D2" w:rsidRPr="001B570D">
        <w:rPr>
          <w:rFonts w:eastAsia="Times New Roman"/>
          <w:szCs w:val="24"/>
        </w:rPr>
        <w:t xml:space="preserve"> </w:t>
      </w:r>
      <w:r w:rsidRPr="001B570D">
        <w:rPr>
          <w:rFonts w:eastAsia="Times New Roman"/>
          <w:szCs w:val="24"/>
        </w:rPr>
        <w:t xml:space="preserve">B. </w:t>
      </w:r>
      <w:r w:rsidRPr="001B570D">
        <w:rPr>
          <w:rFonts w:eastAsia="Times New Roman"/>
          <w:b/>
          <w:szCs w:val="24"/>
        </w:rPr>
        <w:t xml:space="preserve">O interesse público nas sociedades de economia mista. </w:t>
      </w:r>
      <w:r w:rsidRPr="001B570D">
        <w:rPr>
          <w:rFonts w:eastAsia="Times New Roman"/>
          <w:szCs w:val="24"/>
        </w:rPr>
        <w:t>126 f. Dissertação (Mestrado em Direito Econômico e Financeiro) – Faculdade de Direito, Universidade de São Paulo, São Paulo, 2011.</w:t>
      </w:r>
    </w:p>
    <w:p w14:paraId="6DF2F146" w14:textId="77777777" w:rsidR="0063719B" w:rsidRPr="001B570D" w:rsidRDefault="0063719B" w:rsidP="008325AA">
      <w:pPr>
        <w:spacing w:after="0"/>
        <w:ind w:firstLine="0"/>
        <w:rPr>
          <w:rFonts w:eastAsia="Times New Roman"/>
          <w:szCs w:val="24"/>
        </w:rPr>
      </w:pPr>
      <w:r w:rsidRPr="001B570D">
        <w:rPr>
          <w:rFonts w:eastAsia="Times New Roman"/>
          <w:szCs w:val="24"/>
          <w:lang w:val="en-US"/>
        </w:rPr>
        <w:t>BOOTH, G</w:t>
      </w:r>
      <w:r w:rsidR="00350E90" w:rsidRPr="001B570D">
        <w:rPr>
          <w:rFonts w:eastAsia="Times New Roman"/>
          <w:szCs w:val="24"/>
          <w:lang w:val="en-US"/>
        </w:rPr>
        <w:t>.</w:t>
      </w:r>
      <w:r w:rsidR="00937984" w:rsidRPr="001B570D">
        <w:rPr>
          <w:rFonts w:eastAsia="Times New Roman"/>
          <w:szCs w:val="24"/>
          <w:lang w:val="en-US"/>
        </w:rPr>
        <w:t xml:space="preserve"> </w:t>
      </w:r>
      <w:r w:rsidRPr="001B570D">
        <w:rPr>
          <w:rFonts w:eastAsia="Times New Roman"/>
          <w:szCs w:val="24"/>
          <w:lang w:val="en-US"/>
        </w:rPr>
        <w:t>G.; KALLUNKI, J</w:t>
      </w:r>
      <w:r w:rsidR="00350E90" w:rsidRPr="001B570D">
        <w:rPr>
          <w:rFonts w:eastAsia="Times New Roman"/>
          <w:szCs w:val="24"/>
          <w:lang w:val="en-US"/>
        </w:rPr>
        <w:t>.</w:t>
      </w:r>
      <w:r w:rsidR="008508D2" w:rsidRPr="001B570D">
        <w:rPr>
          <w:rFonts w:eastAsia="Times New Roman"/>
          <w:szCs w:val="24"/>
          <w:lang w:val="en-US"/>
        </w:rPr>
        <w:t xml:space="preserve"> </w:t>
      </w:r>
      <w:r w:rsidRPr="001B570D">
        <w:rPr>
          <w:rFonts w:eastAsia="Times New Roman"/>
          <w:szCs w:val="24"/>
          <w:lang w:val="en-US"/>
        </w:rPr>
        <w:t xml:space="preserve">P.; MARTIKAINEN, T. Post-announcement drift and income smoothing: Finnish evidence. </w:t>
      </w:r>
      <w:r w:rsidRPr="001B570D">
        <w:rPr>
          <w:rFonts w:eastAsia="Times New Roman"/>
          <w:b/>
          <w:szCs w:val="24"/>
        </w:rPr>
        <w:t>Journal of Business Finance and Accounting</w:t>
      </w:r>
      <w:r w:rsidRPr="001B570D">
        <w:rPr>
          <w:rFonts w:eastAsia="Times New Roman"/>
          <w:i/>
          <w:szCs w:val="24"/>
        </w:rPr>
        <w:t>,</w:t>
      </w:r>
      <w:r w:rsidRPr="001B570D">
        <w:rPr>
          <w:rFonts w:eastAsia="Times New Roman"/>
          <w:szCs w:val="24"/>
        </w:rPr>
        <w:t xml:space="preserve"> 23(8), p.1197-1211, 1996.</w:t>
      </w:r>
    </w:p>
    <w:p w14:paraId="6B107B64" w14:textId="77777777" w:rsidR="0063719B" w:rsidRPr="001B570D" w:rsidRDefault="0063719B" w:rsidP="008325AA">
      <w:pPr>
        <w:spacing w:after="0"/>
        <w:ind w:firstLine="0"/>
        <w:rPr>
          <w:szCs w:val="24"/>
          <w:shd w:val="clear" w:color="auto" w:fill="FFFFFF"/>
        </w:rPr>
      </w:pPr>
      <w:r w:rsidRPr="001B570D">
        <w:rPr>
          <w:szCs w:val="24"/>
          <w:shd w:val="clear" w:color="auto" w:fill="FFFFFF"/>
        </w:rPr>
        <w:t>BRASIL.</w:t>
      </w:r>
      <w:r w:rsidRPr="001B570D">
        <w:rPr>
          <w:b/>
          <w:szCs w:val="24"/>
          <w:shd w:val="clear" w:color="auto" w:fill="FFFFFF"/>
        </w:rPr>
        <w:t xml:space="preserve"> Lei nº 6.404</w:t>
      </w:r>
      <w:r w:rsidRPr="001B570D">
        <w:rPr>
          <w:szCs w:val="24"/>
          <w:shd w:val="clear" w:color="auto" w:fill="FFFFFF"/>
        </w:rPr>
        <w:t xml:space="preserve">, de 15 de dezembro de 1976. Sociedades por ações. Brasília, 155º da Independência e 88º da República. </w:t>
      </w:r>
    </w:p>
    <w:p w14:paraId="725A9978" w14:textId="77777777" w:rsidR="0063719B" w:rsidRPr="001B570D" w:rsidRDefault="0063719B" w:rsidP="008325AA">
      <w:pPr>
        <w:spacing w:after="0"/>
        <w:ind w:firstLine="0"/>
        <w:rPr>
          <w:szCs w:val="24"/>
          <w:shd w:val="clear" w:color="auto" w:fill="FFFFFF"/>
        </w:rPr>
      </w:pPr>
      <w:r w:rsidRPr="001B570D">
        <w:rPr>
          <w:szCs w:val="24"/>
          <w:shd w:val="clear" w:color="auto" w:fill="FFFFFF"/>
        </w:rPr>
        <w:t xml:space="preserve">BRASIL. </w:t>
      </w:r>
      <w:r w:rsidRPr="001B570D">
        <w:rPr>
          <w:b/>
          <w:szCs w:val="24"/>
          <w:shd w:val="clear" w:color="auto" w:fill="FFFFFF"/>
        </w:rPr>
        <w:t>Constituição</w:t>
      </w:r>
      <w:r w:rsidRPr="001B570D">
        <w:rPr>
          <w:szCs w:val="24"/>
          <w:shd w:val="clear" w:color="auto" w:fill="FFFFFF"/>
        </w:rPr>
        <w:t xml:space="preserve"> (1988). Constituição da República Federativa do Brasil. Brasília, DF: Senado Federal. Disponível em </w:t>
      </w:r>
      <w:r w:rsidRPr="001B570D">
        <w:rPr>
          <w:szCs w:val="24"/>
        </w:rPr>
        <w:t>www.planalto.gov.br</w:t>
      </w:r>
      <w:r w:rsidRPr="001B570D">
        <w:rPr>
          <w:szCs w:val="24"/>
          <w:shd w:val="clear" w:color="auto" w:fill="FFFFFF"/>
        </w:rPr>
        <w:t>.</w:t>
      </w:r>
    </w:p>
    <w:p w14:paraId="18BE9166" w14:textId="700B1B02" w:rsidR="0063719B" w:rsidRPr="001B570D" w:rsidRDefault="0063719B" w:rsidP="008325AA">
      <w:pPr>
        <w:spacing w:after="0"/>
        <w:ind w:firstLine="0"/>
        <w:rPr>
          <w:szCs w:val="24"/>
          <w:shd w:val="clear" w:color="auto" w:fill="FFFFFF"/>
        </w:rPr>
      </w:pPr>
      <w:r w:rsidRPr="001B570D">
        <w:rPr>
          <w:szCs w:val="24"/>
          <w:shd w:val="clear" w:color="auto" w:fill="FFFFFF"/>
          <w:lang w:val="en-US"/>
        </w:rPr>
        <w:t>BROWN, S.; GOETZMANN, W</w:t>
      </w:r>
      <w:r w:rsidR="00350E90" w:rsidRPr="001B570D">
        <w:rPr>
          <w:szCs w:val="24"/>
          <w:shd w:val="clear" w:color="auto" w:fill="FFFFFF"/>
          <w:lang w:val="en-US"/>
        </w:rPr>
        <w:t>.</w:t>
      </w:r>
      <w:r w:rsidRPr="001B570D">
        <w:rPr>
          <w:szCs w:val="24"/>
          <w:shd w:val="clear" w:color="auto" w:fill="FFFFFF"/>
          <w:lang w:val="en-US"/>
        </w:rPr>
        <w:t>; LIANG, B</w:t>
      </w:r>
      <w:r w:rsidR="00350E90" w:rsidRPr="001B570D">
        <w:rPr>
          <w:szCs w:val="24"/>
          <w:shd w:val="clear" w:color="auto" w:fill="FFFFFF"/>
          <w:lang w:val="en-US"/>
        </w:rPr>
        <w:t>.</w:t>
      </w:r>
      <w:r w:rsidRPr="001B570D">
        <w:rPr>
          <w:szCs w:val="24"/>
          <w:shd w:val="clear" w:color="auto" w:fill="FFFFFF"/>
          <w:lang w:val="en-US"/>
        </w:rPr>
        <w:t xml:space="preserve">; Mandatory Disclosure and Operational Risk: Evidence from Hedge Fund Registration. </w:t>
      </w:r>
      <w:r w:rsidRPr="001B570D">
        <w:rPr>
          <w:b/>
          <w:szCs w:val="24"/>
          <w:shd w:val="clear" w:color="auto" w:fill="FFFFFF"/>
        </w:rPr>
        <w:t>The Journal of Finance</w:t>
      </w:r>
      <w:r w:rsidRPr="001B570D">
        <w:rPr>
          <w:szCs w:val="24"/>
          <w:shd w:val="clear" w:color="auto" w:fill="FFFFFF"/>
        </w:rPr>
        <w:t xml:space="preserve">, v. </w:t>
      </w:r>
      <w:r w:rsidR="00A33243">
        <w:rPr>
          <w:szCs w:val="24"/>
          <w:shd w:val="clear" w:color="auto" w:fill="FFFFFF"/>
        </w:rPr>
        <w:t>63</w:t>
      </w:r>
      <w:r w:rsidRPr="001B570D">
        <w:rPr>
          <w:szCs w:val="24"/>
          <w:shd w:val="clear" w:color="auto" w:fill="FFFFFF"/>
        </w:rPr>
        <w:t xml:space="preserve">, </w:t>
      </w:r>
      <w:r w:rsidR="00A33243">
        <w:rPr>
          <w:szCs w:val="24"/>
          <w:shd w:val="clear" w:color="auto" w:fill="FFFFFF"/>
        </w:rPr>
        <w:t>n</w:t>
      </w:r>
      <w:r w:rsidRPr="001B570D">
        <w:rPr>
          <w:szCs w:val="24"/>
          <w:shd w:val="clear" w:color="auto" w:fill="FFFFFF"/>
        </w:rPr>
        <w:t>. 6</w:t>
      </w:r>
      <w:r w:rsidR="00A33243">
        <w:rPr>
          <w:szCs w:val="24"/>
          <w:shd w:val="clear" w:color="auto" w:fill="FFFFFF"/>
        </w:rPr>
        <w:t>,</w:t>
      </w:r>
      <w:r w:rsidRPr="001B570D">
        <w:rPr>
          <w:szCs w:val="24"/>
          <w:shd w:val="clear" w:color="auto" w:fill="FFFFFF"/>
        </w:rPr>
        <w:t xml:space="preserve"> </w:t>
      </w:r>
      <w:r w:rsidR="00A33243">
        <w:rPr>
          <w:szCs w:val="24"/>
          <w:shd w:val="clear" w:color="auto" w:fill="FFFFFF"/>
        </w:rPr>
        <w:t>dez</w:t>
      </w:r>
      <w:r w:rsidRPr="001B570D">
        <w:rPr>
          <w:szCs w:val="24"/>
          <w:shd w:val="clear" w:color="auto" w:fill="FFFFFF"/>
        </w:rPr>
        <w:t xml:space="preserve"> 2008. </w:t>
      </w:r>
    </w:p>
    <w:p w14:paraId="23D25B19" w14:textId="4EF4BCF4" w:rsidR="0063719B" w:rsidRPr="001B570D" w:rsidRDefault="0063719B" w:rsidP="008325AA">
      <w:pPr>
        <w:spacing w:after="0"/>
        <w:ind w:firstLine="0"/>
        <w:rPr>
          <w:szCs w:val="24"/>
          <w:shd w:val="clear" w:color="auto" w:fill="FFFFFF"/>
        </w:rPr>
      </w:pPr>
      <w:r w:rsidRPr="001B570D">
        <w:rPr>
          <w:szCs w:val="24"/>
          <w:shd w:val="clear" w:color="auto" w:fill="FFFFFF"/>
        </w:rPr>
        <w:t xml:space="preserve">CASTRO, M. A. R.; MARTINEZ, A. L. Income smoothing, custo de capital de terceiros e estrutura de capital no Brasil. </w:t>
      </w:r>
      <w:r w:rsidRPr="001B570D">
        <w:rPr>
          <w:b/>
          <w:szCs w:val="24"/>
          <w:shd w:val="clear" w:color="auto" w:fill="FFFFFF"/>
        </w:rPr>
        <w:t>Revista de Administração Mackenzie</w:t>
      </w:r>
      <w:r w:rsidR="00A33243">
        <w:rPr>
          <w:b/>
          <w:szCs w:val="24"/>
          <w:shd w:val="clear" w:color="auto" w:fill="FFFFFF"/>
        </w:rPr>
        <w:t>,</w:t>
      </w:r>
      <w:r w:rsidRPr="001B570D">
        <w:rPr>
          <w:szCs w:val="24"/>
          <w:shd w:val="clear" w:color="auto" w:fill="FFFFFF"/>
        </w:rPr>
        <w:t xml:space="preserve"> São Paulo, v. 10, n. 6, p. 25 -46, </w:t>
      </w:r>
      <w:r w:rsidR="00A33243">
        <w:rPr>
          <w:szCs w:val="24"/>
          <w:shd w:val="clear" w:color="auto" w:fill="FFFFFF"/>
        </w:rPr>
        <w:t>n</w:t>
      </w:r>
      <w:r w:rsidRPr="001B570D">
        <w:rPr>
          <w:szCs w:val="24"/>
          <w:shd w:val="clear" w:color="auto" w:fill="FFFFFF"/>
        </w:rPr>
        <w:t>ov./dez., 2009.</w:t>
      </w:r>
    </w:p>
    <w:p w14:paraId="57FDA479" w14:textId="13A5CBCF" w:rsidR="0063719B" w:rsidRPr="001B570D" w:rsidRDefault="0063719B" w:rsidP="008325AA">
      <w:pPr>
        <w:spacing w:after="0"/>
        <w:ind w:firstLine="0"/>
        <w:rPr>
          <w:szCs w:val="24"/>
          <w:shd w:val="clear" w:color="auto" w:fill="FFFFFF"/>
          <w:lang w:val="en-US"/>
        </w:rPr>
      </w:pPr>
      <w:r w:rsidRPr="001B570D">
        <w:rPr>
          <w:szCs w:val="24"/>
          <w:shd w:val="clear" w:color="auto" w:fill="FFFFFF"/>
          <w:lang w:val="en-US"/>
        </w:rPr>
        <w:t>CHENG, P</w:t>
      </w:r>
      <w:r w:rsidR="00350E90" w:rsidRPr="001B570D">
        <w:rPr>
          <w:szCs w:val="24"/>
          <w:shd w:val="clear" w:color="auto" w:fill="FFFFFF"/>
          <w:lang w:val="en-US"/>
        </w:rPr>
        <w:t>.</w:t>
      </w:r>
      <w:r w:rsidRPr="001B570D">
        <w:rPr>
          <w:szCs w:val="24"/>
          <w:shd w:val="clear" w:color="auto" w:fill="FFFFFF"/>
          <w:lang w:val="en-US"/>
        </w:rPr>
        <w:t>; AERTS, W</w:t>
      </w:r>
      <w:r w:rsidR="00350E90" w:rsidRPr="001B570D">
        <w:rPr>
          <w:szCs w:val="24"/>
          <w:shd w:val="clear" w:color="auto" w:fill="FFFFFF"/>
          <w:lang w:val="en-US"/>
        </w:rPr>
        <w:t>.</w:t>
      </w:r>
      <w:r w:rsidRPr="001B570D">
        <w:rPr>
          <w:szCs w:val="24"/>
          <w:shd w:val="clear" w:color="auto" w:fill="FFFFFF"/>
          <w:lang w:val="en-US"/>
        </w:rPr>
        <w:t>; JORISSEN, A. Earnings management asset restructuring, and the threat of exchange delisting in an earnings-based regulatory regime.  </w:t>
      </w:r>
      <w:r w:rsidRPr="001B570D">
        <w:rPr>
          <w:b/>
          <w:szCs w:val="24"/>
          <w:shd w:val="clear" w:color="auto" w:fill="FFFFFF"/>
          <w:lang w:val="en-US"/>
        </w:rPr>
        <w:t>Corporate Governance</w:t>
      </w:r>
      <w:r w:rsidR="00A33243">
        <w:rPr>
          <w:szCs w:val="24"/>
          <w:shd w:val="clear" w:color="auto" w:fill="FFFFFF"/>
          <w:lang w:val="en-US"/>
        </w:rPr>
        <w:t>,</w:t>
      </w:r>
      <w:r w:rsidRPr="001B570D">
        <w:rPr>
          <w:szCs w:val="24"/>
          <w:shd w:val="clear" w:color="auto" w:fill="FFFFFF"/>
          <w:lang w:val="en-US"/>
        </w:rPr>
        <w:t xml:space="preserve"> </w:t>
      </w:r>
      <w:r w:rsidR="00A33243">
        <w:rPr>
          <w:szCs w:val="24"/>
          <w:shd w:val="clear" w:color="auto" w:fill="FFFFFF"/>
          <w:lang w:val="en-US"/>
        </w:rPr>
        <w:t xml:space="preserve">v. </w:t>
      </w:r>
      <w:r w:rsidRPr="001B570D">
        <w:rPr>
          <w:szCs w:val="24"/>
          <w:shd w:val="clear" w:color="auto" w:fill="FFFFFF"/>
          <w:lang w:val="en-US"/>
        </w:rPr>
        <w:t>18</w:t>
      </w:r>
      <w:r w:rsidR="00A33243">
        <w:rPr>
          <w:szCs w:val="24"/>
          <w:shd w:val="clear" w:color="auto" w:fill="FFFFFF"/>
          <w:lang w:val="en-US"/>
        </w:rPr>
        <w:t>,</w:t>
      </w:r>
      <w:r w:rsidRPr="001B570D">
        <w:rPr>
          <w:szCs w:val="24"/>
          <w:shd w:val="clear" w:color="auto" w:fill="FFFFFF"/>
          <w:lang w:val="en-US"/>
        </w:rPr>
        <w:t xml:space="preserve"> </w:t>
      </w:r>
      <w:r w:rsidR="00A33243">
        <w:rPr>
          <w:szCs w:val="24"/>
          <w:shd w:val="clear" w:color="auto" w:fill="FFFFFF"/>
          <w:lang w:val="en-US"/>
        </w:rPr>
        <w:t xml:space="preserve">n. </w:t>
      </w:r>
      <w:r w:rsidRPr="001B570D">
        <w:rPr>
          <w:szCs w:val="24"/>
          <w:shd w:val="clear" w:color="auto" w:fill="FFFFFF"/>
          <w:lang w:val="en-US"/>
        </w:rPr>
        <w:t>5, p. 438-456, 2010.</w:t>
      </w:r>
    </w:p>
    <w:p w14:paraId="389BA05B" w14:textId="6B317869" w:rsidR="0063719B" w:rsidRPr="001B570D" w:rsidRDefault="0063719B" w:rsidP="008325AA">
      <w:pPr>
        <w:spacing w:after="0"/>
        <w:ind w:firstLine="0"/>
        <w:rPr>
          <w:bCs/>
          <w:szCs w:val="24"/>
          <w:shd w:val="clear" w:color="auto" w:fill="FFFFFF"/>
          <w:lang w:val="en-US"/>
        </w:rPr>
      </w:pPr>
      <w:r w:rsidRPr="001B570D">
        <w:rPr>
          <w:szCs w:val="24"/>
          <w:shd w:val="clear" w:color="auto" w:fill="FFFFFF"/>
          <w:lang w:val="en-US"/>
        </w:rPr>
        <w:t>CHOUDHARY, P</w:t>
      </w:r>
      <w:r w:rsidR="00350E90" w:rsidRPr="001B570D">
        <w:rPr>
          <w:szCs w:val="24"/>
          <w:shd w:val="clear" w:color="auto" w:fill="FFFFFF"/>
          <w:lang w:val="en-US"/>
        </w:rPr>
        <w:t>.</w:t>
      </w:r>
      <w:r w:rsidRPr="001B570D">
        <w:rPr>
          <w:szCs w:val="24"/>
          <w:shd w:val="clear" w:color="auto" w:fill="FFFFFF"/>
          <w:lang w:val="en-US"/>
        </w:rPr>
        <w:t>; SCHLOETZER, J. D.; STURGESS, J</w:t>
      </w:r>
      <w:r w:rsidR="00350E90" w:rsidRPr="001B570D">
        <w:rPr>
          <w:szCs w:val="24"/>
          <w:shd w:val="clear" w:color="auto" w:fill="FFFFFF"/>
          <w:lang w:val="en-US"/>
        </w:rPr>
        <w:t xml:space="preserve">. D. </w:t>
      </w:r>
      <w:r w:rsidRPr="001B570D">
        <w:rPr>
          <w:szCs w:val="24"/>
          <w:shd w:val="clear" w:color="auto" w:fill="FFFFFF"/>
          <w:lang w:val="en-US"/>
        </w:rPr>
        <w:t xml:space="preserve">Boards, Auditors, Attorneys and Compliance with Mandatory SEC Disclosure Rules. </w:t>
      </w:r>
      <w:r w:rsidRPr="001B570D">
        <w:rPr>
          <w:b/>
          <w:bCs/>
          <w:szCs w:val="24"/>
          <w:shd w:val="clear" w:color="auto" w:fill="FFFFFF"/>
          <w:lang w:val="en-US"/>
        </w:rPr>
        <w:t>Managerial and Decision Economics</w:t>
      </w:r>
      <w:r w:rsidR="001111AD" w:rsidRPr="001B570D">
        <w:rPr>
          <w:bCs/>
          <w:szCs w:val="24"/>
          <w:shd w:val="clear" w:color="auto" w:fill="FFFFFF"/>
          <w:lang w:val="en-US"/>
        </w:rPr>
        <w:t>;</w:t>
      </w:r>
      <w:r w:rsidRPr="001B570D">
        <w:rPr>
          <w:bCs/>
          <w:szCs w:val="24"/>
          <w:shd w:val="clear" w:color="auto" w:fill="FFFFFF"/>
          <w:lang w:val="en-US"/>
        </w:rPr>
        <w:t xml:space="preserve"> </w:t>
      </w:r>
      <w:r w:rsidR="001111AD" w:rsidRPr="001B570D">
        <w:rPr>
          <w:bCs/>
          <w:szCs w:val="24"/>
          <w:shd w:val="clear" w:color="auto" w:fill="FFFFFF"/>
          <w:lang w:val="en-US"/>
        </w:rPr>
        <w:t>v.</w:t>
      </w:r>
      <w:r w:rsidRPr="001B570D">
        <w:rPr>
          <w:bCs/>
          <w:szCs w:val="24"/>
          <w:shd w:val="clear" w:color="auto" w:fill="FFFFFF"/>
          <w:lang w:val="en-US"/>
        </w:rPr>
        <w:t xml:space="preserve"> 34, </w:t>
      </w:r>
      <w:r w:rsidR="001111AD" w:rsidRPr="001B570D">
        <w:rPr>
          <w:bCs/>
          <w:szCs w:val="24"/>
          <w:shd w:val="clear" w:color="auto" w:fill="FFFFFF"/>
          <w:lang w:val="en-US"/>
        </w:rPr>
        <w:t>n.</w:t>
      </w:r>
      <w:r w:rsidRPr="001B570D">
        <w:rPr>
          <w:bCs/>
          <w:szCs w:val="24"/>
          <w:shd w:val="clear" w:color="auto" w:fill="FFFFFF"/>
          <w:lang w:val="en-US"/>
        </w:rPr>
        <w:t xml:space="preserve"> 7-8, p. 471–487, </w:t>
      </w:r>
      <w:r w:rsidR="00A33243">
        <w:rPr>
          <w:bCs/>
          <w:szCs w:val="24"/>
          <w:shd w:val="clear" w:color="auto" w:fill="FFFFFF"/>
          <w:lang w:val="en-US"/>
        </w:rPr>
        <w:t>o</w:t>
      </w:r>
      <w:r w:rsidR="001111AD" w:rsidRPr="001B570D">
        <w:rPr>
          <w:bCs/>
          <w:szCs w:val="24"/>
          <w:shd w:val="clear" w:color="auto" w:fill="FFFFFF"/>
          <w:lang w:val="en-US"/>
        </w:rPr>
        <w:t>ut</w:t>
      </w:r>
      <w:r w:rsidRPr="001B570D">
        <w:rPr>
          <w:bCs/>
          <w:szCs w:val="24"/>
          <w:shd w:val="clear" w:color="auto" w:fill="FFFFFF"/>
          <w:lang w:val="en-US"/>
        </w:rPr>
        <w:t>-</w:t>
      </w:r>
      <w:r w:rsidR="00A33243">
        <w:rPr>
          <w:bCs/>
          <w:szCs w:val="24"/>
          <w:shd w:val="clear" w:color="auto" w:fill="FFFFFF"/>
          <w:lang w:val="en-US"/>
        </w:rPr>
        <w:t>d</w:t>
      </w:r>
      <w:r w:rsidRPr="001B570D">
        <w:rPr>
          <w:bCs/>
          <w:szCs w:val="24"/>
          <w:shd w:val="clear" w:color="auto" w:fill="FFFFFF"/>
          <w:lang w:val="en-US"/>
        </w:rPr>
        <w:t>e</w:t>
      </w:r>
      <w:r w:rsidR="001111AD" w:rsidRPr="001B570D">
        <w:rPr>
          <w:bCs/>
          <w:szCs w:val="24"/>
          <w:shd w:val="clear" w:color="auto" w:fill="FFFFFF"/>
          <w:lang w:val="en-US"/>
        </w:rPr>
        <w:t>z</w:t>
      </w:r>
      <w:r w:rsidRPr="001B570D">
        <w:rPr>
          <w:bCs/>
          <w:szCs w:val="24"/>
          <w:shd w:val="clear" w:color="auto" w:fill="FFFFFF"/>
          <w:lang w:val="en-US"/>
        </w:rPr>
        <w:t xml:space="preserve"> 2013.</w:t>
      </w:r>
    </w:p>
    <w:p w14:paraId="45639A33" w14:textId="5437B0B8" w:rsidR="0063719B" w:rsidRPr="001B570D" w:rsidRDefault="0063719B" w:rsidP="008325AA">
      <w:pPr>
        <w:spacing w:after="0"/>
        <w:ind w:firstLine="0"/>
        <w:rPr>
          <w:bCs/>
          <w:szCs w:val="24"/>
          <w:shd w:val="clear" w:color="auto" w:fill="FFFFFF"/>
        </w:rPr>
      </w:pPr>
      <w:r w:rsidRPr="001B570D">
        <w:rPr>
          <w:bCs/>
          <w:szCs w:val="24"/>
          <w:shd w:val="clear" w:color="auto" w:fill="FFFFFF"/>
          <w:lang w:val="en-US"/>
        </w:rPr>
        <w:lastRenderedPageBreak/>
        <w:t xml:space="preserve">COOKE, T. E. The impact of size, stock market listing and industry type on disclosure in the annual reports of Japanese listed corporations. </w:t>
      </w:r>
      <w:r w:rsidRPr="001B570D">
        <w:rPr>
          <w:b/>
          <w:bCs/>
          <w:szCs w:val="24"/>
          <w:shd w:val="clear" w:color="auto" w:fill="FFFFFF"/>
        </w:rPr>
        <w:t>Accounting and Business Research</w:t>
      </w:r>
      <w:r w:rsidR="00A33243">
        <w:rPr>
          <w:bCs/>
          <w:szCs w:val="24"/>
          <w:shd w:val="clear" w:color="auto" w:fill="FFFFFF"/>
        </w:rPr>
        <w:t>,</w:t>
      </w:r>
      <w:r w:rsidRPr="001B570D">
        <w:rPr>
          <w:bCs/>
          <w:szCs w:val="24"/>
          <w:shd w:val="clear" w:color="auto" w:fill="FFFFFF"/>
        </w:rPr>
        <w:t xml:space="preserve"> </w:t>
      </w:r>
      <w:r w:rsidR="00A33243">
        <w:rPr>
          <w:bCs/>
          <w:szCs w:val="24"/>
          <w:shd w:val="clear" w:color="auto" w:fill="FFFFFF"/>
        </w:rPr>
        <w:t xml:space="preserve">v. </w:t>
      </w:r>
      <w:r w:rsidRPr="001B570D">
        <w:rPr>
          <w:bCs/>
          <w:szCs w:val="24"/>
          <w:shd w:val="clear" w:color="auto" w:fill="FFFFFF"/>
        </w:rPr>
        <w:t>22</w:t>
      </w:r>
      <w:r w:rsidR="00A33243">
        <w:rPr>
          <w:bCs/>
          <w:szCs w:val="24"/>
          <w:shd w:val="clear" w:color="auto" w:fill="FFFFFF"/>
        </w:rPr>
        <w:t>, n.</w:t>
      </w:r>
      <w:r w:rsidRPr="001B570D">
        <w:rPr>
          <w:bCs/>
          <w:szCs w:val="24"/>
          <w:shd w:val="clear" w:color="auto" w:fill="FFFFFF"/>
        </w:rPr>
        <w:t>87, p. 229 –237. 1992</w:t>
      </w:r>
    </w:p>
    <w:p w14:paraId="6793A765" w14:textId="368D7C8C" w:rsidR="0063719B" w:rsidRPr="001B570D" w:rsidRDefault="0063719B" w:rsidP="008325AA">
      <w:pPr>
        <w:spacing w:after="0"/>
        <w:ind w:firstLine="0"/>
        <w:rPr>
          <w:szCs w:val="24"/>
          <w:shd w:val="clear" w:color="auto" w:fill="FFFFFF"/>
          <w:lang w:val="en-US"/>
        </w:rPr>
      </w:pPr>
      <w:r w:rsidRPr="001B570D">
        <w:rPr>
          <w:szCs w:val="24"/>
          <w:shd w:val="clear" w:color="auto" w:fill="FFFFFF"/>
        </w:rPr>
        <w:t>COSTA, T</w:t>
      </w:r>
      <w:r w:rsidR="00350E90" w:rsidRPr="001B570D">
        <w:rPr>
          <w:szCs w:val="24"/>
          <w:shd w:val="clear" w:color="auto" w:fill="FFFFFF"/>
        </w:rPr>
        <w:t xml:space="preserve">. </w:t>
      </w:r>
      <w:r w:rsidRPr="001B570D">
        <w:rPr>
          <w:szCs w:val="24"/>
          <w:shd w:val="clear" w:color="auto" w:fill="FFFFFF"/>
        </w:rPr>
        <w:t>A.; SILVA, A</w:t>
      </w:r>
      <w:r w:rsidR="00350E90" w:rsidRPr="001B570D">
        <w:rPr>
          <w:szCs w:val="24"/>
          <w:shd w:val="clear" w:color="auto" w:fill="FFFFFF"/>
        </w:rPr>
        <w:t>.</w:t>
      </w:r>
      <w:r w:rsidR="00715CEC" w:rsidRPr="001B570D">
        <w:rPr>
          <w:szCs w:val="24"/>
          <w:shd w:val="clear" w:color="auto" w:fill="FFFFFF"/>
        </w:rPr>
        <w:t xml:space="preserve"> </w:t>
      </w:r>
      <w:r w:rsidRPr="001B570D">
        <w:rPr>
          <w:szCs w:val="24"/>
          <w:shd w:val="clear" w:color="auto" w:fill="FFFFFF"/>
        </w:rPr>
        <w:t>H.</w:t>
      </w:r>
      <w:r w:rsidR="00715CEC" w:rsidRPr="001B570D">
        <w:rPr>
          <w:szCs w:val="24"/>
          <w:shd w:val="clear" w:color="auto" w:fill="FFFFFF"/>
        </w:rPr>
        <w:t xml:space="preserve"> </w:t>
      </w:r>
      <w:r w:rsidRPr="001B570D">
        <w:rPr>
          <w:szCs w:val="24"/>
          <w:shd w:val="clear" w:color="auto" w:fill="FFFFFF"/>
        </w:rPr>
        <w:t>C.</w:t>
      </w:r>
      <w:r w:rsidR="00715CEC" w:rsidRPr="001B570D">
        <w:rPr>
          <w:szCs w:val="24"/>
          <w:shd w:val="clear" w:color="auto" w:fill="FFFFFF"/>
        </w:rPr>
        <w:t xml:space="preserve"> </w:t>
      </w:r>
      <w:r w:rsidRPr="001B570D">
        <w:rPr>
          <w:szCs w:val="24"/>
          <w:shd w:val="clear" w:color="auto" w:fill="FFFFFF"/>
        </w:rPr>
        <w:t>e; LAURENCEL, L</w:t>
      </w:r>
      <w:r w:rsidR="00350E90" w:rsidRPr="001B570D">
        <w:rPr>
          <w:szCs w:val="24"/>
          <w:shd w:val="clear" w:color="auto" w:fill="FFFFFF"/>
        </w:rPr>
        <w:t>.</w:t>
      </w:r>
      <w:r w:rsidRPr="001B570D">
        <w:rPr>
          <w:szCs w:val="24"/>
          <w:shd w:val="clear" w:color="auto" w:fill="FFFFFF"/>
        </w:rPr>
        <w:t xml:space="preserve"> C. Escolha de práticas contábeis: um estudo sobre propriedades para investimento em empresas brasileiras não financeiras de capital aberto. </w:t>
      </w:r>
      <w:r w:rsidRPr="001B570D">
        <w:rPr>
          <w:b/>
          <w:szCs w:val="24"/>
          <w:shd w:val="clear" w:color="auto" w:fill="FFFFFF"/>
          <w:lang w:val="en-US"/>
        </w:rPr>
        <w:t>Revista de Contabilidade e Organizações</w:t>
      </w:r>
      <w:r w:rsidRPr="001B570D">
        <w:rPr>
          <w:szCs w:val="24"/>
          <w:shd w:val="clear" w:color="auto" w:fill="FFFFFF"/>
          <w:lang w:val="en-US"/>
        </w:rPr>
        <w:t xml:space="preserve">. </w:t>
      </w:r>
      <w:r w:rsidR="001111AD" w:rsidRPr="001B570D">
        <w:rPr>
          <w:szCs w:val="24"/>
          <w:shd w:val="clear" w:color="auto" w:fill="FFFFFF"/>
          <w:lang w:val="en-US"/>
        </w:rPr>
        <w:t xml:space="preserve">v. </w:t>
      </w:r>
      <w:r w:rsidRPr="001B570D">
        <w:rPr>
          <w:szCs w:val="24"/>
          <w:shd w:val="clear" w:color="auto" w:fill="FFFFFF"/>
          <w:lang w:val="en-US"/>
        </w:rPr>
        <w:t>18</w:t>
      </w:r>
      <w:r w:rsidR="001111AD" w:rsidRPr="001B570D">
        <w:rPr>
          <w:szCs w:val="24"/>
          <w:shd w:val="clear" w:color="auto" w:fill="FFFFFF"/>
          <w:lang w:val="en-US"/>
        </w:rPr>
        <w:t>,</w:t>
      </w:r>
      <w:r w:rsidRPr="001B570D">
        <w:rPr>
          <w:szCs w:val="24"/>
          <w:shd w:val="clear" w:color="auto" w:fill="FFFFFF"/>
          <w:lang w:val="en-US"/>
        </w:rPr>
        <w:t xml:space="preserve"> p. 27-36, 2013.</w:t>
      </w:r>
    </w:p>
    <w:p w14:paraId="2689B4CB" w14:textId="3D73185D" w:rsidR="0063719B" w:rsidRPr="001B570D" w:rsidRDefault="0063719B" w:rsidP="008325AA">
      <w:pPr>
        <w:spacing w:after="0"/>
        <w:ind w:firstLine="0"/>
        <w:rPr>
          <w:szCs w:val="24"/>
          <w:shd w:val="clear" w:color="auto" w:fill="FFFFFF"/>
          <w:lang w:val="en-US"/>
        </w:rPr>
      </w:pPr>
      <w:r w:rsidRPr="001B570D">
        <w:rPr>
          <w:szCs w:val="24"/>
          <w:shd w:val="clear" w:color="auto" w:fill="FFFFFF"/>
          <w:lang w:val="en-US"/>
        </w:rPr>
        <w:t>DEWENTER, K. L.; MALATESTA, P</w:t>
      </w:r>
      <w:r w:rsidR="00350E90" w:rsidRPr="001B570D">
        <w:rPr>
          <w:szCs w:val="24"/>
          <w:shd w:val="clear" w:color="auto" w:fill="FFFFFF"/>
          <w:lang w:val="en-US"/>
        </w:rPr>
        <w:t>.</w:t>
      </w:r>
      <w:r w:rsidRPr="001B570D">
        <w:rPr>
          <w:szCs w:val="24"/>
          <w:shd w:val="clear" w:color="auto" w:fill="FFFFFF"/>
          <w:lang w:val="en-US"/>
        </w:rPr>
        <w:t xml:space="preserve"> H. State – Owned and Privately Owned Firms: An Empirical Analysis of Profitability, Leverage, and Labor Intensity”. </w:t>
      </w:r>
      <w:r w:rsidRPr="001B570D">
        <w:rPr>
          <w:b/>
          <w:szCs w:val="24"/>
          <w:shd w:val="clear" w:color="auto" w:fill="FFFFFF"/>
          <w:lang w:val="en-US"/>
        </w:rPr>
        <w:t>American Economic Review</w:t>
      </w:r>
      <w:r w:rsidR="00A33243">
        <w:rPr>
          <w:szCs w:val="24"/>
          <w:shd w:val="clear" w:color="auto" w:fill="FFFFFF"/>
          <w:lang w:val="en-US"/>
        </w:rPr>
        <w:t>,</w:t>
      </w:r>
      <w:r w:rsidRPr="001B570D">
        <w:rPr>
          <w:szCs w:val="24"/>
          <w:shd w:val="clear" w:color="auto" w:fill="FFFFFF"/>
          <w:lang w:val="en-US"/>
        </w:rPr>
        <w:t xml:space="preserve"> </w:t>
      </w:r>
      <w:r w:rsidR="00F66737" w:rsidRPr="001B570D">
        <w:rPr>
          <w:szCs w:val="24"/>
          <w:shd w:val="clear" w:color="auto" w:fill="FFFFFF"/>
          <w:lang w:val="en-US"/>
        </w:rPr>
        <w:t xml:space="preserve">v. </w:t>
      </w:r>
      <w:r w:rsidRPr="001B570D">
        <w:rPr>
          <w:szCs w:val="24"/>
          <w:shd w:val="clear" w:color="auto" w:fill="FFFFFF"/>
          <w:lang w:val="en-US"/>
        </w:rPr>
        <w:t>91 (1), p 320-334, 2001.</w:t>
      </w:r>
    </w:p>
    <w:p w14:paraId="305129E3" w14:textId="1CB32D79" w:rsidR="009B6830" w:rsidRPr="001B570D" w:rsidRDefault="009B6830" w:rsidP="009B6830">
      <w:pPr>
        <w:spacing w:line="240" w:lineRule="auto"/>
        <w:ind w:firstLine="0"/>
        <w:rPr>
          <w:szCs w:val="24"/>
          <w:shd w:val="clear" w:color="auto" w:fill="FFFFFF"/>
        </w:rPr>
      </w:pPr>
      <w:r w:rsidRPr="001B570D">
        <w:rPr>
          <w:szCs w:val="24"/>
          <w:shd w:val="clear" w:color="auto" w:fill="FFFFFF"/>
          <w:lang w:val="en-US"/>
        </w:rPr>
        <w:t xml:space="preserve">ECKEL, N. The income-smoothing hypothesis revisited. </w:t>
      </w:r>
      <w:r w:rsidRPr="001B570D">
        <w:rPr>
          <w:b/>
          <w:szCs w:val="24"/>
          <w:shd w:val="clear" w:color="auto" w:fill="FFFFFF"/>
        </w:rPr>
        <w:t>Abacus</w:t>
      </w:r>
      <w:r w:rsidRPr="001B570D">
        <w:rPr>
          <w:szCs w:val="24"/>
          <w:shd w:val="clear" w:color="auto" w:fill="FFFFFF"/>
        </w:rPr>
        <w:t>. v.17, n.1, p. 28-40, jun., 1981.</w:t>
      </w:r>
    </w:p>
    <w:p w14:paraId="5E9B3525" w14:textId="0E10A5B2" w:rsidR="0063719B" w:rsidRPr="001B570D" w:rsidRDefault="0063719B" w:rsidP="008325AA">
      <w:pPr>
        <w:spacing w:after="0"/>
        <w:ind w:firstLine="0"/>
        <w:rPr>
          <w:szCs w:val="24"/>
          <w:shd w:val="clear" w:color="auto" w:fill="FFFFFF"/>
          <w:lang w:val="en-US"/>
        </w:rPr>
      </w:pPr>
      <w:r w:rsidRPr="001B570D">
        <w:rPr>
          <w:szCs w:val="24"/>
          <w:shd w:val="clear" w:color="auto" w:fill="FFFFFF"/>
          <w:lang w:val="en-US"/>
        </w:rPr>
        <w:t xml:space="preserve">FOX, M. B. Civil liability and mandatory disclosure. </w:t>
      </w:r>
      <w:r w:rsidRPr="001B570D">
        <w:rPr>
          <w:b/>
          <w:szCs w:val="24"/>
          <w:shd w:val="clear" w:color="auto" w:fill="FFFFFF"/>
          <w:lang w:val="en-US"/>
        </w:rPr>
        <w:t>Columbia Law Review</w:t>
      </w:r>
      <w:r w:rsidR="00A33243">
        <w:rPr>
          <w:szCs w:val="24"/>
          <w:shd w:val="clear" w:color="auto" w:fill="FFFFFF"/>
          <w:lang w:val="en-US"/>
        </w:rPr>
        <w:t>,</w:t>
      </w:r>
      <w:r w:rsidRPr="001B570D">
        <w:rPr>
          <w:b/>
          <w:szCs w:val="24"/>
          <w:shd w:val="clear" w:color="auto" w:fill="FFFFFF"/>
          <w:lang w:val="en-US"/>
        </w:rPr>
        <w:t xml:space="preserve"> </w:t>
      </w:r>
      <w:r w:rsidRPr="001B570D">
        <w:rPr>
          <w:szCs w:val="24"/>
          <w:shd w:val="clear" w:color="auto" w:fill="FFFFFF"/>
          <w:lang w:val="en-US"/>
        </w:rPr>
        <w:t xml:space="preserve">v. 109, </w:t>
      </w:r>
      <w:r w:rsidR="00F66737" w:rsidRPr="001B570D">
        <w:rPr>
          <w:szCs w:val="24"/>
          <w:shd w:val="clear" w:color="auto" w:fill="FFFFFF"/>
          <w:lang w:val="en-US"/>
        </w:rPr>
        <w:t>n</w:t>
      </w:r>
      <w:r w:rsidRPr="001B570D">
        <w:rPr>
          <w:szCs w:val="24"/>
          <w:shd w:val="clear" w:color="auto" w:fill="FFFFFF"/>
          <w:lang w:val="en-US"/>
        </w:rPr>
        <w:t xml:space="preserve">. 2, </w:t>
      </w:r>
      <w:r w:rsidR="00A33243">
        <w:rPr>
          <w:szCs w:val="24"/>
          <w:shd w:val="clear" w:color="auto" w:fill="FFFFFF"/>
          <w:lang w:val="en-US"/>
        </w:rPr>
        <w:t>m</w:t>
      </w:r>
      <w:r w:rsidRPr="001B570D">
        <w:rPr>
          <w:szCs w:val="24"/>
          <w:shd w:val="clear" w:color="auto" w:fill="FFFFFF"/>
          <w:lang w:val="en-US"/>
        </w:rPr>
        <w:t>a</w:t>
      </w:r>
      <w:r w:rsidR="00F66737" w:rsidRPr="001B570D">
        <w:rPr>
          <w:szCs w:val="24"/>
          <w:shd w:val="clear" w:color="auto" w:fill="FFFFFF"/>
          <w:lang w:val="en-US"/>
        </w:rPr>
        <w:t>r.</w:t>
      </w:r>
      <w:r w:rsidRPr="001B570D">
        <w:rPr>
          <w:szCs w:val="24"/>
          <w:shd w:val="clear" w:color="auto" w:fill="FFFFFF"/>
          <w:lang w:val="en-US"/>
        </w:rPr>
        <w:t xml:space="preserve"> 2009. </w:t>
      </w:r>
    </w:p>
    <w:p w14:paraId="0352B50C" w14:textId="6493B32D" w:rsidR="0063719B" w:rsidRPr="001B570D" w:rsidRDefault="0063719B" w:rsidP="008325AA">
      <w:pPr>
        <w:spacing w:after="0"/>
        <w:ind w:firstLine="0"/>
        <w:rPr>
          <w:szCs w:val="24"/>
          <w:shd w:val="clear" w:color="auto" w:fill="FFFFFF"/>
          <w:lang w:val="en-US"/>
        </w:rPr>
      </w:pPr>
      <w:r w:rsidRPr="001B570D">
        <w:rPr>
          <w:szCs w:val="24"/>
          <w:shd w:val="clear" w:color="auto" w:fill="FFFFFF"/>
          <w:lang w:val="en-US"/>
        </w:rPr>
        <w:t>GINER, B. The influence of company characteristics and accounting regulation on information disclosed by Spanish firms.</w:t>
      </w:r>
      <w:r w:rsidR="00366969" w:rsidRPr="001B570D">
        <w:rPr>
          <w:szCs w:val="24"/>
          <w:shd w:val="clear" w:color="auto" w:fill="FFFFFF"/>
          <w:lang w:val="en-US"/>
        </w:rPr>
        <w:t xml:space="preserve"> </w:t>
      </w:r>
      <w:r w:rsidRPr="001B570D">
        <w:rPr>
          <w:b/>
          <w:szCs w:val="24"/>
          <w:shd w:val="clear" w:color="auto" w:fill="FFFFFF"/>
          <w:lang w:val="en-US"/>
        </w:rPr>
        <w:t>The European Accounting Review</w:t>
      </w:r>
      <w:r w:rsidR="00A33243">
        <w:rPr>
          <w:szCs w:val="24"/>
          <w:shd w:val="clear" w:color="auto" w:fill="FFFFFF"/>
          <w:lang w:val="en-US"/>
        </w:rPr>
        <w:t>,</w:t>
      </w:r>
      <w:r w:rsidRPr="001B570D">
        <w:rPr>
          <w:szCs w:val="24"/>
          <w:shd w:val="clear" w:color="auto" w:fill="FFFFFF"/>
          <w:lang w:val="en-US"/>
        </w:rPr>
        <w:t xml:space="preserve"> </w:t>
      </w:r>
      <w:r w:rsidR="00A33243">
        <w:rPr>
          <w:szCs w:val="24"/>
          <w:shd w:val="clear" w:color="auto" w:fill="FFFFFF"/>
          <w:lang w:val="en-US"/>
        </w:rPr>
        <w:t xml:space="preserve">v. </w:t>
      </w:r>
      <w:r w:rsidRPr="001B570D">
        <w:rPr>
          <w:szCs w:val="24"/>
          <w:shd w:val="clear" w:color="auto" w:fill="FFFFFF"/>
          <w:lang w:val="en-US"/>
        </w:rPr>
        <w:t>16(1), p. 45 –68, 1997.</w:t>
      </w:r>
    </w:p>
    <w:p w14:paraId="16F8305B" w14:textId="6E2DB493" w:rsidR="0063719B" w:rsidRPr="001B570D" w:rsidRDefault="0063719B" w:rsidP="008325AA">
      <w:pPr>
        <w:spacing w:after="0"/>
        <w:ind w:firstLine="0"/>
        <w:rPr>
          <w:szCs w:val="24"/>
          <w:shd w:val="clear" w:color="auto" w:fill="FFFFFF"/>
          <w:lang w:val="en-US"/>
        </w:rPr>
      </w:pPr>
      <w:r w:rsidRPr="001B570D">
        <w:rPr>
          <w:szCs w:val="24"/>
          <w:shd w:val="clear" w:color="auto" w:fill="FFFFFF"/>
          <w:lang w:val="en-US"/>
        </w:rPr>
        <w:t>GODFREY, J</w:t>
      </w:r>
      <w:r w:rsidR="00621F3F" w:rsidRPr="001B570D">
        <w:rPr>
          <w:szCs w:val="24"/>
          <w:shd w:val="clear" w:color="auto" w:fill="FFFFFF"/>
          <w:lang w:val="en-US"/>
        </w:rPr>
        <w:t>.</w:t>
      </w:r>
      <w:r w:rsidR="00366969" w:rsidRPr="001B570D">
        <w:rPr>
          <w:szCs w:val="24"/>
          <w:shd w:val="clear" w:color="auto" w:fill="FFFFFF"/>
          <w:lang w:val="en-US"/>
        </w:rPr>
        <w:t xml:space="preserve"> </w:t>
      </w:r>
      <w:r w:rsidRPr="001B570D">
        <w:rPr>
          <w:szCs w:val="24"/>
          <w:shd w:val="clear" w:color="auto" w:fill="FFFFFF"/>
          <w:lang w:val="en-US"/>
        </w:rPr>
        <w:t>M.; JONES, K</w:t>
      </w:r>
      <w:r w:rsidR="00621F3F" w:rsidRPr="001B570D">
        <w:rPr>
          <w:szCs w:val="24"/>
          <w:shd w:val="clear" w:color="auto" w:fill="FFFFFF"/>
          <w:lang w:val="en-US"/>
        </w:rPr>
        <w:t>.</w:t>
      </w:r>
      <w:r w:rsidR="00366969" w:rsidRPr="001B570D">
        <w:rPr>
          <w:szCs w:val="24"/>
          <w:shd w:val="clear" w:color="auto" w:fill="FFFFFF"/>
          <w:lang w:val="en-US"/>
        </w:rPr>
        <w:t xml:space="preserve"> </w:t>
      </w:r>
      <w:r w:rsidRPr="001B570D">
        <w:rPr>
          <w:szCs w:val="24"/>
          <w:shd w:val="clear" w:color="auto" w:fill="FFFFFF"/>
          <w:lang w:val="en-US"/>
        </w:rPr>
        <w:t xml:space="preserve">L. Political cost influences on income smoothing via extraordinary item classification. </w:t>
      </w:r>
      <w:r w:rsidRPr="001B570D">
        <w:rPr>
          <w:b/>
          <w:szCs w:val="24"/>
          <w:shd w:val="clear" w:color="auto" w:fill="FFFFFF"/>
          <w:lang w:val="en-US"/>
        </w:rPr>
        <w:t>Accounting and Finance</w:t>
      </w:r>
      <w:r w:rsidR="00A33243">
        <w:rPr>
          <w:szCs w:val="24"/>
          <w:shd w:val="clear" w:color="auto" w:fill="FFFFFF"/>
          <w:lang w:val="en-US"/>
        </w:rPr>
        <w:t>,</w:t>
      </w:r>
      <w:r w:rsidRPr="001B570D">
        <w:rPr>
          <w:i/>
          <w:szCs w:val="24"/>
          <w:shd w:val="clear" w:color="auto" w:fill="FFFFFF"/>
          <w:lang w:val="en-US"/>
        </w:rPr>
        <w:t xml:space="preserve"> </w:t>
      </w:r>
      <w:r w:rsidR="00BD2070" w:rsidRPr="001B570D">
        <w:rPr>
          <w:szCs w:val="24"/>
          <w:shd w:val="clear" w:color="auto" w:fill="FFFFFF"/>
          <w:lang w:val="en-US"/>
        </w:rPr>
        <w:t xml:space="preserve">v. </w:t>
      </w:r>
      <w:r w:rsidRPr="001B570D">
        <w:rPr>
          <w:szCs w:val="24"/>
          <w:shd w:val="clear" w:color="auto" w:fill="FFFFFF"/>
          <w:lang w:val="en-US"/>
        </w:rPr>
        <w:t>39</w:t>
      </w:r>
      <w:r w:rsidR="00BD2070" w:rsidRPr="001B570D">
        <w:rPr>
          <w:szCs w:val="24"/>
          <w:shd w:val="clear" w:color="auto" w:fill="FFFFFF"/>
          <w:lang w:val="en-US"/>
        </w:rPr>
        <w:t>,</w:t>
      </w:r>
      <w:r w:rsidRPr="001B570D">
        <w:rPr>
          <w:szCs w:val="24"/>
          <w:shd w:val="clear" w:color="auto" w:fill="FFFFFF"/>
          <w:lang w:val="en-US"/>
        </w:rPr>
        <w:t xml:space="preserve"> p. 229-254, 1999.</w:t>
      </w:r>
    </w:p>
    <w:p w14:paraId="4A63BFDE" w14:textId="34CAD533" w:rsidR="0063719B" w:rsidRPr="001B570D" w:rsidRDefault="0063719B" w:rsidP="008325AA">
      <w:pPr>
        <w:spacing w:after="0"/>
        <w:ind w:firstLine="0"/>
        <w:rPr>
          <w:szCs w:val="24"/>
          <w:shd w:val="clear" w:color="auto" w:fill="FFFFFF"/>
          <w:lang w:val="en-US"/>
        </w:rPr>
      </w:pPr>
      <w:r w:rsidRPr="001B570D">
        <w:rPr>
          <w:szCs w:val="24"/>
          <w:shd w:val="clear" w:color="auto" w:fill="FFFFFF"/>
          <w:lang w:val="en-US"/>
        </w:rPr>
        <w:t>GRACE, M</w:t>
      </w:r>
      <w:r w:rsidR="00CB2FF8" w:rsidRPr="001B570D">
        <w:rPr>
          <w:szCs w:val="24"/>
          <w:shd w:val="clear" w:color="auto" w:fill="FFFFFF"/>
          <w:lang w:val="en-US"/>
        </w:rPr>
        <w:t>.</w:t>
      </w:r>
      <w:r w:rsidR="00DC25F9" w:rsidRPr="001B570D">
        <w:rPr>
          <w:szCs w:val="24"/>
          <w:shd w:val="clear" w:color="auto" w:fill="FFFFFF"/>
          <w:lang w:val="en-US"/>
        </w:rPr>
        <w:t xml:space="preserve"> </w:t>
      </w:r>
      <w:r w:rsidRPr="001B570D">
        <w:rPr>
          <w:szCs w:val="24"/>
          <w:shd w:val="clear" w:color="auto" w:fill="FFFFFF"/>
          <w:lang w:val="en-US"/>
        </w:rPr>
        <w:t>F.; LEVERTY, T</w:t>
      </w:r>
      <w:r w:rsidR="00DC25F9" w:rsidRPr="001B570D">
        <w:rPr>
          <w:szCs w:val="24"/>
          <w:shd w:val="clear" w:color="auto" w:fill="FFFFFF"/>
          <w:lang w:val="en-US"/>
        </w:rPr>
        <w:t xml:space="preserve">yler J. </w:t>
      </w:r>
      <w:r w:rsidRPr="001B570D">
        <w:rPr>
          <w:szCs w:val="24"/>
          <w:shd w:val="clear" w:color="auto" w:fill="FFFFFF"/>
          <w:lang w:val="en-US"/>
        </w:rPr>
        <w:t xml:space="preserve"> Political cost incentives for managing the property-liability insurer loss reserve. </w:t>
      </w:r>
      <w:r w:rsidRPr="001B570D">
        <w:rPr>
          <w:b/>
          <w:szCs w:val="24"/>
          <w:shd w:val="clear" w:color="auto" w:fill="FFFFFF"/>
          <w:lang w:val="en-US"/>
        </w:rPr>
        <w:t>Journal of Accounting Research</w:t>
      </w:r>
      <w:r w:rsidR="00A33243">
        <w:rPr>
          <w:i/>
          <w:szCs w:val="24"/>
          <w:shd w:val="clear" w:color="auto" w:fill="FFFFFF"/>
          <w:lang w:val="en-US"/>
        </w:rPr>
        <w:t>,</w:t>
      </w:r>
      <w:r w:rsidRPr="001B570D">
        <w:rPr>
          <w:szCs w:val="24"/>
          <w:shd w:val="clear" w:color="auto" w:fill="FFFFFF"/>
          <w:lang w:val="en-US"/>
        </w:rPr>
        <w:t xml:space="preserve"> </w:t>
      </w:r>
      <w:r w:rsidR="00BD2070" w:rsidRPr="001B570D">
        <w:rPr>
          <w:szCs w:val="24"/>
          <w:shd w:val="clear" w:color="auto" w:fill="FFFFFF"/>
          <w:lang w:val="en-US"/>
        </w:rPr>
        <w:t>v</w:t>
      </w:r>
      <w:r w:rsidRPr="001B570D">
        <w:rPr>
          <w:szCs w:val="24"/>
          <w:shd w:val="clear" w:color="auto" w:fill="FFFFFF"/>
          <w:lang w:val="en-US"/>
        </w:rPr>
        <w:t xml:space="preserve">. 48, </w:t>
      </w:r>
      <w:r w:rsidR="00BD2070" w:rsidRPr="001B570D">
        <w:rPr>
          <w:szCs w:val="24"/>
          <w:shd w:val="clear" w:color="auto" w:fill="FFFFFF"/>
          <w:lang w:val="en-US"/>
        </w:rPr>
        <w:t>n</w:t>
      </w:r>
      <w:r w:rsidRPr="001B570D">
        <w:rPr>
          <w:szCs w:val="24"/>
          <w:shd w:val="clear" w:color="auto" w:fill="FFFFFF"/>
          <w:lang w:val="en-US"/>
        </w:rPr>
        <w:t xml:space="preserve">. 1, p. 21-49, </w:t>
      </w:r>
      <w:r w:rsidR="00BD2070" w:rsidRPr="001B570D">
        <w:rPr>
          <w:szCs w:val="24"/>
          <w:shd w:val="clear" w:color="auto" w:fill="FFFFFF"/>
          <w:lang w:val="en-US"/>
        </w:rPr>
        <w:t>m</w:t>
      </w:r>
      <w:r w:rsidRPr="001B570D">
        <w:rPr>
          <w:szCs w:val="24"/>
          <w:shd w:val="clear" w:color="auto" w:fill="FFFFFF"/>
          <w:lang w:val="en-US"/>
        </w:rPr>
        <w:t>ar</w:t>
      </w:r>
      <w:r w:rsidR="00BD2070" w:rsidRPr="001B570D">
        <w:rPr>
          <w:szCs w:val="24"/>
          <w:shd w:val="clear" w:color="auto" w:fill="FFFFFF"/>
          <w:lang w:val="en-US"/>
        </w:rPr>
        <w:t>.</w:t>
      </w:r>
      <w:r w:rsidRPr="001B570D">
        <w:rPr>
          <w:szCs w:val="24"/>
          <w:shd w:val="clear" w:color="auto" w:fill="FFFFFF"/>
          <w:lang w:val="en-US"/>
        </w:rPr>
        <w:t xml:space="preserve"> 2010.</w:t>
      </w:r>
    </w:p>
    <w:p w14:paraId="6FC489F4" w14:textId="02CB2529" w:rsidR="0063719B" w:rsidRPr="001B570D" w:rsidRDefault="0063719B" w:rsidP="008325AA">
      <w:pPr>
        <w:spacing w:after="0"/>
        <w:ind w:firstLine="0"/>
        <w:rPr>
          <w:szCs w:val="24"/>
        </w:rPr>
      </w:pPr>
      <w:r w:rsidRPr="001B570D">
        <w:rPr>
          <w:szCs w:val="24"/>
          <w:shd w:val="clear" w:color="auto" w:fill="FFFFFF"/>
          <w:lang w:val="en-US"/>
        </w:rPr>
        <w:t xml:space="preserve">GRÜNING, M. Capital Market Implications of Corporate Disclosure: German. </w:t>
      </w:r>
      <w:r w:rsidRPr="001B570D">
        <w:rPr>
          <w:b/>
          <w:szCs w:val="24"/>
          <w:shd w:val="clear" w:color="auto" w:fill="FFFFFF"/>
        </w:rPr>
        <w:t>BuR - Business Research</w:t>
      </w:r>
      <w:r w:rsidR="00BD2070" w:rsidRPr="001B570D">
        <w:rPr>
          <w:szCs w:val="24"/>
          <w:shd w:val="clear" w:color="auto" w:fill="FFFFFF"/>
        </w:rPr>
        <w:t>.</w:t>
      </w:r>
      <w:r w:rsidRPr="001B570D">
        <w:rPr>
          <w:szCs w:val="24"/>
          <w:shd w:val="clear" w:color="auto" w:fill="FFFFFF"/>
        </w:rPr>
        <w:t xml:space="preserve"> </w:t>
      </w:r>
      <w:r w:rsidR="00BD2070" w:rsidRPr="001B570D">
        <w:rPr>
          <w:szCs w:val="24"/>
          <w:shd w:val="clear" w:color="auto" w:fill="FFFFFF"/>
        </w:rPr>
        <w:t>v</w:t>
      </w:r>
      <w:r w:rsidRPr="001B570D">
        <w:rPr>
          <w:szCs w:val="24"/>
          <w:shd w:val="clear" w:color="auto" w:fill="FFFFFF"/>
        </w:rPr>
        <w:t xml:space="preserve">. 4, </w:t>
      </w:r>
      <w:r w:rsidR="00BD2070" w:rsidRPr="001B570D">
        <w:rPr>
          <w:szCs w:val="24"/>
          <w:shd w:val="clear" w:color="auto" w:fill="FFFFFF"/>
        </w:rPr>
        <w:t>n</w:t>
      </w:r>
      <w:r w:rsidRPr="001B570D">
        <w:rPr>
          <w:szCs w:val="24"/>
          <w:shd w:val="clear" w:color="auto" w:fill="FFFFFF"/>
        </w:rPr>
        <w:t>. 1, pp. 48-72. 2011. Disponível em https://www.business-research.org/2011/1/finance/2977.</w:t>
      </w:r>
    </w:p>
    <w:p w14:paraId="61ED3B77" w14:textId="77777777" w:rsidR="0063719B" w:rsidRPr="001B570D" w:rsidRDefault="0063719B" w:rsidP="008325AA">
      <w:pPr>
        <w:spacing w:after="0"/>
        <w:ind w:firstLine="0"/>
        <w:rPr>
          <w:szCs w:val="24"/>
          <w:shd w:val="clear" w:color="auto" w:fill="FFFFFF"/>
          <w:lang w:val="en-US"/>
        </w:rPr>
      </w:pPr>
      <w:r w:rsidRPr="001B570D">
        <w:rPr>
          <w:szCs w:val="24"/>
          <w:shd w:val="clear" w:color="auto" w:fill="FFFFFF"/>
        </w:rPr>
        <w:t>GUJARATI, D</w:t>
      </w:r>
      <w:r w:rsidR="00CB2FF8" w:rsidRPr="001B570D">
        <w:rPr>
          <w:szCs w:val="24"/>
          <w:shd w:val="clear" w:color="auto" w:fill="FFFFFF"/>
        </w:rPr>
        <w:t>.</w:t>
      </w:r>
      <w:r w:rsidR="00DC25F9" w:rsidRPr="001B570D">
        <w:rPr>
          <w:szCs w:val="24"/>
          <w:shd w:val="clear" w:color="auto" w:fill="FFFFFF"/>
        </w:rPr>
        <w:t xml:space="preserve"> N.</w:t>
      </w:r>
      <w:r w:rsidRPr="001B570D">
        <w:rPr>
          <w:szCs w:val="24"/>
          <w:shd w:val="clear" w:color="auto" w:fill="FFFFFF"/>
        </w:rPr>
        <w:t>; PORTER, D</w:t>
      </w:r>
      <w:r w:rsidR="00CB2FF8" w:rsidRPr="001B570D">
        <w:rPr>
          <w:szCs w:val="24"/>
          <w:shd w:val="clear" w:color="auto" w:fill="FFFFFF"/>
        </w:rPr>
        <w:t>.</w:t>
      </w:r>
      <w:r w:rsidR="00DC25F9" w:rsidRPr="001B570D">
        <w:rPr>
          <w:szCs w:val="24"/>
          <w:shd w:val="clear" w:color="auto" w:fill="FFFFFF"/>
        </w:rPr>
        <w:t xml:space="preserve"> </w:t>
      </w:r>
      <w:r w:rsidRPr="001B570D">
        <w:rPr>
          <w:szCs w:val="24"/>
          <w:shd w:val="clear" w:color="auto" w:fill="FFFFFF"/>
        </w:rPr>
        <w:t>C.</w:t>
      </w:r>
      <w:r w:rsidRPr="001B570D">
        <w:rPr>
          <w:b/>
          <w:szCs w:val="24"/>
          <w:shd w:val="clear" w:color="auto" w:fill="FFFFFF"/>
        </w:rPr>
        <w:t xml:space="preserve"> Econometria Básica</w:t>
      </w:r>
      <w:r w:rsidRPr="001B570D">
        <w:rPr>
          <w:szCs w:val="24"/>
          <w:shd w:val="clear" w:color="auto" w:fill="FFFFFF"/>
        </w:rPr>
        <w:t xml:space="preserve">. </w:t>
      </w:r>
      <w:r w:rsidRPr="001B570D">
        <w:rPr>
          <w:szCs w:val="24"/>
          <w:shd w:val="clear" w:color="auto" w:fill="FFFFFF"/>
          <w:lang w:val="en-US"/>
        </w:rPr>
        <w:t>5 ed. Porto Alegre: AMGH. 2011.</w:t>
      </w:r>
    </w:p>
    <w:p w14:paraId="650F3EBC" w14:textId="052FC6ED" w:rsidR="0063719B" w:rsidRPr="001B570D" w:rsidRDefault="0063719B" w:rsidP="008325AA">
      <w:pPr>
        <w:spacing w:after="0"/>
        <w:ind w:firstLine="0"/>
        <w:rPr>
          <w:szCs w:val="24"/>
          <w:shd w:val="clear" w:color="auto" w:fill="FFFFFF"/>
          <w:lang w:val="en-US"/>
        </w:rPr>
      </w:pPr>
      <w:r w:rsidRPr="001B570D">
        <w:rPr>
          <w:szCs w:val="24"/>
          <w:shd w:val="clear" w:color="auto" w:fill="FFFFFF"/>
          <w:lang w:val="en-US"/>
        </w:rPr>
        <w:t>GÜTH, W</w:t>
      </w:r>
      <w:r w:rsidR="00CB2FF8" w:rsidRPr="001B570D">
        <w:rPr>
          <w:szCs w:val="24"/>
          <w:shd w:val="clear" w:color="auto" w:fill="FFFFFF"/>
          <w:lang w:val="en-US"/>
        </w:rPr>
        <w:t>.</w:t>
      </w:r>
      <w:r w:rsidRPr="001B570D">
        <w:rPr>
          <w:szCs w:val="24"/>
          <w:shd w:val="clear" w:color="auto" w:fill="FFFFFF"/>
          <w:lang w:val="en-US"/>
        </w:rPr>
        <w:t>; PULL, K</w:t>
      </w:r>
      <w:r w:rsidR="00CB2FF8" w:rsidRPr="001B570D">
        <w:rPr>
          <w:szCs w:val="24"/>
          <w:shd w:val="clear" w:color="auto" w:fill="FFFFFF"/>
          <w:lang w:val="en-US"/>
        </w:rPr>
        <w:t>.</w:t>
      </w:r>
      <w:r w:rsidRPr="001B570D">
        <w:rPr>
          <w:szCs w:val="24"/>
          <w:shd w:val="clear" w:color="auto" w:fill="FFFFFF"/>
          <w:lang w:val="en-US"/>
        </w:rPr>
        <w:t xml:space="preserve">; STADLER, M.; et al. Compulsory Disclosure of Private Information Theoretical and Experimental Results for the “Acquiring-a-Company” Game. In.: </w:t>
      </w:r>
      <w:r w:rsidRPr="001B570D">
        <w:rPr>
          <w:rStyle w:val="nfase"/>
          <w:b/>
          <w:i w:val="0"/>
          <w:szCs w:val="24"/>
          <w:shd w:val="clear" w:color="auto" w:fill="FFFFFF"/>
          <w:lang w:val="en-US"/>
        </w:rPr>
        <w:t>University of Tübingen Working Papers in Economics and Finance</w:t>
      </w:r>
      <w:r w:rsidRPr="001B570D">
        <w:rPr>
          <w:szCs w:val="24"/>
          <w:shd w:val="clear" w:color="auto" w:fill="FFFFFF"/>
          <w:lang w:val="en-US"/>
        </w:rPr>
        <w:t>,</w:t>
      </w:r>
      <w:r w:rsidRPr="001B570D">
        <w:rPr>
          <w:b/>
          <w:szCs w:val="24"/>
          <w:shd w:val="clear" w:color="auto" w:fill="FFFFFF"/>
          <w:lang w:val="en-US"/>
        </w:rPr>
        <w:t xml:space="preserve"> </w:t>
      </w:r>
      <w:r w:rsidR="00BD2070" w:rsidRPr="001B570D">
        <w:rPr>
          <w:szCs w:val="24"/>
          <w:shd w:val="clear" w:color="auto" w:fill="FFFFFF"/>
          <w:lang w:val="en-US"/>
        </w:rPr>
        <w:t>n</w:t>
      </w:r>
      <w:r w:rsidRPr="001B570D">
        <w:rPr>
          <w:szCs w:val="24"/>
          <w:shd w:val="clear" w:color="auto" w:fill="FFFFFF"/>
          <w:lang w:val="en-US"/>
        </w:rPr>
        <w:t xml:space="preserve">. 69. </w:t>
      </w:r>
      <w:r w:rsidR="00BD2070" w:rsidRPr="001B570D">
        <w:rPr>
          <w:szCs w:val="24"/>
          <w:shd w:val="clear" w:color="auto" w:fill="FFFFFF"/>
          <w:lang w:val="en-US"/>
        </w:rPr>
        <w:t>f</w:t>
      </w:r>
      <w:r w:rsidRPr="001B570D">
        <w:rPr>
          <w:szCs w:val="24"/>
          <w:shd w:val="clear" w:color="auto" w:fill="FFFFFF"/>
          <w:lang w:val="en-US"/>
        </w:rPr>
        <w:t>e</w:t>
      </w:r>
      <w:r w:rsidR="00BD2070" w:rsidRPr="001B570D">
        <w:rPr>
          <w:szCs w:val="24"/>
          <w:shd w:val="clear" w:color="auto" w:fill="FFFFFF"/>
          <w:lang w:val="en-US"/>
        </w:rPr>
        <w:t>v</w:t>
      </w:r>
      <w:r w:rsidRPr="001B570D">
        <w:rPr>
          <w:szCs w:val="24"/>
          <w:shd w:val="clear" w:color="auto" w:fill="FFFFFF"/>
          <w:lang w:val="en-US"/>
        </w:rPr>
        <w:t>, 2014.</w:t>
      </w:r>
    </w:p>
    <w:p w14:paraId="14E6B1D4" w14:textId="6461CB35" w:rsidR="0063719B" w:rsidRPr="001B570D" w:rsidRDefault="0063719B" w:rsidP="008325AA">
      <w:pPr>
        <w:spacing w:after="0"/>
        <w:ind w:firstLine="0"/>
        <w:rPr>
          <w:szCs w:val="24"/>
          <w:shd w:val="clear" w:color="auto" w:fill="FFFFFF"/>
          <w:lang w:val="en-US"/>
        </w:rPr>
      </w:pPr>
      <w:r w:rsidRPr="001B570D">
        <w:rPr>
          <w:szCs w:val="24"/>
          <w:shd w:val="clear" w:color="auto" w:fill="FFFFFF"/>
          <w:lang w:val="en-US"/>
        </w:rPr>
        <w:t xml:space="preserve">HEALY, P., PALEPU, K. Information asymmetry, corporate disclosure, and the capital markets: a review of the empirical disclosure literature. </w:t>
      </w:r>
      <w:r w:rsidRPr="001B570D">
        <w:rPr>
          <w:b/>
          <w:szCs w:val="24"/>
          <w:shd w:val="clear" w:color="auto" w:fill="FFFFFF"/>
          <w:lang w:val="en-US"/>
        </w:rPr>
        <w:t>Journal of Accounting and Economics</w:t>
      </w:r>
      <w:r w:rsidR="00BD2070" w:rsidRPr="001B570D">
        <w:rPr>
          <w:szCs w:val="24"/>
          <w:shd w:val="clear" w:color="auto" w:fill="FFFFFF"/>
          <w:lang w:val="en-US"/>
        </w:rPr>
        <w:t>.</w:t>
      </w:r>
      <w:r w:rsidRPr="001B570D">
        <w:rPr>
          <w:szCs w:val="24"/>
          <w:shd w:val="clear" w:color="auto" w:fill="FFFFFF"/>
          <w:lang w:val="en-US"/>
        </w:rPr>
        <w:t xml:space="preserve"> v. 31(1), </w:t>
      </w:r>
      <w:r w:rsidR="00A33243">
        <w:rPr>
          <w:szCs w:val="24"/>
          <w:shd w:val="clear" w:color="auto" w:fill="FFFFFF"/>
          <w:lang w:val="en-US"/>
        </w:rPr>
        <w:t xml:space="preserve">p. </w:t>
      </w:r>
      <w:r w:rsidRPr="001B570D">
        <w:rPr>
          <w:szCs w:val="24"/>
          <w:shd w:val="clear" w:color="auto" w:fill="FFFFFF"/>
          <w:lang w:val="en-US"/>
        </w:rPr>
        <w:t>405– 440, 2001.</w:t>
      </w:r>
    </w:p>
    <w:p w14:paraId="7140CB55" w14:textId="5201527C" w:rsidR="0063719B" w:rsidRPr="001B570D" w:rsidRDefault="0063719B" w:rsidP="008325AA">
      <w:pPr>
        <w:spacing w:after="0"/>
        <w:ind w:firstLine="0"/>
        <w:rPr>
          <w:szCs w:val="24"/>
          <w:shd w:val="clear" w:color="auto" w:fill="FFFFFF"/>
        </w:rPr>
      </w:pPr>
      <w:r w:rsidRPr="001B570D">
        <w:rPr>
          <w:szCs w:val="24"/>
          <w:shd w:val="clear" w:color="auto" w:fill="FFFFFF"/>
          <w:lang w:val="en-US"/>
        </w:rPr>
        <w:t xml:space="preserve">KIM, J.; CHUNG, H. </w:t>
      </w:r>
      <w:r w:rsidRPr="00A33243">
        <w:rPr>
          <w:szCs w:val="24"/>
          <w:shd w:val="clear" w:color="auto" w:fill="FFFFFF"/>
          <w:lang w:val="en-US"/>
        </w:rPr>
        <w:t>Empirical Study on the Performance of State-owned-enterprises and the Privatizing Pressure: The Case of Korea</w:t>
      </w:r>
      <w:r w:rsidRPr="001B570D">
        <w:rPr>
          <w:b/>
          <w:szCs w:val="24"/>
          <w:shd w:val="clear" w:color="auto" w:fill="FFFFFF"/>
          <w:lang w:val="en-US"/>
        </w:rPr>
        <w:t>.</w:t>
      </w:r>
      <w:r w:rsidR="00A33243">
        <w:rPr>
          <w:b/>
          <w:szCs w:val="24"/>
          <w:shd w:val="clear" w:color="auto" w:fill="FFFFFF"/>
          <w:lang w:val="en-US"/>
        </w:rPr>
        <w:t xml:space="preserve"> </w:t>
      </w:r>
      <w:r w:rsidR="00A33243" w:rsidRPr="00DC4473">
        <w:rPr>
          <w:b/>
          <w:szCs w:val="24"/>
          <w:shd w:val="clear" w:color="auto" w:fill="FFFFFF"/>
        </w:rPr>
        <w:t xml:space="preserve">UPF Regulation, </w:t>
      </w:r>
      <w:r w:rsidR="00A33243" w:rsidRPr="00DC4473">
        <w:rPr>
          <w:szCs w:val="24"/>
          <w:shd w:val="clear" w:color="auto" w:fill="FFFFFF"/>
        </w:rPr>
        <w:t>Seoul,</w:t>
      </w:r>
      <w:r w:rsidR="00BD2070" w:rsidRPr="00DC4473">
        <w:rPr>
          <w:b/>
          <w:szCs w:val="24"/>
          <w:shd w:val="clear" w:color="auto" w:fill="FFFFFF"/>
        </w:rPr>
        <w:t xml:space="preserve"> </w:t>
      </w:r>
      <w:r w:rsidR="00BD2070" w:rsidRPr="00DC4473">
        <w:rPr>
          <w:szCs w:val="24"/>
          <w:shd w:val="clear" w:color="auto" w:fill="FFFFFF"/>
        </w:rPr>
        <w:t>2007.</w:t>
      </w:r>
      <w:r w:rsidRPr="00DC4473">
        <w:rPr>
          <w:szCs w:val="24"/>
          <w:shd w:val="clear" w:color="auto" w:fill="FFFFFF"/>
        </w:rPr>
        <w:t xml:space="preserve"> </w:t>
      </w:r>
      <w:r w:rsidRPr="001B570D">
        <w:rPr>
          <w:szCs w:val="24"/>
          <w:shd w:val="clear" w:color="auto" w:fill="FFFFFF"/>
        </w:rPr>
        <w:t>Disponível em: &lt;</w:t>
      </w:r>
      <w:r w:rsidRPr="001B570D">
        <w:rPr>
          <w:szCs w:val="24"/>
        </w:rPr>
        <w:t xml:space="preserve"> </w:t>
      </w:r>
      <w:r w:rsidRPr="001B570D">
        <w:rPr>
          <w:szCs w:val="24"/>
          <w:shd w:val="clear" w:color="auto" w:fill="FFFFFF"/>
        </w:rPr>
        <w:t>http://regulation.upf.edu/utrecht-08-papers/jkim.pdf &gt; Acesso em 29 jun. 2014.</w:t>
      </w:r>
    </w:p>
    <w:p w14:paraId="5DC57A5B" w14:textId="2AEB895A" w:rsidR="0063719B" w:rsidRPr="001B570D" w:rsidRDefault="0063719B" w:rsidP="008325AA">
      <w:pPr>
        <w:spacing w:after="0"/>
        <w:ind w:firstLine="0"/>
        <w:rPr>
          <w:szCs w:val="24"/>
          <w:shd w:val="clear" w:color="auto" w:fill="FFFFFF"/>
          <w:lang w:val="en-US"/>
        </w:rPr>
      </w:pPr>
      <w:r w:rsidRPr="001B570D">
        <w:rPr>
          <w:szCs w:val="24"/>
          <w:shd w:val="clear" w:color="auto" w:fill="FFFFFF"/>
          <w:lang w:val="en-US"/>
        </w:rPr>
        <w:lastRenderedPageBreak/>
        <w:t>JENSEN, M</w:t>
      </w:r>
      <w:r w:rsidR="00CB2FF8" w:rsidRPr="001B570D">
        <w:rPr>
          <w:szCs w:val="24"/>
          <w:shd w:val="clear" w:color="auto" w:fill="FFFFFF"/>
          <w:lang w:val="en-US"/>
        </w:rPr>
        <w:t>.</w:t>
      </w:r>
      <w:r w:rsidRPr="001B570D">
        <w:rPr>
          <w:szCs w:val="24"/>
          <w:shd w:val="clear" w:color="auto" w:fill="FFFFFF"/>
          <w:lang w:val="en-US"/>
        </w:rPr>
        <w:t xml:space="preserve"> C.; MECKLING, W. H. Theory of the firm: managerial behavior, agency costs and ownership structure. </w:t>
      </w:r>
      <w:r w:rsidRPr="001B570D">
        <w:rPr>
          <w:b/>
          <w:szCs w:val="24"/>
          <w:shd w:val="clear" w:color="auto" w:fill="FFFFFF"/>
          <w:lang w:val="en-US"/>
        </w:rPr>
        <w:t>Journal of Financial Economics</w:t>
      </w:r>
      <w:r w:rsidR="00A33243">
        <w:rPr>
          <w:szCs w:val="24"/>
          <w:shd w:val="clear" w:color="auto" w:fill="FFFFFF"/>
          <w:lang w:val="en-US"/>
        </w:rPr>
        <w:t>,</w:t>
      </w:r>
      <w:r w:rsidRPr="001B570D">
        <w:rPr>
          <w:szCs w:val="24"/>
          <w:shd w:val="clear" w:color="auto" w:fill="FFFFFF"/>
          <w:lang w:val="en-US"/>
        </w:rPr>
        <w:t xml:space="preserve"> v. 3, p. 305-360, 1976.</w:t>
      </w:r>
    </w:p>
    <w:p w14:paraId="7BF3E646" w14:textId="2A9E478A" w:rsidR="0063719B" w:rsidRPr="001B570D" w:rsidRDefault="0063719B" w:rsidP="008325AA">
      <w:pPr>
        <w:spacing w:after="0"/>
        <w:ind w:firstLine="0"/>
        <w:rPr>
          <w:szCs w:val="24"/>
          <w:shd w:val="clear" w:color="auto" w:fill="FFFFFF"/>
        </w:rPr>
      </w:pPr>
      <w:r w:rsidRPr="001B570D">
        <w:rPr>
          <w:szCs w:val="24"/>
          <w:shd w:val="clear" w:color="auto" w:fill="FFFFFF"/>
          <w:lang w:val="en-US"/>
        </w:rPr>
        <w:t>LEUZ, C</w:t>
      </w:r>
      <w:r w:rsidR="00CB2FF8" w:rsidRPr="001B570D">
        <w:rPr>
          <w:szCs w:val="24"/>
          <w:shd w:val="clear" w:color="auto" w:fill="FFFFFF"/>
          <w:lang w:val="en-US"/>
        </w:rPr>
        <w:t>.</w:t>
      </w:r>
      <w:r w:rsidRPr="001B570D">
        <w:rPr>
          <w:szCs w:val="24"/>
          <w:shd w:val="clear" w:color="auto" w:fill="FFFFFF"/>
          <w:lang w:val="en-US"/>
        </w:rPr>
        <w:t>; NANDA, D</w:t>
      </w:r>
      <w:r w:rsidR="00CB2FF8" w:rsidRPr="001B570D">
        <w:rPr>
          <w:szCs w:val="24"/>
          <w:shd w:val="clear" w:color="auto" w:fill="FFFFFF"/>
          <w:lang w:val="en-US"/>
        </w:rPr>
        <w:t>.</w:t>
      </w:r>
      <w:r w:rsidRPr="001B570D">
        <w:rPr>
          <w:szCs w:val="24"/>
          <w:shd w:val="clear" w:color="auto" w:fill="FFFFFF"/>
          <w:lang w:val="en-US"/>
        </w:rPr>
        <w:t>; WYSOCKI, P</w:t>
      </w:r>
      <w:r w:rsidR="00CB67F4" w:rsidRPr="001B570D">
        <w:rPr>
          <w:szCs w:val="24"/>
          <w:shd w:val="clear" w:color="auto" w:fill="FFFFFF"/>
          <w:lang w:val="en-US"/>
        </w:rPr>
        <w:t>eter</w:t>
      </w:r>
      <w:r w:rsidRPr="001B570D">
        <w:rPr>
          <w:szCs w:val="24"/>
          <w:shd w:val="clear" w:color="auto" w:fill="FFFFFF"/>
          <w:lang w:val="en-US"/>
        </w:rPr>
        <w:t xml:space="preserve">. D. Earnings Management and Investor Protection: and international comparison. </w:t>
      </w:r>
      <w:r w:rsidRPr="001B570D">
        <w:rPr>
          <w:b/>
          <w:szCs w:val="24"/>
          <w:shd w:val="clear" w:color="auto" w:fill="FFFFFF"/>
        </w:rPr>
        <w:t>Journal of Financial Economics</w:t>
      </w:r>
      <w:r w:rsidR="00A33243">
        <w:rPr>
          <w:i/>
          <w:szCs w:val="24"/>
          <w:shd w:val="clear" w:color="auto" w:fill="FFFFFF"/>
        </w:rPr>
        <w:t>,</w:t>
      </w:r>
      <w:r w:rsidRPr="001B570D">
        <w:rPr>
          <w:szCs w:val="24"/>
          <w:shd w:val="clear" w:color="auto" w:fill="FFFFFF"/>
        </w:rPr>
        <w:t xml:space="preserve"> V.69, p.505-527, 2003.</w:t>
      </w:r>
    </w:p>
    <w:p w14:paraId="2687D05E" w14:textId="35B6FEB2" w:rsidR="00BC7F9A" w:rsidRPr="001B570D" w:rsidRDefault="00BC7F9A" w:rsidP="008325AA">
      <w:pPr>
        <w:spacing w:after="0"/>
        <w:ind w:firstLine="0"/>
        <w:rPr>
          <w:szCs w:val="24"/>
          <w:shd w:val="clear" w:color="auto" w:fill="FFFFFF"/>
          <w:lang w:val="en-US"/>
        </w:rPr>
      </w:pPr>
      <w:r w:rsidRPr="001B570D">
        <w:rPr>
          <w:szCs w:val="24"/>
          <w:shd w:val="clear" w:color="auto" w:fill="FFFFFF"/>
          <w:lang w:val="en-US"/>
        </w:rPr>
        <w:t xml:space="preserve">LIBBY, R.; BLOOMFIELD, R.; NELSON, M. W. Experimental Research in Financial Accounting. </w:t>
      </w:r>
      <w:r w:rsidRPr="001B570D">
        <w:rPr>
          <w:b/>
          <w:szCs w:val="24"/>
          <w:shd w:val="clear" w:color="auto" w:fill="FFFFFF"/>
          <w:lang w:val="en-US"/>
        </w:rPr>
        <w:t>Accounting, Organizations and Society</w:t>
      </w:r>
      <w:r w:rsidR="00A33243">
        <w:rPr>
          <w:szCs w:val="24"/>
          <w:shd w:val="clear" w:color="auto" w:fill="FFFFFF"/>
          <w:lang w:val="en-US"/>
        </w:rPr>
        <w:t>,</w:t>
      </w:r>
      <w:r w:rsidRPr="001B570D">
        <w:rPr>
          <w:szCs w:val="24"/>
          <w:shd w:val="clear" w:color="auto" w:fill="FFFFFF"/>
          <w:lang w:val="en-US"/>
        </w:rPr>
        <w:t xml:space="preserve"> v. 27, n. 8, p. 775–810, nov. 2002.</w:t>
      </w:r>
    </w:p>
    <w:p w14:paraId="696CDB7F" w14:textId="1E84E32F" w:rsidR="0063719B" w:rsidRPr="001B570D" w:rsidRDefault="0063719B" w:rsidP="008325AA">
      <w:pPr>
        <w:spacing w:after="0"/>
        <w:ind w:firstLine="0"/>
        <w:rPr>
          <w:szCs w:val="24"/>
          <w:shd w:val="clear" w:color="auto" w:fill="FFFFFF"/>
          <w:lang w:val="en-US"/>
        </w:rPr>
      </w:pPr>
      <w:r w:rsidRPr="001B570D">
        <w:rPr>
          <w:szCs w:val="24"/>
          <w:shd w:val="clear" w:color="auto" w:fill="FFFFFF"/>
          <w:lang w:val="en-US"/>
        </w:rPr>
        <w:t>LONG, N</w:t>
      </w:r>
      <w:r w:rsidR="006B6A0D" w:rsidRPr="001B570D">
        <w:rPr>
          <w:szCs w:val="24"/>
          <w:shd w:val="clear" w:color="auto" w:fill="FFFFFF"/>
          <w:lang w:val="en-US"/>
        </w:rPr>
        <w:t>.</w:t>
      </w:r>
      <w:r w:rsidR="00CA1D20" w:rsidRPr="001B570D">
        <w:rPr>
          <w:szCs w:val="24"/>
          <w:shd w:val="clear" w:color="auto" w:fill="FFFFFF"/>
          <w:lang w:val="en-US"/>
        </w:rPr>
        <w:t xml:space="preserve"> </w:t>
      </w:r>
      <w:r w:rsidRPr="001B570D">
        <w:rPr>
          <w:szCs w:val="24"/>
          <w:shd w:val="clear" w:color="auto" w:fill="FFFFFF"/>
          <w:lang w:val="en-US"/>
        </w:rPr>
        <w:t xml:space="preserve">V; STÄHLER, </w:t>
      </w:r>
      <w:r w:rsidR="00FF330B" w:rsidRPr="001B570D">
        <w:rPr>
          <w:szCs w:val="24"/>
          <w:shd w:val="clear" w:color="auto" w:fill="FFFFFF"/>
          <w:lang w:val="en-US"/>
        </w:rPr>
        <w:t xml:space="preserve">F. </w:t>
      </w:r>
      <w:r w:rsidRPr="001B570D">
        <w:rPr>
          <w:szCs w:val="24"/>
          <w:shd w:val="clear" w:color="auto" w:fill="FFFFFF"/>
          <w:lang w:val="en-US"/>
        </w:rPr>
        <w:t xml:space="preserve">Trade Policy and Mixed Enterprises. </w:t>
      </w:r>
      <w:r w:rsidRPr="001B570D">
        <w:rPr>
          <w:b/>
          <w:szCs w:val="24"/>
          <w:shd w:val="clear" w:color="auto" w:fill="FFFFFF"/>
          <w:lang w:val="en-US"/>
        </w:rPr>
        <w:t>Canadian Journal of Economics</w:t>
      </w:r>
      <w:r w:rsidR="00A33243">
        <w:rPr>
          <w:i/>
          <w:szCs w:val="24"/>
          <w:shd w:val="clear" w:color="auto" w:fill="FFFFFF"/>
          <w:lang w:val="en-US"/>
        </w:rPr>
        <w:t>,</w:t>
      </w:r>
      <w:r w:rsidRPr="001B570D">
        <w:rPr>
          <w:b/>
          <w:szCs w:val="24"/>
          <w:shd w:val="clear" w:color="auto" w:fill="FFFFFF"/>
          <w:lang w:val="en-US"/>
        </w:rPr>
        <w:t xml:space="preserve"> </w:t>
      </w:r>
      <w:r w:rsidRPr="001B570D">
        <w:rPr>
          <w:szCs w:val="24"/>
          <w:shd w:val="clear" w:color="auto" w:fill="FFFFFF"/>
          <w:lang w:val="en-US"/>
        </w:rPr>
        <w:t>v. 42, n.2, p.590-614, 2009.</w:t>
      </w:r>
    </w:p>
    <w:p w14:paraId="3AF21161" w14:textId="77777777" w:rsidR="0063719B" w:rsidRPr="001B570D" w:rsidRDefault="0063719B" w:rsidP="008325AA">
      <w:pPr>
        <w:spacing w:after="0"/>
        <w:ind w:firstLine="0"/>
        <w:rPr>
          <w:szCs w:val="24"/>
          <w:shd w:val="clear" w:color="auto" w:fill="FFFFFF"/>
        </w:rPr>
      </w:pPr>
      <w:r w:rsidRPr="001B570D">
        <w:rPr>
          <w:szCs w:val="24"/>
          <w:shd w:val="clear" w:color="auto" w:fill="FFFFFF"/>
        </w:rPr>
        <w:t>MAIA, F</w:t>
      </w:r>
      <w:r w:rsidR="003126B5" w:rsidRPr="001B570D">
        <w:rPr>
          <w:szCs w:val="24"/>
          <w:shd w:val="clear" w:color="auto" w:fill="FFFFFF"/>
        </w:rPr>
        <w:t>.</w:t>
      </w:r>
      <w:r w:rsidR="00797CE5" w:rsidRPr="001B570D">
        <w:rPr>
          <w:szCs w:val="24"/>
          <w:shd w:val="clear" w:color="auto" w:fill="FFFFFF"/>
        </w:rPr>
        <w:t xml:space="preserve"> </w:t>
      </w:r>
      <w:r w:rsidRPr="001B570D">
        <w:rPr>
          <w:szCs w:val="24"/>
          <w:shd w:val="clear" w:color="auto" w:fill="FFFFFF"/>
        </w:rPr>
        <w:t xml:space="preserve">L.M. </w:t>
      </w:r>
      <w:r w:rsidRPr="001B570D">
        <w:rPr>
          <w:b/>
          <w:szCs w:val="24"/>
          <w:shd w:val="clear" w:color="auto" w:fill="FFFFFF"/>
        </w:rPr>
        <w:t>Alterações na legislação societária e a evidenciação das Demonstrações contábeis em sociedades de economia mista:</w:t>
      </w:r>
      <w:r w:rsidRPr="001B570D">
        <w:rPr>
          <w:szCs w:val="24"/>
          <w:shd w:val="clear" w:color="auto" w:fill="FFFFFF"/>
        </w:rPr>
        <w:t xml:space="preserve"> estudo </w:t>
      </w:r>
      <w:r w:rsidR="00797CE5" w:rsidRPr="001B570D">
        <w:rPr>
          <w:szCs w:val="24"/>
          <w:shd w:val="clear" w:color="auto" w:fill="FFFFFF"/>
        </w:rPr>
        <w:t>d</w:t>
      </w:r>
      <w:r w:rsidRPr="001B570D">
        <w:rPr>
          <w:szCs w:val="24"/>
          <w:shd w:val="clear" w:color="auto" w:fill="FFFFFF"/>
        </w:rPr>
        <w:t>e caso no banco do nordeste do brasil (BNB). 159 f. Dissertação (Mestrado Administração e Controladoria), Universidade Federal do Ceará, Fortaleza, 2009.</w:t>
      </w:r>
    </w:p>
    <w:p w14:paraId="73919326" w14:textId="26143E33" w:rsidR="0063719B" w:rsidRPr="001B570D" w:rsidRDefault="0063719B" w:rsidP="008325AA">
      <w:pPr>
        <w:spacing w:after="0"/>
        <w:ind w:firstLine="0"/>
        <w:rPr>
          <w:szCs w:val="24"/>
          <w:shd w:val="clear" w:color="auto" w:fill="FFFFFF"/>
        </w:rPr>
      </w:pPr>
      <w:r w:rsidRPr="001B570D">
        <w:rPr>
          <w:szCs w:val="24"/>
          <w:shd w:val="clear" w:color="auto" w:fill="FFFFFF"/>
        </w:rPr>
        <w:t>MAIA, H</w:t>
      </w:r>
      <w:r w:rsidR="003126B5" w:rsidRPr="001B570D">
        <w:rPr>
          <w:szCs w:val="24"/>
          <w:shd w:val="clear" w:color="auto" w:fill="FFFFFF"/>
        </w:rPr>
        <w:t>.</w:t>
      </w:r>
      <w:r w:rsidR="00797CE5" w:rsidRPr="001B570D">
        <w:rPr>
          <w:szCs w:val="24"/>
          <w:shd w:val="clear" w:color="auto" w:fill="FFFFFF"/>
        </w:rPr>
        <w:t xml:space="preserve"> </w:t>
      </w:r>
      <w:r w:rsidRPr="001B570D">
        <w:rPr>
          <w:szCs w:val="24"/>
          <w:shd w:val="clear" w:color="auto" w:fill="FFFFFF"/>
        </w:rPr>
        <w:t>A; FORMIGONI, H</w:t>
      </w:r>
      <w:r w:rsidR="003126B5" w:rsidRPr="001B570D">
        <w:rPr>
          <w:szCs w:val="24"/>
          <w:shd w:val="clear" w:color="auto" w:fill="FFFFFF"/>
        </w:rPr>
        <w:t>;</w:t>
      </w:r>
      <w:r w:rsidRPr="001B570D">
        <w:rPr>
          <w:szCs w:val="24"/>
          <w:shd w:val="clear" w:color="auto" w:fill="FFFFFF"/>
        </w:rPr>
        <w:t>; SILVA, A</w:t>
      </w:r>
      <w:r w:rsidR="003126B5" w:rsidRPr="001B570D">
        <w:rPr>
          <w:szCs w:val="24"/>
          <w:shd w:val="clear" w:color="auto" w:fill="FFFFFF"/>
        </w:rPr>
        <w:t>.</w:t>
      </w:r>
      <w:r w:rsidR="00797CE5" w:rsidRPr="001B570D">
        <w:rPr>
          <w:szCs w:val="24"/>
          <w:shd w:val="clear" w:color="auto" w:fill="FFFFFF"/>
        </w:rPr>
        <w:t xml:space="preserve"> </w:t>
      </w:r>
      <w:r w:rsidRPr="001B570D">
        <w:rPr>
          <w:szCs w:val="24"/>
          <w:shd w:val="clear" w:color="auto" w:fill="FFFFFF"/>
        </w:rPr>
        <w:t xml:space="preserve">A. Empresas de Auditoria e o Compliance com o Nível de Evidenciação Obrigatório durante o processo de Convergência às Normas Internacionais de Contabilidade. </w:t>
      </w:r>
      <w:r w:rsidRPr="001B570D">
        <w:rPr>
          <w:b/>
          <w:szCs w:val="24"/>
          <w:shd w:val="clear" w:color="auto" w:fill="FFFFFF"/>
        </w:rPr>
        <w:t>Revista Brasileira de Gestão de Negócios</w:t>
      </w:r>
      <w:r w:rsidR="00FF2371">
        <w:rPr>
          <w:szCs w:val="24"/>
          <w:shd w:val="clear" w:color="auto" w:fill="FFFFFF"/>
        </w:rPr>
        <w:t>,</w:t>
      </w:r>
      <w:r w:rsidRPr="001B570D">
        <w:rPr>
          <w:szCs w:val="24"/>
          <w:shd w:val="clear" w:color="auto" w:fill="FFFFFF"/>
        </w:rPr>
        <w:t xml:space="preserve"> </w:t>
      </w:r>
      <w:r w:rsidR="00FF2371">
        <w:rPr>
          <w:szCs w:val="24"/>
          <w:shd w:val="clear" w:color="auto" w:fill="FFFFFF"/>
        </w:rPr>
        <w:t>v</w:t>
      </w:r>
      <w:r w:rsidRPr="001B570D">
        <w:rPr>
          <w:szCs w:val="24"/>
          <w:shd w:val="clear" w:color="auto" w:fill="FFFFFF"/>
        </w:rPr>
        <w:t xml:space="preserve">.14, </w:t>
      </w:r>
      <w:r w:rsidR="00FF2371">
        <w:rPr>
          <w:szCs w:val="24"/>
          <w:shd w:val="clear" w:color="auto" w:fill="FFFFFF"/>
        </w:rPr>
        <w:t>n</w:t>
      </w:r>
      <w:r w:rsidRPr="001B570D">
        <w:rPr>
          <w:szCs w:val="24"/>
          <w:shd w:val="clear" w:color="auto" w:fill="FFFFFF"/>
        </w:rPr>
        <w:t>. 44, p 335-352, ju</w:t>
      </w:r>
      <w:r w:rsidR="00FF2371">
        <w:rPr>
          <w:szCs w:val="24"/>
          <w:shd w:val="clear" w:color="auto" w:fill="FFFFFF"/>
        </w:rPr>
        <w:t>l</w:t>
      </w:r>
      <w:r w:rsidRPr="001B570D">
        <w:rPr>
          <w:szCs w:val="24"/>
          <w:shd w:val="clear" w:color="auto" w:fill="FFFFFF"/>
        </w:rPr>
        <w:t>/</w:t>
      </w:r>
      <w:r w:rsidR="00FF2371" w:rsidRPr="001B570D">
        <w:rPr>
          <w:szCs w:val="24"/>
          <w:shd w:val="clear" w:color="auto" w:fill="FFFFFF"/>
        </w:rPr>
        <w:t>set.</w:t>
      </w:r>
      <w:r w:rsidRPr="001B570D">
        <w:rPr>
          <w:szCs w:val="24"/>
          <w:shd w:val="clear" w:color="auto" w:fill="FFFFFF"/>
        </w:rPr>
        <w:t xml:space="preserve"> 2012.  </w:t>
      </w:r>
    </w:p>
    <w:p w14:paraId="32C6FBA3" w14:textId="6A9835C0" w:rsidR="0063719B" w:rsidRPr="001B570D" w:rsidRDefault="0063719B" w:rsidP="008325AA">
      <w:pPr>
        <w:spacing w:after="0"/>
        <w:ind w:firstLine="0"/>
        <w:rPr>
          <w:szCs w:val="24"/>
          <w:shd w:val="clear" w:color="auto" w:fill="FFFFFF"/>
        </w:rPr>
      </w:pPr>
      <w:r w:rsidRPr="001B570D">
        <w:rPr>
          <w:szCs w:val="24"/>
          <w:shd w:val="clear" w:color="auto" w:fill="FFFFFF"/>
          <w:lang w:val="en-US"/>
        </w:rPr>
        <w:t>MAKAR, S</w:t>
      </w:r>
      <w:r w:rsidR="003126B5" w:rsidRPr="001B570D">
        <w:rPr>
          <w:szCs w:val="24"/>
          <w:shd w:val="clear" w:color="auto" w:fill="FFFFFF"/>
          <w:lang w:val="en-US"/>
        </w:rPr>
        <w:t>.</w:t>
      </w:r>
      <w:r w:rsidRPr="001B570D">
        <w:rPr>
          <w:szCs w:val="24"/>
          <w:shd w:val="clear" w:color="auto" w:fill="FFFFFF"/>
          <w:lang w:val="en-US"/>
        </w:rPr>
        <w:t xml:space="preserve"> D.; ALAM, P. Earnings management and antitrust investigations: political costs over business cycles. </w:t>
      </w:r>
      <w:r w:rsidRPr="001B570D">
        <w:rPr>
          <w:b/>
          <w:szCs w:val="24"/>
          <w:shd w:val="clear" w:color="auto" w:fill="FFFFFF"/>
        </w:rPr>
        <w:t>Journal of Business Finance &amp; Accounting</w:t>
      </w:r>
      <w:r w:rsidRPr="001B570D">
        <w:rPr>
          <w:i/>
          <w:szCs w:val="24"/>
          <w:shd w:val="clear" w:color="auto" w:fill="FFFFFF"/>
        </w:rPr>
        <w:t>,</w:t>
      </w:r>
      <w:r w:rsidRPr="001B570D">
        <w:rPr>
          <w:szCs w:val="24"/>
          <w:shd w:val="clear" w:color="auto" w:fill="FFFFFF"/>
        </w:rPr>
        <w:t xml:space="preserve"> </w:t>
      </w:r>
      <w:r w:rsidR="00424B28" w:rsidRPr="001B570D">
        <w:rPr>
          <w:szCs w:val="24"/>
          <w:shd w:val="clear" w:color="auto" w:fill="FFFFFF"/>
        </w:rPr>
        <w:t xml:space="preserve">v. </w:t>
      </w:r>
      <w:r w:rsidRPr="001B570D">
        <w:rPr>
          <w:szCs w:val="24"/>
          <w:shd w:val="clear" w:color="auto" w:fill="FFFFFF"/>
        </w:rPr>
        <w:t>25(5) e (6),</w:t>
      </w:r>
      <w:r w:rsidR="005E07DD" w:rsidRPr="001B570D">
        <w:rPr>
          <w:szCs w:val="24"/>
          <w:shd w:val="clear" w:color="auto" w:fill="FFFFFF"/>
        </w:rPr>
        <w:t xml:space="preserve"> j</w:t>
      </w:r>
      <w:r w:rsidRPr="001B570D">
        <w:rPr>
          <w:szCs w:val="24"/>
          <w:shd w:val="clear" w:color="auto" w:fill="FFFFFF"/>
        </w:rPr>
        <w:t>un</w:t>
      </w:r>
      <w:r w:rsidR="005E07DD" w:rsidRPr="001B570D">
        <w:rPr>
          <w:szCs w:val="24"/>
          <w:shd w:val="clear" w:color="auto" w:fill="FFFFFF"/>
        </w:rPr>
        <w:t>-j</w:t>
      </w:r>
      <w:r w:rsidRPr="001B570D">
        <w:rPr>
          <w:szCs w:val="24"/>
          <w:shd w:val="clear" w:color="auto" w:fill="FFFFFF"/>
        </w:rPr>
        <w:t>ul</w:t>
      </w:r>
      <w:r w:rsidR="005E07DD" w:rsidRPr="001B570D">
        <w:rPr>
          <w:szCs w:val="24"/>
          <w:shd w:val="clear" w:color="auto" w:fill="FFFFFF"/>
        </w:rPr>
        <w:t xml:space="preserve"> </w:t>
      </w:r>
      <w:r w:rsidRPr="001B570D">
        <w:rPr>
          <w:szCs w:val="24"/>
          <w:shd w:val="clear" w:color="auto" w:fill="FFFFFF"/>
        </w:rPr>
        <w:t xml:space="preserve"> 1998.</w:t>
      </w:r>
    </w:p>
    <w:p w14:paraId="16B0662C" w14:textId="77777777" w:rsidR="0063719B" w:rsidRPr="001B570D" w:rsidRDefault="0063719B" w:rsidP="008325AA">
      <w:pPr>
        <w:spacing w:after="0"/>
        <w:ind w:firstLine="0"/>
        <w:rPr>
          <w:szCs w:val="24"/>
          <w:shd w:val="clear" w:color="auto" w:fill="FFFFFF"/>
        </w:rPr>
      </w:pPr>
      <w:r w:rsidRPr="001B570D">
        <w:rPr>
          <w:szCs w:val="24"/>
          <w:shd w:val="clear" w:color="auto" w:fill="FFFFFF"/>
        </w:rPr>
        <w:t xml:space="preserve">MARCOLINO, O. </w:t>
      </w:r>
      <w:r w:rsidRPr="001B570D">
        <w:rPr>
          <w:b/>
          <w:szCs w:val="24"/>
          <w:shd w:val="clear" w:color="auto" w:fill="FFFFFF"/>
        </w:rPr>
        <w:t>Princípios de governança corporativa aplicados aos relatórios contábeis nas sociedades de economia mista da Prefeitura do município de São Paulo</w:t>
      </w:r>
      <w:r w:rsidRPr="001B570D">
        <w:rPr>
          <w:i/>
          <w:szCs w:val="24"/>
          <w:shd w:val="clear" w:color="auto" w:fill="FFFFFF"/>
        </w:rPr>
        <w:t>.</w:t>
      </w:r>
      <w:r w:rsidRPr="001B570D">
        <w:rPr>
          <w:b/>
          <w:szCs w:val="24"/>
          <w:shd w:val="clear" w:color="auto" w:fill="FFFFFF"/>
        </w:rPr>
        <w:t xml:space="preserve"> </w:t>
      </w:r>
      <w:r w:rsidRPr="001B570D">
        <w:rPr>
          <w:szCs w:val="24"/>
          <w:shd w:val="clear" w:color="auto" w:fill="FFFFFF"/>
        </w:rPr>
        <w:t>186 f. Dissertação (Mestrado em Controladoria e Contabilidade Estratégica). Centro Universitário Álvares Penteado – UNIFECAP, São Paulo, 2005.</w:t>
      </w:r>
    </w:p>
    <w:p w14:paraId="084C642E" w14:textId="77777777" w:rsidR="0063719B" w:rsidRPr="001B570D" w:rsidRDefault="0063719B" w:rsidP="008325AA">
      <w:pPr>
        <w:spacing w:after="0"/>
        <w:ind w:firstLine="0"/>
        <w:rPr>
          <w:szCs w:val="24"/>
          <w:shd w:val="clear" w:color="auto" w:fill="FFFFFF"/>
        </w:rPr>
      </w:pPr>
      <w:r w:rsidRPr="001B570D">
        <w:rPr>
          <w:szCs w:val="24"/>
          <w:shd w:val="clear" w:color="auto" w:fill="FFFFFF"/>
          <w:lang w:val="en-US"/>
        </w:rPr>
        <w:t>MARRA, A. Internal Regulation by Mixed Enterprises: The Case of the Italian Water Sector.</w:t>
      </w:r>
      <w:r w:rsidRPr="001B570D">
        <w:rPr>
          <w:szCs w:val="24"/>
          <w:lang w:val="en-US"/>
        </w:rPr>
        <w:t xml:space="preserve"> </w:t>
      </w:r>
      <w:r w:rsidRPr="001B570D">
        <w:rPr>
          <w:b/>
          <w:szCs w:val="24"/>
          <w:shd w:val="clear" w:color="auto" w:fill="FFFFFF"/>
        </w:rPr>
        <w:t>Annals of Public and Cooperative Economic</w:t>
      </w:r>
      <w:r w:rsidRPr="001B570D">
        <w:rPr>
          <w:szCs w:val="24"/>
          <w:shd w:val="clear" w:color="auto" w:fill="FFFFFF"/>
        </w:rPr>
        <w:t>, v.78, n.2, p.245-275, 2007.</w:t>
      </w:r>
    </w:p>
    <w:p w14:paraId="75ABE30B" w14:textId="77777777" w:rsidR="0063719B" w:rsidRPr="001B570D" w:rsidRDefault="0063719B" w:rsidP="008325AA">
      <w:pPr>
        <w:spacing w:after="0"/>
        <w:ind w:firstLine="0"/>
        <w:rPr>
          <w:szCs w:val="24"/>
          <w:shd w:val="clear" w:color="auto" w:fill="FFFFFF"/>
        </w:rPr>
      </w:pPr>
      <w:r w:rsidRPr="001B570D">
        <w:rPr>
          <w:szCs w:val="24"/>
          <w:shd w:val="clear" w:color="auto" w:fill="FFFFFF"/>
        </w:rPr>
        <w:t>MARTINEZ, A</w:t>
      </w:r>
      <w:r w:rsidR="003126B5" w:rsidRPr="001B570D">
        <w:rPr>
          <w:szCs w:val="24"/>
          <w:shd w:val="clear" w:color="auto" w:fill="FFFFFF"/>
        </w:rPr>
        <w:t>.</w:t>
      </w:r>
      <w:r w:rsidR="005873DD" w:rsidRPr="001B570D">
        <w:rPr>
          <w:szCs w:val="24"/>
          <w:shd w:val="clear" w:color="auto" w:fill="FFFFFF"/>
        </w:rPr>
        <w:t xml:space="preserve"> </w:t>
      </w:r>
      <w:r w:rsidRPr="001B570D">
        <w:rPr>
          <w:szCs w:val="24"/>
          <w:shd w:val="clear" w:color="auto" w:fill="FFFFFF"/>
        </w:rPr>
        <w:t xml:space="preserve">L. </w:t>
      </w:r>
      <w:r w:rsidRPr="001B570D">
        <w:rPr>
          <w:b/>
          <w:szCs w:val="24"/>
          <w:shd w:val="clear" w:color="auto" w:fill="FFFFFF"/>
        </w:rPr>
        <w:t>“Gerenciamento” dos resultados contábeis</w:t>
      </w:r>
      <w:r w:rsidRPr="001B570D">
        <w:rPr>
          <w:i/>
          <w:szCs w:val="24"/>
          <w:shd w:val="clear" w:color="auto" w:fill="FFFFFF"/>
        </w:rPr>
        <w:t xml:space="preserve">: </w:t>
      </w:r>
      <w:r w:rsidRPr="001B570D">
        <w:rPr>
          <w:szCs w:val="24"/>
          <w:shd w:val="clear" w:color="auto" w:fill="FFFFFF"/>
        </w:rPr>
        <w:t>estudo empírico das companhias abertas brasileiras. 167 f. Tese (Doutorado em Ciências Contábeis) – Faculdade de Economia, Administração e Contabilidade, Universidade de São Paulo, São Paulo, 2001.</w:t>
      </w:r>
    </w:p>
    <w:p w14:paraId="5E320EE3" w14:textId="132B1B82" w:rsidR="0063719B" w:rsidRPr="001B570D" w:rsidRDefault="0063719B" w:rsidP="008325AA">
      <w:pPr>
        <w:spacing w:after="0"/>
        <w:ind w:firstLine="0"/>
        <w:rPr>
          <w:szCs w:val="24"/>
          <w:shd w:val="clear" w:color="auto" w:fill="FFFFFF"/>
          <w:lang w:val="en-US"/>
        </w:rPr>
      </w:pPr>
      <w:r w:rsidRPr="001B570D">
        <w:rPr>
          <w:szCs w:val="24"/>
          <w:shd w:val="clear" w:color="auto" w:fill="FFFFFF"/>
          <w:lang w:val="en-US"/>
        </w:rPr>
        <w:t xml:space="preserve">_____; CASTRO, M. A. R. The Smoothing Hypothesis, Stock Returns and Risk in Brazil. </w:t>
      </w:r>
      <w:r w:rsidRPr="001B570D">
        <w:rPr>
          <w:b/>
          <w:szCs w:val="24"/>
          <w:shd w:val="clear" w:color="auto" w:fill="FFFFFF"/>
          <w:lang w:val="en-US"/>
        </w:rPr>
        <w:t xml:space="preserve">Brazilian Administration Review </w:t>
      </w:r>
      <w:r w:rsidR="00424B28" w:rsidRPr="001B570D">
        <w:rPr>
          <w:b/>
          <w:szCs w:val="24"/>
          <w:shd w:val="clear" w:color="auto" w:fill="FFFFFF"/>
          <w:lang w:val="en-US"/>
        </w:rPr>
        <w:t>–</w:t>
      </w:r>
      <w:r w:rsidRPr="001B570D">
        <w:rPr>
          <w:b/>
          <w:szCs w:val="24"/>
          <w:shd w:val="clear" w:color="auto" w:fill="FFFFFF"/>
          <w:lang w:val="en-US"/>
        </w:rPr>
        <w:t xml:space="preserve"> BAR</w:t>
      </w:r>
      <w:r w:rsidR="00FF2371">
        <w:rPr>
          <w:szCs w:val="24"/>
          <w:shd w:val="clear" w:color="auto" w:fill="FFFFFF"/>
          <w:lang w:val="en-US"/>
        </w:rPr>
        <w:t>,</w:t>
      </w:r>
      <w:r w:rsidRPr="001B570D">
        <w:rPr>
          <w:szCs w:val="24"/>
          <w:shd w:val="clear" w:color="auto" w:fill="FFFFFF"/>
          <w:lang w:val="en-US"/>
        </w:rPr>
        <w:t xml:space="preserve"> Curitiba, v. 8, n. 1, p. 1–20, jan./mar. 2011.</w:t>
      </w:r>
    </w:p>
    <w:p w14:paraId="4171F7E7" w14:textId="2A0E4FDD" w:rsidR="0063719B" w:rsidRPr="005A68E1" w:rsidRDefault="0063719B" w:rsidP="008325AA">
      <w:pPr>
        <w:spacing w:after="0"/>
        <w:ind w:firstLine="0"/>
        <w:rPr>
          <w:szCs w:val="24"/>
          <w:shd w:val="clear" w:color="auto" w:fill="FFFFFF"/>
          <w:lang w:val="en-US"/>
        </w:rPr>
      </w:pPr>
      <w:r w:rsidRPr="001B570D">
        <w:rPr>
          <w:szCs w:val="24"/>
          <w:shd w:val="clear" w:color="auto" w:fill="FFFFFF"/>
        </w:rPr>
        <w:t xml:space="preserve">_____. Gerenciamento de resultados no Brasil: um </w:t>
      </w:r>
      <w:r w:rsidRPr="001B570D">
        <w:rPr>
          <w:i/>
          <w:szCs w:val="24"/>
          <w:shd w:val="clear" w:color="auto" w:fill="FFFFFF"/>
        </w:rPr>
        <w:t>survey</w:t>
      </w:r>
      <w:r w:rsidR="005873DD" w:rsidRPr="001B570D">
        <w:rPr>
          <w:i/>
          <w:szCs w:val="24"/>
          <w:shd w:val="clear" w:color="auto" w:fill="FFFFFF"/>
        </w:rPr>
        <w:t xml:space="preserve"> </w:t>
      </w:r>
      <w:r w:rsidRPr="001B570D">
        <w:rPr>
          <w:szCs w:val="24"/>
          <w:shd w:val="clear" w:color="auto" w:fill="FFFFFF"/>
        </w:rPr>
        <w:t>da literatura.</w:t>
      </w:r>
      <w:r w:rsidRPr="001B570D">
        <w:rPr>
          <w:b/>
          <w:szCs w:val="24"/>
          <w:shd w:val="clear" w:color="auto" w:fill="FFFFFF"/>
        </w:rPr>
        <w:t xml:space="preserve"> </w:t>
      </w:r>
      <w:r w:rsidRPr="005A68E1">
        <w:rPr>
          <w:b/>
          <w:szCs w:val="24"/>
          <w:shd w:val="clear" w:color="auto" w:fill="FFFFFF"/>
          <w:lang w:val="en-US"/>
        </w:rPr>
        <w:t>Brazilian Business Review- BBR</w:t>
      </w:r>
      <w:r w:rsidR="00FF2371" w:rsidRPr="005A68E1">
        <w:rPr>
          <w:i/>
          <w:szCs w:val="24"/>
          <w:shd w:val="clear" w:color="auto" w:fill="FFFFFF"/>
          <w:lang w:val="en-US"/>
        </w:rPr>
        <w:t>,</w:t>
      </w:r>
      <w:r w:rsidRPr="005A68E1">
        <w:rPr>
          <w:szCs w:val="24"/>
          <w:shd w:val="clear" w:color="auto" w:fill="FFFFFF"/>
          <w:lang w:val="en-US"/>
        </w:rPr>
        <w:t xml:space="preserve"> v.10, n.4, Vitória-ES, </w:t>
      </w:r>
      <w:r w:rsidR="00FF2371" w:rsidRPr="005A68E1">
        <w:rPr>
          <w:szCs w:val="24"/>
          <w:shd w:val="clear" w:color="auto" w:fill="FFFFFF"/>
          <w:lang w:val="en-US"/>
        </w:rPr>
        <w:t>o</w:t>
      </w:r>
      <w:r w:rsidRPr="005A68E1">
        <w:rPr>
          <w:szCs w:val="24"/>
          <w:shd w:val="clear" w:color="auto" w:fill="FFFFFF"/>
          <w:lang w:val="en-US"/>
        </w:rPr>
        <w:t xml:space="preserve">ut.- </w:t>
      </w:r>
      <w:r w:rsidR="00FF2371" w:rsidRPr="005A68E1">
        <w:rPr>
          <w:szCs w:val="24"/>
          <w:shd w:val="clear" w:color="auto" w:fill="FFFFFF"/>
          <w:lang w:val="en-US"/>
        </w:rPr>
        <w:t>d</w:t>
      </w:r>
      <w:r w:rsidRPr="005A68E1">
        <w:rPr>
          <w:szCs w:val="24"/>
          <w:shd w:val="clear" w:color="auto" w:fill="FFFFFF"/>
          <w:lang w:val="en-US"/>
        </w:rPr>
        <w:t>ez. p 1-31, 2013.</w:t>
      </w:r>
    </w:p>
    <w:p w14:paraId="4C401FCD" w14:textId="77777777" w:rsidR="0063719B" w:rsidRPr="001B570D" w:rsidRDefault="0063719B" w:rsidP="008325AA">
      <w:pPr>
        <w:spacing w:after="0"/>
        <w:ind w:firstLine="0"/>
        <w:rPr>
          <w:szCs w:val="24"/>
          <w:shd w:val="clear" w:color="auto" w:fill="FFFFFF"/>
          <w:lang w:val="en-US"/>
        </w:rPr>
      </w:pPr>
      <w:r w:rsidRPr="001B570D">
        <w:rPr>
          <w:szCs w:val="24"/>
          <w:shd w:val="clear" w:color="auto" w:fill="FFFFFF"/>
        </w:rPr>
        <w:lastRenderedPageBreak/>
        <w:t>MEIRELLES, H. L.; ALEXO, D. B.; BURLE FILHO, J</w:t>
      </w:r>
      <w:r w:rsidR="00F756AF" w:rsidRPr="001B570D">
        <w:rPr>
          <w:szCs w:val="24"/>
          <w:shd w:val="clear" w:color="auto" w:fill="FFFFFF"/>
        </w:rPr>
        <w:t>osé E.</w:t>
      </w:r>
      <w:r w:rsidRPr="001B570D">
        <w:rPr>
          <w:szCs w:val="24"/>
          <w:shd w:val="clear" w:color="auto" w:fill="FFFFFF"/>
        </w:rPr>
        <w:t> </w:t>
      </w:r>
      <w:r w:rsidRPr="001B570D">
        <w:rPr>
          <w:rStyle w:val="Forte"/>
          <w:szCs w:val="24"/>
          <w:shd w:val="clear" w:color="auto" w:fill="FFFFFF"/>
        </w:rPr>
        <w:t>Direito Administrativo Brasileiro</w:t>
      </w:r>
      <w:r w:rsidRPr="001B570D">
        <w:rPr>
          <w:szCs w:val="24"/>
          <w:shd w:val="clear" w:color="auto" w:fill="FFFFFF"/>
        </w:rPr>
        <w:t xml:space="preserve">. </w:t>
      </w:r>
      <w:r w:rsidRPr="001B570D">
        <w:rPr>
          <w:szCs w:val="24"/>
          <w:shd w:val="clear" w:color="auto" w:fill="FFFFFF"/>
          <w:lang w:val="en-US"/>
        </w:rPr>
        <w:t>38ª Ed. Malheiros. São Paulo, 2012.</w:t>
      </w:r>
    </w:p>
    <w:p w14:paraId="5310CEDE" w14:textId="538E4305" w:rsidR="0063719B" w:rsidRPr="001B570D" w:rsidRDefault="0063719B" w:rsidP="008325AA">
      <w:pPr>
        <w:spacing w:after="0"/>
        <w:ind w:firstLine="0"/>
        <w:rPr>
          <w:szCs w:val="24"/>
          <w:shd w:val="clear" w:color="auto" w:fill="FFFFFF"/>
          <w:lang w:val="en-US"/>
        </w:rPr>
      </w:pPr>
      <w:r w:rsidRPr="001B570D">
        <w:rPr>
          <w:szCs w:val="24"/>
          <w:shd w:val="clear" w:color="auto" w:fill="FFFFFF"/>
          <w:lang w:val="en-US"/>
        </w:rPr>
        <w:t>MICHELSON, S. E.; JORDAN-WAGNER, J</w:t>
      </w:r>
      <w:r w:rsidR="003126B5" w:rsidRPr="001B570D">
        <w:rPr>
          <w:szCs w:val="24"/>
          <w:shd w:val="clear" w:color="auto" w:fill="FFFFFF"/>
          <w:lang w:val="en-US"/>
        </w:rPr>
        <w:t>.</w:t>
      </w:r>
      <w:r w:rsidRPr="001B570D">
        <w:rPr>
          <w:szCs w:val="24"/>
          <w:shd w:val="clear" w:color="auto" w:fill="FFFFFF"/>
          <w:lang w:val="en-US"/>
        </w:rPr>
        <w:t xml:space="preserve">; WOOTTON, C. W. A market based analysis of income smoothing. </w:t>
      </w:r>
      <w:r w:rsidRPr="001B570D">
        <w:rPr>
          <w:b/>
          <w:szCs w:val="24"/>
          <w:shd w:val="clear" w:color="auto" w:fill="FFFFFF"/>
          <w:lang w:val="en-US"/>
        </w:rPr>
        <w:t>Journal of Busi</w:t>
      </w:r>
      <w:r w:rsidR="00424B28" w:rsidRPr="001B570D">
        <w:rPr>
          <w:b/>
          <w:szCs w:val="24"/>
          <w:shd w:val="clear" w:color="auto" w:fill="FFFFFF"/>
          <w:lang w:val="en-US"/>
        </w:rPr>
        <w:t>ness Finance &amp; Accounting</w:t>
      </w:r>
      <w:r w:rsidR="00FF2371">
        <w:rPr>
          <w:szCs w:val="24"/>
          <w:shd w:val="clear" w:color="auto" w:fill="FFFFFF"/>
          <w:lang w:val="en-US"/>
        </w:rPr>
        <w:t>,</w:t>
      </w:r>
      <w:r w:rsidRPr="001B570D">
        <w:rPr>
          <w:szCs w:val="24"/>
          <w:shd w:val="clear" w:color="auto" w:fill="FFFFFF"/>
          <w:lang w:val="en-US"/>
        </w:rPr>
        <w:t xml:space="preserve"> v. 22, n. 8, p.1179-1193, 1995.</w:t>
      </w:r>
    </w:p>
    <w:p w14:paraId="46DCFADB" w14:textId="16435FB0" w:rsidR="0063719B" w:rsidRPr="001B570D" w:rsidRDefault="0063719B" w:rsidP="008325AA">
      <w:pPr>
        <w:spacing w:after="0"/>
        <w:ind w:firstLine="0"/>
        <w:rPr>
          <w:szCs w:val="24"/>
          <w:shd w:val="clear" w:color="auto" w:fill="FFFFFF"/>
          <w:lang w:val="en-US"/>
        </w:rPr>
      </w:pPr>
      <w:r w:rsidRPr="001B570D">
        <w:rPr>
          <w:szCs w:val="24"/>
          <w:shd w:val="clear" w:color="auto" w:fill="FFFFFF"/>
          <w:lang w:val="en-US"/>
        </w:rPr>
        <w:t>MOK,</w:t>
      </w:r>
      <w:r w:rsidR="00DE717D" w:rsidRPr="001B570D">
        <w:rPr>
          <w:szCs w:val="24"/>
          <w:shd w:val="clear" w:color="auto" w:fill="FFFFFF"/>
          <w:lang w:val="en-US"/>
        </w:rPr>
        <w:t xml:space="preserve"> H</w:t>
      </w:r>
      <w:r w:rsidR="003126B5" w:rsidRPr="001B570D">
        <w:rPr>
          <w:szCs w:val="24"/>
          <w:shd w:val="clear" w:color="auto" w:fill="FFFFFF"/>
          <w:lang w:val="en-US"/>
        </w:rPr>
        <w:t>.</w:t>
      </w:r>
      <w:r w:rsidRPr="001B570D">
        <w:rPr>
          <w:szCs w:val="24"/>
          <w:shd w:val="clear" w:color="auto" w:fill="FFFFFF"/>
          <w:lang w:val="en-US"/>
        </w:rPr>
        <w:t xml:space="preserve"> M.K; CHAU, S</w:t>
      </w:r>
      <w:r w:rsidR="003126B5" w:rsidRPr="001B570D">
        <w:rPr>
          <w:szCs w:val="24"/>
          <w:shd w:val="clear" w:color="auto" w:fill="FFFFFF"/>
          <w:lang w:val="en-US"/>
        </w:rPr>
        <w:t>.</w:t>
      </w:r>
      <w:r w:rsidR="00DE717D" w:rsidRPr="001B570D">
        <w:rPr>
          <w:szCs w:val="24"/>
          <w:shd w:val="clear" w:color="auto" w:fill="FFFFFF"/>
          <w:lang w:val="en-US"/>
        </w:rPr>
        <w:t xml:space="preserve"> </w:t>
      </w:r>
      <w:r w:rsidRPr="001B570D">
        <w:rPr>
          <w:szCs w:val="24"/>
          <w:shd w:val="clear" w:color="auto" w:fill="FFFFFF"/>
          <w:lang w:val="en-US"/>
        </w:rPr>
        <w:t>S.M. Corporate Performance of Mixed Enterprises.</w:t>
      </w:r>
      <w:r w:rsidRPr="001B570D">
        <w:rPr>
          <w:b/>
          <w:szCs w:val="24"/>
          <w:shd w:val="clear" w:color="auto" w:fill="FFFFFF"/>
          <w:lang w:val="en-US"/>
        </w:rPr>
        <w:t xml:space="preserve"> Jounal of Business Finance &amp; Accounting</w:t>
      </w:r>
      <w:r w:rsidR="00FF2371" w:rsidRPr="00FF2371">
        <w:rPr>
          <w:szCs w:val="24"/>
          <w:shd w:val="clear" w:color="auto" w:fill="FFFFFF"/>
          <w:lang w:val="en-US"/>
        </w:rPr>
        <w:t>,</w:t>
      </w:r>
      <w:r w:rsidRPr="001B570D">
        <w:rPr>
          <w:b/>
          <w:szCs w:val="24"/>
          <w:shd w:val="clear" w:color="auto" w:fill="FFFFFF"/>
          <w:lang w:val="en-US"/>
        </w:rPr>
        <w:t xml:space="preserve"> </w:t>
      </w:r>
      <w:r w:rsidRPr="001B570D">
        <w:rPr>
          <w:szCs w:val="24"/>
          <w:shd w:val="clear" w:color="auto" w:fill="FFFFFF"/>
          <w:lang w:val="en-US"/>
        </w:rPr>
        <w:t>v. 30, p.513-537, 2003.</w:t>
      </w:r>
    </w:p>
    <w:p w14:paraId="26908617" w14:textId="5F2346ED" w:rsidR="0063719B" w:rsidRPr="001B570D" w:rsidRDefault="0063719B" w:rsidP="008325AA">
      <w:pPr>
        <w:spacing w:after="0"/>
        <w:ind w:firstLine="0"/>
        <w:rPr>
          <w:szCs w:val="24"/>
          <w:shd w:val="clear" w:color="auto" w:fill="FFFFFF"/>
          <w:lang w:val="en-US"/>
        </w:rPr>
      </w:pPr>
      <w:r w:rsidRPr="001B570D">
        <w:rPr>
          <w:szCs w:val="24"/>
          <w:shd w:val="clear" w:color="auto" w:fill="FFFFFF"/>
          <w:lang w:val="en-US"/>
        </w:rPr>
        <w:t>MOSS, S</w:t>
      </w:r>
      <w:r w:rsidR="003126B5" w:rsidRPr="001B570D">
        <w:rPr>
          <w:szCs w:val="24"/>
          <w:shd w:val="clear" w:color="auto" w:fill="FFFFFF"/>
          <w:lang w:val="en-US"/>
        </w:rPr>
        <w:t>.</w:t>
      </w:r>
      <w:r w:rsidRPr="001B570D">
        <w:rPr>
          <w:szCs w:val="24"/>
          <w:shd w:val="clear" w:color="auto" w:fill="FFFFFF"/>
          <w:lang w:val="en-US"/>
        </w:rPr>
        <w:t xml:space="preserve"> An Experiment in Mixed Enterprise. </w:t>
      </w:r>
      <w:r w:rsidRPr="001B570D">
        <w:rPr>
          <w:b/>
          <w:szCs w:val="24"/>
          <w:shd w:val="clear" w:color="auto" w:fill="FFFFFF"/>
          <w:lang w:val="en-US"/>
        </w:rPr>
        <w:t>Bulletin of the Oxford University Institute of Economics &amp; Statistics</w:t>
      </w:r>
      <w:r w:rsidR="00FF2371">
        <w:rPr>
          <w:szCs w:val="24"/>
          <w:shd w:val="clear" w:color="auto" w:fill="FFFFFF"/>
          <w:lang w:val="en-US"/>
        </w:rPr>
        <w:t>,</w:t>
      </w:r>
      <w:r w:rsidRPr="001B570D">
        <w:rPr>
          <w:b/>
          <w:szCs w:val="24"/>
          <w:shd w:val="clear" w:color="auto" w:fill="FFFFFF"/>
          <w:lang w:val="en-US"/>
        </w:rPr>
        <w:t xml:space="preserve"> </w:t>
      </w:r>
      <w:r w:rsidRPr="001B570D">
        <w:rPr>
          <w:szCs w:val="24"/>
          <w:shd w:val="clear" w:color="auto" w:fill="FFFFFF"/>
          <w:lang w:val="en-US"/>
        </w:rPr>
        <w:t>v. 26, p.195-204, 1964.</w:t>
      </w:r>
    </w:p>
    <w:p w14:paraId="1174F4BA" w14:textId="24A23D50" w:rsidR="0063719B" w:rsidRPr="001B570D" w:rsidRDefault="0063719B" w:rsidP="008325AA">
      <w:pPr>
        <w:spacing w:after="0"/>
        <w:ind w:firstLine="0"/>
        <w:rPr>
          <w:szCs w:val="24"/>
          <w:shd w:val="clear" w:color="auto" w:fill="FFFFFF"/>
          <w:lang w:val="en-US"/>
        </w:rPr>
      </w:pPr>
      <w:r w:rsidRPr="001B570D">
        <w:rPr>
          <w:szCs w:val="24"/>
          <w:shd w:val="clear" w:color="auto" w:fill="FFFFFF"/>
          <w:lang w:val="en-US"/>
        </w:rPr>
        <w:t xml:space="preserve">MOYER, A.; SHEVLIN, </w:t>
      </w:r>
      <w:r w:rsidR="00DE717D" w:rsidRPr="001B570D">
        <w:rPr>
          <w:szCs w:val="24"/>
          <w:shd w:val="clear" w:color="auto" w:fill="FFFFFF"/>
          <w:lang w:val="en-US"/>
        </w:rPr>
        <w:t>T</w:t>
      </w:r>
      <w:r w:rsidRPr="001B570D">
        <w:rPr>
          <w:szCs w:val="24"/>
          <w:shd w:val="clear" w:color="auto" w:fill="FFFFFF"/>
          <w:lang w:val="en-US"/>
        </w:rPr>
        <w:t xml:space="preserve">. Income smoothing and incentives: empirical test. </w:t>
      </w:r>
      <w:r w:rsidRPr="001B570D">
        <w:rPr>
          <w:b/>
          <w:szCs w:val="24"/>
          <w:shd w:val="clear" w:color="auto" w:fill="FFFFFF"/>
          <w:lang w:val="en-US"/>
        </w:rPr>
        <w:t>The Accounting Review</w:t>
      </w:r>
      <w:r w:rsidR="00FF2371">
        <w:rPr>
          <w:szCs w:val="24"/>
          <w:shd w:val="clear" w:color="auto" w:fill="FFFFFF"/>
          <w:lang w:val="en-US"/>
        </w:rPr>
        <w:t>,</w:t>
      </w:r>
      <w:r w:rsidRPr="001B570D">
        <w:rPr>
          <w:szCs w:val="24"/>
          <w:shd w:val="clear" w:color="auto" w:fill="FFFFFF"/>
          <w:lang w:val="en-US"/>
        </w:rPr>
        <w:t xml:space="preserve"> Sarasota, v. 62, n. 2, p. 358-377, 1995.</w:t>
      </w:r>
    </w:p>
    <w:p w14:paraId="4EDD4B47" w14:textId="2E5BCA00" w:rsidR="0063719B" w:rsidRPr="001B570D" w:rsidRDefault="0063719B" w:rsidP="008325AA">
      <w:pPr>
        <w:spacing w:after="0"/>
        <w:ind w:firstLine="0"/>
        <w:rPr>
          <w:szCs w:val="24"/>
          <w:shd w:val="clear" w:color="auto" w:fill="FFFFFF"/>
        </w:rPr>
      </w:pPr>
      <w:r w:rsidRPr="005A68E1">
        <w:rPr>
          <w:szCs w:val="24"/>
          <w:shd w:val="clear" w:color="auto" w:fill="FFFFFF"/>
        </w:rPr>
        <w:t>NOSSA, S</w:t>
      </w:r>
      <w:r w:rsidR="003126B5" w:rsidRPr="005A68E1">
        <w:rPr>
          <w:szCs w:val="24"/>
          <w:shd w:val="clear" w:color="auto" w:fill="FFFFFF"/>
        </w:rPr>
        <w:t>.</w:t>
      </w:r>
      <w:r w:rsidR="00DE717D" w:rsidRPr="005A68E1">
        <w:rPr>
          <w:szCs w:val="24"/>
          <w:shd w:val="clear" w:color="auto" w:fill="FFFFFF"/>
        </w:rPr>
        <w:t xml:space="preserve"> </w:t>
      </w:r>
      <w:r w:rsidRPr="005A68E1">
        <w:rPr>
          <w:szCs w:val="24"/>
          <w:shd w:val="clear" w:color="auto" w:fill="FFFFFF"/>
        </w:rPr>
        <w:t xml:space="preserve">N.; et al. </w:t>
      </w:r>
      <w:r w:rsidRPr="001B570D">
        <w:rPr>
          <w:szCs w:val="24"/>
          <w:shd w:val="clear" w:color="auto" w:fill="FFFFFF"/>
        </w:rPr>
        <w:t xml:space="preserve">Privatizar ou não? Eis a questão: um estudo empírico sobre a rentabilidade das </w:t>
      </w:r>
      <w:r w:rsidR="002C5D2D" w:rsidRPr="001B570D">
        <w:rPr>
          <w:szCs w:val="24"/>
          <w:shd w:val="clear" w:color="auto" w:fill="FFFFFF"/>
        </w:rPr>
        <w:t>Empresas de Economia Mista</w:t>
      </w:r>
      <w:r w:rsidRPr="001B570D">
        <w:rPr>
          <w:szCs w:val="24"/>
          <w:shd w:val="clear" w:color="auto" w:fill="FFFFFF"/>
        </w:rPr>
        <w:t xml:space="preserve"> e empresas privadas listadas na Bovespa no período de 1995 a 2007. </w:t>
      </w:r>
      <w:r w:rsidRPr="001B570D">
        <w:rPr>
          <w:b/>
          <w:szCs w:val="24"/>
          <w:shd w:val="clear" w:color="auto" w:fill="FFFFFF"/>
        </w:rPr>
        <w:t>RAP-Revista de Administração Pública</w:t>
      </w:r>
      <w:r w:rsidR="00FF2371">
        <w:rPr>
          <w:szCs w:val="24"/>
          <w:shd w:val="clear" w:color="auto" w:fill="FFFFFF"/>
        </w:rPr>
        <w:t>,</w:t>
      </w:r>
      <w:r w:rsidRPr="001B570D">
        <w:rPr>
          <w:b/>
          <w:szCs w:val="24"/>
          <w:shd w:val="clear" w:color="auto" w:fill="FFFFFF"/>
        </w:rPr>
        <w:t xml:space="preserve"> </w:t>
      </w:r>
      <w:r w:rsidR="00424B28" w:rsidRPr="001B570D">
        <w:rPr>
          <w:szCs w:val="24"/>
          <w:shd w:val="clear" w:color="auto" w:fill="FFFFFF"/>
        </w:rPr>
        <w:t>Rio de Janeiro, 45(4):1031-54, j</w:t>
      </w:r>
      <w:r w:rsidRPr="001B570D">
        <w:rPr>
          <w:szCs w:val="24"/>
          <w:shd w:val="clear" w:color="auto" w:fill="FFFFFF"/>
        </w:rPr>
        <w:t>ul./ago., 2011.</w:t>
      </w:r>
    </w:p>
    <w:p w14:paraId="1A9DB61E" w14:textId="78B35D80" w:rsidR="0063719B" w:rsidRPr="001B570D" w:rsidRDefault="0063719B" w:rsidP="008325AA">
      <w:pPr>
        <w:spacing w:after="0"/>
        <w:ind w:firstLine="0"/>
        <w:rPr>
          <w:szCs w:val="24"/>
          <w:shd w:val="clear" w:color="auto" w:fill="FFFFFF"/>
          <w:lang w:val="en-US"/>
        </w:rPr>
      </w:pPr>
      <w:r w:rsidRPr="001B570D">
        <w:rPr>
          <w:szCs w:val="24"/>
          <w:shd w:val="clear" w:color="auto" w:fill="FFFFFF"/>
          <w:lang w:val="en-US"/>
        </w:rPr>
        <w:t>ODAINKEY, H</w:t>
      </w:r>
      <w:r w:rsidR="003126B5" w:rsidRPr="001B570D">
        <w:rPr>
          <w:szCs w:val="24"/>
          <w:shd w:val="clear" w:color="auto" w:fill="FFFFFF"/>
          <w:lang w:val="en-US"/>
        </w:rPr>
        <w:t>.</w:t>
      </w:r>
      <w:r w:rsidRPr="001B570D">
        <w:rPr>
          <w:szCs w:val="24"/>
          <w:shd w:val="clear" w:color="auto" w:fill="FFFFFF"/>
          <w:lang w:val="en-US"/>
        </w:rPr>
        <w:t xml:space="preserve"> N.; SIMPSON, S</w:t>
      </w:r>
      <w:r w:rsidR="003126B5" w:rsidRPr="001B570D">
        <w:rPr>
          <w:szCs w:val="24"/>
          <w:shd w:val="clear" w:color="auto" w:fill="FFFFFF"/>
          <w:lang w:val="en-US"/>
        </w:rPr>
        <w:t>.</w:t>
      </w:r>
      <w:r w:rsidR="006C2B72" w:rsidRPr="001B570D">
        <w:rPr>
          <w:szCs w:val="24"/>
          <w:shd w:val="clear" w:color="auto" w:fill="FFFFFF"/>
          <w:lang w:val="en-US"/>
        </w:rPr>
        <w:t xml:space="preserve"> </w:t>
      </w:r>
      <w:r w:rsidRPr="001B570D">
        <w:rPr>
          <w:szCs w:val="24"/>
          <w:shd w:val="clear" w:color="auto" w:fill="FFFFFF"/>
          <w:lang w:val="en-US"/>
        </w:rPr>
        <w:t xml:space="preserve">N.Y. Ensuring Accountability in State-owned Enterprises: Examining the Role of Annual Reports from a Middle Income Country’s Perspective. </w:t>
      </w:r>
      <w:r w:rsidRPr="001B570D">
        <w:rPr>
          <w:b/>
          <w:szCs w:val="24"/>
          <w:shd w:val="clear" w:color="auto" w:fill="FFFFFF"/>
          <w:lang w:val="en-US"/>
        </w:rPr>
        <w:t>The Journal of Institute of Public Enterprise</w:t>
      </w:r>
      <w:r w:rsidRPr="001B570D">
        <w:rPr>
          <w:szCs w:val="24"/>
          <w:shd w:val="clear" w:color="auto" w:fill="FFFFFF"/>
          <w:lang w:val="en-US"/>
        </w:rPr>
        <w:t xml:space="preserve">, </w:t>
      </w:r>
      <w:r w:rsidR="00424B28" w:rsidRPr="001B570D">
        <w:rPr>
          <w:szCs w:val="24"/>
          <w:shd w:val="clear" w:color="auto" w:fill="FFFFFF"/>
          <w:lang w:val="en-US"/>
        </w:rPr>
        <w:t>v</w:t>
      </w:r>
      <w:r w:rsidRPr="001B570D">
        <w:rPr>
          <w:szCs w:val="24"/>
          <w:shd w:val="clear" w:color="auto" w:fill="FFFFFF"/>
          <w:lang w:val="en-US"/>
        </w:rPr>
        <w:t xml:space="preserve">. 36, </w:t>
      </w:r>
      <w:r w:rsidR="00424B28" w:rsidRPr="001B570D">
        <w:rPr>
          <w:szCs w:val="24"/>
          <w:shd w:val="clear" w:color="auto" w:fill="FFFFFF"/>
          <w:lang w:val="en-US"/>
        </w:rPr>
        <w:t>n</w:t>
      </w:r>
      <w:r w:rsidRPr="001B570D">
        <w:rPr>
          <w:szCs w:val="24"/>
          <w:shd w:val="clear" w:color="auto" w:fill="FFFFFF"/>
          <w:lang w:val="en-US"/>
        </w:rPr>
        <w:t>. 1&amp;2, p 1-21, 2013.</w:t>
      </w:r>
    </w:p>
    <w:p w14:paraId="2F604FC7" w14:textId="51AEB73B" w:rsidR="0063719B" w:rsidRPr="001B570D" w:rsidRDefault="0063719B" w:rsidP="008325AA">
      <w:pPr>
        <w:spacing w:after="0"/>
        <w:ind w:firstLine="0"/>
        <w:rPr>
          <w:szCs w:val="24"/>
          <w:shd w:val="clear" w:color="auto" w:fill="FFFFFF"/>
          <w:lang w:val="en-US"/>
        </w:rPr>
      </w:pPr>
      <w:r w:rsidRPr="001B570D">
        <w:rPr>
          <w:szCs w:val="24"/>
          <w:shd w:val="clear" w:color="auto" w:fill="FFFFFF"/>
          <w:lang w:val="en-US"/>
        </w:rPr>
        <w:t xml:space="preserve">OWUSU-ANSAH, S. The impact of corporate attributes on the extent of mandatory disclosure and reporting by listed companies in Zimbabwe. </w:t>
      </w:r>
      <w:r w:rsidRPr="001B570D">
        <w:rPr>
          <w:b/>
          <w:szCs w:val="24"/>
          <w:shd w:val="clear" w:color="auto" w:fill="FFFFFF"/>
          <w:lang w:val="en-US"/>
        </w:rPr>
        <w:t>The International Journal of Accounting</w:t>
      </w:r>
      <w:r w:rsidRPr="001B570D">
        <w:rPr>
          <w:i/>
          <w:szCs w:val="24"/>
          <w:shd w:val="clear" w:color="auto" w:fill="FFFFFF"/>
          <w:lang w:val="en-US"/>
        </w:rPr>
        <w:t>,</w:t>
      </w:r>
      <w:r w:rsidRPr="001B570D">
        <w:rPr>
          <w:szCs w:val="24"/>
          <w:shd w:val="clear" w:color="auto" w:fill="FFFFFF"/>
          <w:lang w:val="en-US"/>
        </w:rPr>
        <w:t xml:space="preserve"> </w:t>
      </w:r>
      <w:r w:rsidR="00FF2371">
        <w:rPr>
          <w:szCs w:val="24"/>
          <w:shd w:val="clear" w:color="auto" w:fill="FFFFFF"/>
          <w:lang w:val="en-US"/>
        </w:rPr>
        <w:t xml:space="preserve">v. </w:t>
      </w:r>
      <w:r w:rsidRPr="001B570D">
        <w:rPr>
          <w:szCs w:val="24"/>
          <w:shd w:val="clear" w:color="auto" w:fill="FFFFFF"/>
          <w:lang w:val="en-US"/>
        </w:rPr>
        <w:t>33</w:t>
      </w:r>
      <w:r w:rsidR="00FF2371">
        <w:rPr>
          <w:szCs w:val="24"/>
          <w:shd w:val="clear" w:color="auto" w:fill="FFFFFF"/>
          <w:lang w:val="en-US"/>
        </w:rPr>
        <w:t xml:space="preserve">, n. </w:t>
      </w:r>
      <w:r w:rsidRPr="001B570D">
        <w:rPr>
          <w:szCs w:val="24"/>
          <w:shd w:val="clear" w:color="auto" w:fill="FFFFFF"/>
          <w:lang w:val="en-US"/>
        </w:rPr>
        <w:t>5, p. 605–631, 1998.</w:t>
      </w:r>
    </w:p>
    <w:p w14:paraId="1CE14595" w14:textId="380E802A" w:rsidR="0063719B" w:rsidRPr="001B570D" w:rsidRDefault="0063719B" w:rsidP="008325AA">
      <w:pPr>
        <w:spacing w:after="0"/>
        <w:ind w:firstLine="0"/>
        <w:rPr>
          <w:szCs w:val="24"/>
          <w:shd w:val="clear" w:color="auto" w:fill="FFFFFF"/>
          <w:lang w:val="en-US"/>
        </w:rPr>
      </w:pPr>
      <w:r w:rsidRPr="001B570D">
        <w:rPr>
          <w:szCs w:val="24"/>
          <w:shd w:val="clear" w:color="auto" w:fill="FFFFFF"/>
          <w:lang w:val="en-US"/>
        </w:rPr>
        <w:t>PARGENDLER, M</w:t>
      </w:r>
      <w:r w:rsidR="003126B5" w:rsidRPr="001B570D">
        <w:rPr>
          <w:szCs w:val="24"/>
          <w:shd w:val="clear" w:color="auto" w:fill="FFFFFF"/>
          <w:lang w:val="en-US"/>
        </w:rPr>
        <w:t>.</w:t>
      </w:r>
      <w:r w:rsidRPr="001B570D">
        <w:rPr>
          <w:szCs w:val="24"/>
          <w:shd w:val="clear" w:color="auto" w:fill="FFFFFF"/>
          <w:lang w:val="en-US"/>
        </w:rPr>
        <w:t>; MUSACCHIO, A</w:t>
      </w:r>
      <w:r w:rsidR="003126B5" w:rsidRPr="001B570D">
        <w:rPr>
          <w:szCs w:val="24"/>
          <w:shd w:val="clear" w:color="auto" w:fill="FFFFFF"/>
          <w:lang w:val="en-US"/>
        </w:rPr>
        <w:t>.</w:t>
      </w:r>
      <w:r w:rsidRPr="001B570D">
        <w:rPr>
          <w:szCs w:val="24"/>
          <w:shd w:val="clear" w:color="auto" w:fill="FFFFFF"/>
          <w:lang w:val="en-US"/>
        </w:rPr>
        <w:t>; LAZZARINI, S</w:t>
      </w:r>
      <w:r w:rsidR="003126B5" w:rsidRPr="001B570D">
        <w:rPr>
          <w:szCs w:val="24"/>
          <w:shd w:val="clear" w:color="auto" w:fill="FFFFFF"/>
          <w:lang w:val="en-US"/>
        </w:rPr>
        <w:t>.</w:t>
      </w:r>
      <w:r w:rsidRPr="001B570D">
        <w:rPr>
          <w:szCs w:val="24"/>
          <w:shd w:val="clear" w:color="auto" w:fill="FFFFFF"/>
          <w:lang w:val="en-US"/>
        </w:rPr>
        <w:t xml:space="preserve"> G. In Strange Company: The Puzzle of Private Investment in State Controlled Firms. </w:t>
      </w:r>
      <w:r w:rsidRPr="001B570D">
        <w:rPr>
          <w:b/>
          <w:szCs w:val="24"/>
          <w:shd w:val="clear" w:color="auto" w:fill="FFFFFF"/>
          <w:lang w:val="en-US"/>
        </w:rPr>
        <w:t>Harvard Business School Working Paper</w:t>
      </w:r>
      <w:r w:rsidRPr="001B570D">
        <w:rPr>
          <w:szCs w:val="24"/>
          <w:shd w:val="clear" w:color="auto" w:fill="FFFFFF"/>
          <w:lang w:val="en-US"/>
        </w:rPr>
        <w:t xml:space="preserve">, n.13–071, </w:t>
      </w:r>
      <w:r w:rsidR="00424B28" w:rsidRPr="001B570D">
        <w:rPr>
          <w:szCs w:val="24"/>
          <w:shd w:val="clear" w:color="auto" w:fill="FFFFFF"/>
          <w:lang w:val="en-US"/>
        </w:rPr>
        <w:t>f</w:t>
      </w:r>
      <w:r w:rsidRPr="001B570D">
        <w:rPr>
          <w:szCs w:val="24"/>
          <w:shd w:val="clear" w:color="auto" w:fill="FFFFFF"/>
          <w:lang w:val="en-US"/>
        </w:rPr>
        <w:t>eb</w:t>
      </w:r>
      <w:r w:rsidR="00424B28" w:rsidRPr="001B570D">
        <w:rPr>
          <w:szCs w:val="24"/>
          <w:shd w:val="clear" w:color="auto" w:fill="FFFFFF"/>
          <w:lang w:val="en-US"/>
        </w:rPr>
        <w:t>.</w:t>
      </w:r>
      <w:r w:rsidRPr="001B570D">
        <w:rPr>
          <w:szCs w:val="24"/>
          <w:shd w:val="clear" w:color="auto" w:fill="FFFFFF"/>
          <w:lang w:val="en-US"/>
        </w:rPr>
        <w:t xml:space="preserve"> 2013. Acesso em Mar. 2014.</w:t>
      </w:r>
    </w:p>
    <w:p w14:paraId="09373921" w14:textId="77777777" w:rsidR="0063719B" w:rsidRPr="001B570D" w:rsidRDefault="0063719B" w:rsidP="008325AA">
      <w:pPr>
        <w:spacing w:after="0"/>
        <w:ind w:firstLine="0"/>
        <w:rPr>
          <w:szCs w:val="24"/>
          <w:shd w:val="clear" w:color="auto" w:fill="FFFFFF"/>
        </w:rPr>
      </w:pPr>
      <w:r w:rsidRPr="001B570D">
        <w:rPr>
          <w:szCs w:val="24"/>
          <w:shd w:val="clear" w:color="auto" w:fill="FFFFFF"/>
        </w:rPr>
        <w:t>PINTO JUNIOR, M</w:t>
      </w:r>
      <w:r w:rsidR="003126B5" w:rsidRPr="001B570D">
        <w:rPr>
          <w:szCs w:val="24"/>
          <w:shd w:val="clear" w:color="auto" w:fill="FFFFFF"/>
        </w:rPr>
        <w:t>.</w:t>
      </w:r>
      <w:r w:rsidR="00CC5C6C" w:rsidRPr="001B570D">
        <w:rPr>
          <w:szCs w:val="24"/>
          <w:shd w:val="clear" w:color="auto" w:fill="FFFFFF"/>
        </w:rPr>
        <w:t xml:space="preserve"> </w:t>
      </w:r>
      <w:r w:rsidRPr="001B570D">
        <w:rPr>
          <w:szCs w:val="24"/>
          <w:shd w:val="clear" w:color="auto" w:fill="FFFFFF"/>
        </w:rPr>
        <w:t xml:space="preserve">E. </w:t>
      </w:r>
      <w:r w:rsidRPr="001B570D">
        <w:rPr>
          <w:b/>
          <w:szCs w:val="24"/>
          <w:shd w:val="clear" w:color="auto" w:fill="FFFFFF"/>
        </w:rPr>
        <w:t>O Estado como acionista controlador</w:t>
      </w:r>
      <w:r w:rsidRPr="001B570D">
        <w:rPr>
          <w:szCs w:val="24"/>
          <w:shd w:val="clear" w:color="auto" w:fill="FFFFFF"/>
        </w:rPr>
        <w:t>. 517 f. Tese (Doutorado em Direito) – Faculdade de Direito, Universidade de São Paulo, São Paulo, 2009.</w:t>
      </w:r>
    </w:p>
    <w:p w14:paraId="26974BDB" w14:textId="52732C02" w:rsidR="0063719B" w:rsidRPr="001B570D" w:rsidRDefault="0063719B" w:rsidP="008325AA">
      <w:pPr>
        <w:spacing w:after="0"/>
        <w:ind w:firstLine="0"/>
        <w:rPr>
          <w:szCs w:val="24"/>
          <w:shd w:val="clear" w:color="auto" w:fill="FFFFFF"/>
        </w:rPr>
      </w:pPr>
      <w:r w:rsidRPr="001B570D">
        <w:rPr>
          <w:szCs w:val="24"/>
          <w:shd w:val="clear" w:color="auto" w:fill="FFFFFF"/>
          <w:lang w:val="en-US"/>
        </w:rPr>
        <w:t>POPOVA, T</w:t>
      </w:r>
      <w:r w:rsidR="003126B5" w:rsidRPr="001B570D">
        <w:rPr>
          <w:szCs w:val="24"/>
          <w:shd w:val="clear" w:color="auto" w:fill="FFFFFF"/>
          <w:lang w:val="en-US"/>
        </w:rPr>
        <w:t>.</w:t>
      </w:r>
      <w:r w:rsidRPr="001B570D">
        <w:rPr>
          <w:szCs w:val="24"/>
          <w:shd w:val="clear" w:color="auto" w:fill="FFFFFF"/>
          <w:lang w:val="en-US"/>
        </w:rPr>
        <w:t xml:space="preserve">; et al. </w:t>
      </w:r>
      <w:r w:rsidRPr="001B570D">
        <w:rPr>
          <w:szCs w:val="24"/>
          <w:lang w:val="en-US" w:eastAsia="pt-BR"/>
        </w:rPr>
        <w:t xml:space="preserve">Mandatory Disclosure and Its Impact on the Company Value. </w:t>
      </w:r>
      <w:r w:rsidRPr="001B570D">
        <w:rPr>
          <w:b/>
          <w:szCs w:val="24"/>
          <w:lang w:eastAsia="pt-BR"/>
        </w:rPr>
        <w:t>International Business Research</w:t>
      </w:r>
      <w:r w:rsidR="00FF2371">
        <w:rPr>
          <w:szCs w:val="24"/>
          <w:lang w:eastAsia="pt-BR"/>
        </w:rPr>
        <w:t>,</w:t>
      </w:r>
      <w:r w:rsidRPr="001B570D">
        <w:rPr>
          <w:szCs w:val="24"/>
          <w:lang w:eastAsia="pt-BR"/>
        </w:rPr>
        <w:t xml:space="preserve"> </w:t>
      </w:r>
      <w:r w:rsidR="00424B28" w:rsidRPr="001B570D">
        <w:rPr>
          <w:szCs w:val="24"/>
          <w:lang w:eastAsia="pt-BR"/>
        </w:rPr>
        <w:t>v</w:t>
      </w:r>
      <w:r w:rsidRPr="001B570D">
        <w:rPr>
          <w:szCs w:val="24"/>
          <w:lang w:eastAsia="pt-BR"/>
        </w:rPr>
        <w:t xml:space="preserve">. 6, </w:t>
      </w:r>
      <w:r w:rsidR="00424B28" w:rsidRPr="001B570D">
        <w:rPr>
          <w:szCs w:val="24"/>
          <w:lang w:eastAsia="pt-BR"/>
        </w:rPr>
        <w:t>n</w:t>
      </w:r>
      <w:r w:rsidRPr="001B570D">
        <w:rPr>
          <w:szCs w:val="24"/>
          <w:lang w:eastAsia="pt-BR"/>
        </w:rPr>
        <w:t>. 5; 2013</w:t>
      </w:r>
    </w:p>
    <w:p w14:paraId="1545D220" w14:textId="77777777" w:rsidR="0063719B" w:rsidRPr="001B570D" w:rsidRDefault="0063719B" w:rsidP="008325AA">
      <w:pPr>
        <w:spacing w:after="0"/>
        <w:ind w:firstLine="0"/>
        <w:rPr>
          <w:szCs w:val="24"/>
          <w:shd w:val="clear" w:color="auto" w:fill="FFFFFF"/>
        </w:rPr>
      </w:pPr>
      <w:r w:rsidRPr="001B570D">
        <w:rPr>
          <w:rFonts w:eastAsia="Times New Roman"/>
          <w:szCs w:val="24"/>
        </w:rPr>
        <w:t xml:space="preserve">RIBEIRO, F. </w:t>
      </w:r>
      <w:r w:rsidRPr="001B570D">
        <w:rPr>
          <w:rFonts w:eastAsia="Times New Roman"/>
          <w:b/>
          <w:szCs w:val="24"/>
        </w:rPr>
        <w:t>Board interlocking e suavização de resultados: estudo em Companhias brasileiras de capital aberto sob a ótica de redes Sociais</w:t>
      </w:r>
      <w:r w:rsidRPr="001B570D">
        <w:rPr>
          <w:rFonts w:eastAsia="Times New Roman"/>
          <w:szCs w:val="24"/>
        </w:rPr>
        <w:t>. 88 f. Dissertação (Mestrado em Contabilidade), Universidade Federal do Paraná, Curitiba, 2013.</w:t>
      </w:r>
    </w:p>
    <w:p w14:paraId="76C2E062" w14:textId="77777777" w:rsidR="0063719B" w:rsidRPr="001B570D" w:rsidRDefault="003126B5" w:rsidP="008325AA">
      <w:pPr>
        <w:spacing w:after="0"/>
        <w:ind w:firstLine="0"/>
        <w:rPr>
          <w:rFonts w:eastAsia="Times New Roman"/>
          <w:szCs w:val="24"/>
        </w:rPr>
      </w:pPr>
      <w:r w:rsidRPr="001B570D">
        <w:rPr>
          <w:rFonts w:eastAsia="Times New Roman"/>
          <w:szCs w:val="24"/>
        </w:rPr>
        <w:t>SGARBI, A.</w:t>
      </w:r>
      <w:r w:rsidR="00DD6C41" w:rsidRPr="001B570D">
        <w:rPr>
          <w:rFonts w:eastAsia="Times New Roman"/>
          <w:szCs w:val="24"/>
        </w:rPr>
        <w:t xml:space="preserve"> </w:t>
      </w:r>
      <w:r w:rsidR="0063719B" w:rsidRPr="001B570D">
        <w:rPr>
          <w:rFonts w:eastAsia="Times New Roman"/>
          <w:szCs w:val="24"/>
        </w:rPr>
        <w:t xml:space="preserve">A. </w:t>
      </w:r>
      <w:r w:rsidR="0063719B" w:rsidRPr="001B570D">
        <w:rPr>
          <w:rFonts w:eastAsia="Times New Roman"/>
          <w:b/>
          <w:szCs w:val="24"/>
        </w:rPr>
        <w:t xml:space="preserve">Modelos de governança corporativa e sociedades de economia mista – </w:t>
      </w:r>
      <w:r w:rsidR="0063719B" w:rsidRPr="001B570D">
        <w:rPr>
          <w:rFonts w:eastAsia="Times New Roman"/>
          <w:szCs w:val="24"/>
        </w:rPr>
        <w:t xml:space="preserve">qual o modelo de governança mais adequado às sociedades de economia mista. 377 f. </w:t>
      </w:r>
      <w:r w:rsidR="0063719B" w:rsidRPr="001B570D">
        <w:rPr>
          <w:rFonts w:eastAsia="Times New Roman"/>
          <w:szCs w:val="24"/>
        </w:rPr>
        <w:lastRenderedPageBreak/>
        <w:t>Dissertação (Mestrado em Direito) – Faculdade de Direito, Universidade Federal de Minas Gerais-UFMG, Belo Horizonte, 2011.</w:t>
      </w:r>
    </w:p>
    <w:p w14:paraId="2D26FDE6" w14:textId="77777777" w:rsidR="0063719B" w:rsidRPr="001B570D" w:rsidRDefault="0063719B" w:rsidP="008325AA">
      <w:pPr>
        <w:spacing w:after="0"/>
        <w:ind w:firstLine="0"/>
        <w:rPr>
          <w:szCs w:val="24"/>
          <w:shd w:val="clear" w:color="auto" w:fill="FFFFFF"/>
        </w:rPr>
      </w:pPr>
      <w:r w:rsidRPr="001B570D">
        <w:rPr>
          <w:szCs w:val="24"/>
          <w:shd w:val="clear" w:color="auto" w:fill="FFFFFF"/>
        </w:rPr>
        <w:t>SIQUEIRA, I</w:t>
      </w:r>
      <w:r w:rsidR="003126B5" w:rsidRPr="001B570D">
        <w:rPr>
          <w:szCs w:val="24"/>
          <w:shd w:val="clear" w:color="auto" w:fill="FFFFFF"/>
        </w:rPr>
        <w:t>.</w:t>
      </w:r>
      <w:r w:rsidR="003C1D4D" w:rsidRPr="001B570D">
        <w:rPr>
          <w:szCs w:val="24"/>
          <w:shd w:val="clear" w:color="auto" w:fill="FFFFFF"/>
        </w:rPr>
        <w:t xml:space="preserve"> </w:t>
      </w:r>
      <w:r w:rsidRPr="001B570D">
        <w:rPr>
          <w:szCs w:val="24"/>
          <w:shd w:val="clear" w:color="auto" w:fill="FFFFFF"/>
        </w:rPr>
        <w:t>A.S</w:t>
      </w:r>
      <w:r w:rsidRPr="001B570D">
        <w:rPr>
          <w:b/>
          <w:szCs w:val="24"/>
          <w:shd w:val="clear" w:color="auto" w:fill="FFFFFF"/>
        </w:rPr>
        <w:t>. Acordos de Acionistas das Sociedades de Economia Mista de Capital Aberto</w:t>
      </w:r>
      <w:r w:rsidRPr="001B570D">
        <w:rPr>
          <w:i/>
          <w:szCs w:val="24"/>
          <w:shd w:val="clear" w:color="auto" w:fill="FFFFFF"/>
        </w:rPr>
        <w:t>.</w:t>
      </w:r>
      <w:r w:rsidRPr="001B570D">
        <w:rPr>
          <w:szCs w:val="24"/>
          <w:shd w:val="clear" w:color="auto" w:fill="FFFFFF"/>
        </w:rPr>
        <w:t xml:space="preserve"> Dissertação (Mestrado em Direito), Universidade Federal de Minas Gerais, Minas Gerais, 2012.</w:t>
      </w:r>
    </w:p>
    <w:p w14:paraId="4BE7226B" w14:textId="12C091E3" w:rsidR="0063719B" w:rsidRPr="001B570D" w:rsidRDefault="0063719B" w:rsidP="008325AA">
      <w:pPr>
        <w:spacing w:after="0"/>
        <w:ind w:firstLine="0"/>
        <w:rPr>
          <w:szCs w:val="24"/>
          <w:lang w:val="en-US"/>
        </w:rPr>
      </w:pPr>
      <w:r w:rsidRPr="001B570D">
        <w:rPr>
          <w:szCs w:val="24"/>
          <w:shd w:val="clear" w:color="auto" w:fill="FFFFFF"/>
        </w:rPr>
        <w:t>SOUZA, W</w:t>
      </w:r>
      <w:r w:rsidR="00357AD1" w:rsidRPr="001B570D">
        <w:rPr>
          <w:szCs w:val="24"/>
          <w:shd w:val="clear" w:color="auto" w:fill="FFFFFF"/>
        </w:rPr>
        <w:t>.</w:t>
      </w:r>
      <w:r w:rsidR="00C1795B" w:rsidRPr="001B570D">
        <w:rPr>
          <w:szCs w:val="24"/>
          <w:shd w:val="clear" w:color="auto" w:fill="FFFFFF"/>
        </w:rPr>
        <w:t xml:space="preserve"> </w:t>
      </w:r>
      <w:r w:rsidRPr="001B570D">
        <w:rPr>
          <w:szCs w:val="24"/>
          <w:shd w:val="clear" w:color="auto" w:fill="FFFFFF"/>
        </w:rPr>
        <w:t>A.R.; SOUZA, M</w:t>
      </w:r>
      <w:r w:rsidR="00357AD1" w:rsidRPr="001B570D">
        <w:rPr>
          <w:szCs w:val="24"/>
          <w:shd w:val="clear" w:color="auto" w:fill="FFFFFF"/>
        </w:rPr>
        <w:t>.</w:t>
      </w:r>
      <w:r w:rsidR="00C1795B" w:rsidRPr="001B570D">
        <w:rPr>
          <w:szCs w:val="24"/>
          <w:shd w:val="clear" w:color="auto" w:fill="FFFFFF"/>
        </w:rPr>
        <w:t xml:space="preserve"> </w:t>
      </w:r>
      <w:r w:rsidRPr="001B570D">
        <w:rPr>
          <w:szCs w:val="24"/>
          <w:shd w:val="clear" w:color="auto" w:fill="FFFFFF"/>
        </w:rPr>
        <w:t>S.; SANTOS, S</w:t>
      </w:r>
      <w:r w:rsidR="00357AD1" w:rsidRPr="001B570D">
        <w:rPr>
          <w:szCs w:val="24"/>
          <w:shd w:val="clear" w:color="auto" w:fill="FFFFFF"/>
        </w:rPr>
        <w:t>.</w:t>
      </w:r>
      <w:r w:rsidR="00C1795B" w:rsidRPr="001B570D">
        <w:rPr>
          <w:szCs w:val="24"/>
          <w:shd w:val="clear" w:color="auto" w:fill="FFFFFF"/>
        </w:rPr>
        <w:t xml:space="preserve"> </w:t>
      </w:r>
      <w:r w:rsidRPr="001B570D">
        <w:rPr>
          <w:szCs w:val="24"/>
          <w:shd w:val="clear" w:color="auto" w:fill="FFFFFF"/>
        </w:rPr>
        <w:t xml:space="preserve">A.; </w:t>
      </w:r>
      <w:r w:rsidR="00424B28" w:rsidRPr="001B570D">
        <w:rPr>
          <w:szCs w:val="24"/>
          <w:shd w:val="clear" w:color="auto" w:fill="FFFFFF"/>
        </w:rPr>
        <w:t>et al..</w:t>
      </w:r>
      <w:r w:rsidRPr="001B570D">
        <w:rPr>
          <w:szCs w:val="24"/>
        </w:rPr>
        <w:t xml:space="preserve"> </w:t>
      </w:r>
      <w:r w:rsidRPr="001B570D">
        <w:rPr>
          <w:bCs/>
          <w:szCs w:val="24"/>
        </w:rPr>
        <w:t xml:space="preserve">Avaliação de </w:t>
      </w:r>
      <w:r w:rsidRPr="001B570D">
        <w:rPr>
          <w:bCs/>
          <w:i/>
          <w:iCs/>
          <w:szCs w:val="24"/>
        </w:rPr>
        <w:t xml:space="preserve">Disclosure </w:t>
      </w:r>
      <w:r w:rsidRPr="001B570D">
        <w:rPr>
          <w:bCs/>
          <w:szCs w:val="24"/>
        </w:rPr>
        <w:t xml:space="preserve">Obrigatório de Informações Administrativas nos Portais de Transparência das </w:t>
      </w:r>
      <w:r w:rsidR="00424B28" w:rsidRPr="001B570D">
        <w:rPr>
          <w:bCs/>
          <w:szCs w:val="24"/>
        </w:rPr>
        <w:t>Assembleias</w:t>
      </w:r>
      <w:r w:rsidRPr="001B570D">
        <w:rPr>
          <w:bCs/>
          <w:szCs w:val="24"/>
        </w:rPr>
        <w:t xml:space="preserve"> Legislativas da Região Norte. </w:t>
      </w:r>
      <w:r w:rsidRPr="001B570D">
        <w:rPr>
          <w:szCs w:val="24"/>
        </w:rPr>
        <w:t xml:space="preserve">In.: IV Congresso Nacional de Administração e Ciências Contábeis - ADCONT, 2013, Rio de Janeiro. </w:t>
      </w:r>
      <w:r w:rsidRPr="001B570D">
        <w:rPr>
          <w:b/>
          <w:szCs w:val="24"/>
          <w:lang w:val="en-US"/>
        </w:rPr>
        <w:t>Anais...</w:t>
      </w:r>
      <w:r w:rsidRPr="001B570D">
        <w:rPr>
          <w:szCs w:val="24"/>
          <w:lang w:val="en-US"/>
        </w:rPr>
        <w:t xml:space="preserve"> Rio de Janeiro, p. 1-15, 2013.</w:t>
      </w:r>
    </w:p>
    <w:p w14:paraId="7D202FBE" w14:textId="78F8978B" w:rsidR="0063719B" w:rsidRPr="001B570D" w:rsidRDefault="0063719B" w:rsidP="008325AA">
      <w:pPr>
        <w:spacing w:after="0"/>
        <w:ind w:firstLine="0"/>
        <w:rPr>
          <w:szCs w:val="24"/>
          <w:shd w:val="clear" w:color="auto" w:fill="FFFFFF"/>
          <w:lang w:val="en-US"/>
        </w:rPr>
      </w:pPr>
      <w:r w:rsidRPr="001B570D">
        <w:rPr>
          <w:szCs w:val="24"/>
          <w:shd w:val="clear" w:color="auto" w:fill="FFFFFF"/>
          <w:lang w:val="en-US"/>
        </w:rPr>
        <w:t>SPENCER, D</w:t>
      </w:r>
      <w:r w:rsidR="00357AD1" w:rsidRPr="001B570D">
        <w:rPr>
          <w:szCs w:val="24"/>
          <w:shd w:val="clear" w:color="auto" w:fill="FFFFFF"/>
          <w:lang w:val="en-US"/>
        </w:rPr>
        <w:t>.</w:t>
      </w:r>
      <w:r w:rsidR="00C206A4" w:rsidRPr="001B570D">
        <w:rPr>
          <w:szCs w:val="24"/>
          <w:shd w:val="clear" w:color="auto" w:fill="FFFFFF"/>
          <w:lang w:val="en-US"/>
        </w:rPr>
        <w:t xml:space="preserve"> </w:t>
      </w:r>
      <w:r w:rsidRPr="001B570D">
        <w:rPr>
          <w:szCs w:val="24"/>
          <w:shd w:val="clear" w:color="auto" w:fill="FFFFFF"/>
          <w:lang w:val="en-US"/>
        </w:rPr>
        <w:t xml:space="preserve">L. Mixed Enterprise as a Tool of Economic Development: India’s Contribution. </w:t>
      </w:r>
      <w:r w:rsidRPr="001B570D">
        <w:rPr>
          <w:b/>
          <w:szCs w:val="24"/>
          <w:shd w:val="clear" w:color="auto" w:fill="FFFFFF"/>
          <w:lang w:val="en-US"/>
        </w:rPr>
        <w:t>The American Journal of Economics and Sociology</w:t>
      </w:r>
      <w:r w:rsidR="00FF2371">
        <w:rPr>
          <w:i/>
          <w:szCs w:val="24"/>
          <w:shd w:val="clear" w:color="auto" w:fill="FFFFFF"/>
          <w:lang w:val="en-US"/>
        </w:rPr>
        <w:t>,</w:t>
      </w:r>
      <w:r w:rsidRPr="001B570D">
        <w:rPr>
          <w:b/>
          <w:szCs w:val="24"/>
          <w:shd w:val="clear" w:color="auto" w:fill="FFFFFF"/>
          <w:lang w:val="en-US"/>
        </w:rPr>
        <w:t xml:space="preserve"> </w:t>
      </w:r>
      <w:r w:rsidRPr="001B570D">
        <w:rPr>
          <w:szCs w:val="24"/>
          <w:shd w:val="clear" w:color="auto" w:fill="FFFFFF"/>
          <w:lang w:val="en-US"/>
        </w:rPr>
        <w:t>v. 14, p.139-158, 1955.</w:t>
      </w:r>
    </w:p>
    <w:p w14:paraId="56D49A29" w14:textId="1DB52BC0" w:rsidR="0063719B" w:rsidRPr="001B570D" w:rsidRDefault="0063719B" w:rsidP="008325AA">
      <w:pPr>
        <w:spacing w:after="0"/>
        <w:ind w:firstLine="0"/>
        <w:rPr>
          <w:szCs w:val="24"/>
          <w:shd w:val="clear" w:color="auto" w:fill="FFFFFF"/>
        </w:rPr>
      </w:pPr>
      <w:r w:rsidRPr="001B570D">
        <w:rPr>
          <w:szCs w:val="24"/>
          <w:shd w:val="clear" w:color="auto" w:fill="FFFFFF"/>
        </w:rPr>
        <w:t>TONIN, J</w:t>
      </w:r>
      <w:r w:rsidR="00357AD1" w:rsidRPr="001B570D">
        <w:rPr>
          <w:szCs w:val="24"/>
          <w:shd w:val="clear" w:color="auto" w:fill="FFFFFF"/>
        </w:rPr>
        <w:t>.</w:t>
      </w:r>
      <w:r w:rsidRPr="001B570D">
        <w:rPr>
          <w:szCs w:val="24"/>
          <w:shd w:val="clear" w:color="auto" w:fill="FFFFFF"/>
        </w:rPr>
        <w:t xml:space="preserve"> M. F. </w:t>
      </w:r>
      <w:r w:rsidRPr="001B570D">
        <w:rPr>
          <w:b/>
          <w:szCs w:val="24"/>
          <w:shd w:val="clear" w:color="auto" w:fill="FFFFFF"/>
        </w:rPr>
        <w:t>Relação entre Income Smoothing e Rathing em companhias brasileiras de capital aberto</w:t>
      </w:r>
      <w:r w:rsidR="001B570D">
        <w:rPr>
          <w:szCs w:val="24"/>
          <w:shd w:val="clear" w:color="auto" w:fill="FFFFFF"/>
        </w:rPr>
        <w:t>.</w:t>
      </w:r>
      <w:r w:rsidRPr="001B570D">
        <w:rPr>
          <w:szCs w:val="24"/>
          <w:shd w:val="clear" w:color="auto" w:fill="FFFFFF"/>
        </w:rPr>
        <w:t xml:space="preserve"> 103 f. Dissertação (Mestrado em Contabilidade) – Programa de Pós Graduação em Contabilidade, Universidade Federal do Paraná, Curitiba, 2012.</w:t>
      </w:r>
    </w:p>
    <w:p w14:paraId="352B06C3" w14:textId="784A8E8E" w:rsidR="0063719B" w:rsidRPr="001B570D" w:rsidRDefault="0063719B" w:rsidP="008325AA">
      <w:pPr>
        <w:spacing w:after="0"/>
        <w:ind w:firstLine="0"/>
        <w:rPr>
          <w:szCs w:val="24"/>
          <w:shd w:val="clear" w:color="auto" w:fill="FFFFFF"/>
          <w:lang w:val="en-US"/>
        </w:rPr>
      </w:pPr>
      <w:r w:rsidRPr="001B570D">
        <w:rPr>
          <w:szCs w:val="24"/>
          <w:shd w:val="clear" w:color="auto" w:fill="FFFFFF"/>
          <w:lang w:val="en-US"/>
        </w:rPr>
        <w:t>TRUEMAN, B</w:t>
      </w:r>
      <w:r w:rsidR="00357AD1" w:rsidRPr="001B570D">
        <w:rPr>
          <w:szCs w:val="24"/>
          <w:shd w:val="clear" w:color="auto" w:fill="FFFFFF"/>
          <w:lang w:val="en-US"/>
        </w:rPr>
        <w:t>.</w:t>
      </w:r>
      <w:r w:rsidRPr="001B570D">
        <w:rPr>
          <w:szCs w:val="24"/>
          <w:shd w:val="clear" w:color="auto" w:fill="FFFFFF"/>
          <w:lang w:val="en-US"/>
        </w:rPr>
        <w:t xml:space="preserve">; TITMAN, S.  An explanation for accounting income smoothing. </w:t>
      </w:r>
      <w:r w:rsidRPr="001B570D">
        <w:rPr>
          <w:b/>
          <w:szCs w:val="24"/>
          <w:shd w:val="clear" w:color="auto" w:fill="FFFFFF"/>
          <w:lang w:val="en-US"/>
        </w:rPr>
        <w:t>Journal Accounting Research</w:t>
      </w:r>
      <w:r w:rsidR="00FF2371">
        <w:rPr>
          <w:szCs w:val="24"/>
          <w:shd w:val="clear" w:color="auto" w:fill="FFFFFF"/>
          <w:lang w:val="en-US"/>
        </w:rPr>
        <w:t>,</w:t>
      </w:r>
      <w:r w:rsidRPr="001B570D">
        <w:rPr>
          <w:szCs w:val="24"/>
          <w:shd w:val="clear" w:color="auto" w:fill="FFFFFF"/>
          <w:lang w:val="en-US"/>
        </w:rPr>
        <w:t xml:space="preserve"> v. 26, p. 127-139, 1988.</w:t>
      </w:r>
    </w:p>
    <w:p w14:paraId="3567F857" w14:textId="7A213BCD" w:rsidR="0063719B" w:rsidRPr="001B570D" w:rsidRDefault="0063719B" w:rsidP="008325AA">
      <w:pPr>
        <w:spacing w:after="0"/>
        <w:ind w:firstLine="0"/>
        <w:jc w:val="left"/>
        <w:rPr>
          <w:rFonts w:eastAsia="Times New Roman"/>
          <w:szCs w:val="24"/>
          <w:lang w:val="en-US"/>
        </w:rPr>
      </w:pPr>
      <w:r w:rsidRPr="001B570D">
        <w:rPr>
          <w:rFonts w:eastAsia="Times New Roman"/>
          <w:szCs w:val="24"/>
          <w:lang w:val="en-US"/>
        </w:rPr>
        <w:t>WALLACE, R</w:t>
      </w:r>
      <w:r w:rsidR="00357AD1" w:rsidRPr="001B570D">
        <w:rPr>
          <w:rFonts w:eastAsia="Times New Roman"/>
          <w:szCs w:val="24"/>
          <w:lang w:val="en-US"/>
        </w:rPr>
        <w:t>.</w:t>
      </w:r>
      <w:r w:rsidR="005D4E9D" w:rsidRPr="001B570D">
        <w:rPr>
          <w:rFonts w:eastAsia="Times New Roman"/>
          <w:szCs w:val="24"/>
          <w:lang w:val="en-US"/>
        </w:rPr>
        <w:t xml:space="preserve"> </w:t>
      </w:r>
      <w:r w:rsidRPr="001B570D">
        <w:rPr>
          <w:rFonts w:eastAsia="Times New Roman"/>
          <w:szCs w:val="24"/>
          <w:lang w:val="en-US"/>
        </w:rPr>
        <w:t xml:space="preserve">S.O; NASER, K. Firm-specific determinants of comprehensiveness of mandatory disclosure in the corporate annual reports of firms on the stock exchange of Hong Kong. </w:t>
      </w:r>
      <w:r w:rsidRPr="001B570D">
        <w:rPr>
          <w:rFonts w:eastAsia="Times New Roman"/>
          <w:b/>
          <w:szCs w:val="24"/>
          <w:lang w:val="en-US"/>
        </w:rPr>
        <w:t>Journal of Accounting and Public Policy</w:t>
      </w:r>
      <w:r w:rsidR="00FF2371">
        <w:rPr>
          <w:rFonts w:eastAsia="Times New Roman"/>
          <w:szCs w:val="24"/>
          <w:lang w:val="en-US"/>
        </w:rPr>
        <w:t>,</w:t>
      </w:r>
      <w:r w:rsidR="00E74AFF" w:rsidRPr="001B570D">
        <w:rPr>
          <w:rFonts w:eastAsia="Times New Roman"/>
          <w:szCs w:val="24"/>
          <w:lang w:val="en-US"/>
        </w:rPr>
        <w:t xml:space="preserve"> n</w:t>
      </w:r>
      <w:r w:rsidRPr="001B570D">
        <w:rPr>
          <w:rFonts w:eastAsia="Times New Roman"/>
          <w:szCs w:val="24"/>
          <w:lang w:val="en-US"/>
        </w:rPr>
        <w:t xml:space="preserve"> 14, 311-368, 1995.</w:t>
      </w:r>
    </w:p>
    <w:p w14:paraId="70AEEAE2" w14:textId="0F5BC6DE" w:rsidR="0063719B" w:rsidRPr="001B570D" w:rsidRDefault="0063719B" w:rsidP="008325AA">
      <w:pPr>
        <w:spacing w:after="0"/>
        <w:ind w:firstLine="0"/>
        <w:rPr>
          <w:szCs w:val="24"/>
          <w:shd w:val="clear" w:color="auto" w:fill="FFFFFF"/>
          <w:lang w:val="en-US"/>
        </w:rPr>
      </w:pPr>
      <w:r w:rsidRPr="001B570D">
        <w:rPr>
          <w:szCs w:val="24"/>
          <w:shd w:val="clear" w:color="auto" w:fill="FFFFFF"/>
          <w:lang w:val="en-US"/>
        </w:rPr>
        <w:t>WATTS, R</w:t>
      </w:r>
      <w:r w:rsidR="00357AD1" w:rsidRPr="001B570D">
        <w:rPr>
          <w:szCs w:val="24"/>
          <w:shd w:val="clear" w:color="auto" w:fill="FFFFFF"/>
          <w:lang w:val="en-US"/>
        </w:rPr>
        <w:t>.</w:t>
      </w:r>
      <w:r w:rsidR="004D158D" w:rsidRPr="001B570D">
        <w:rPr>
          <w:szCs w:val="24"/>
          <w:shd w:val="clear" w:color="auto" w:fill="FFFFFF"/>
          <w:lang w:val="en-US"/>
        </w:rPr>
        <w:t xml:space="preserve"> </w:t>
      </w:r>
      <w:r w:rsidRPr="001B570D">
        <w:rPr>
          <w:szCs w:val="24"/>
          <w:shd w:val="clear" w:color="auto" w:fill="FFFFFF"/>
          <w:lang w:val="en-US"/>
        </w:rPr>
        <w:t xml:space="preserve">L.; ZIMMERMAN, J. L. Towards a Positive Theory of the Determination of Accounting Standards. </w:t>
      </w:r>
      <w:r w:rsidRPr="001B570D">
        <w:rPr>
          <w:b/>
          <w:szCs w:val="24"/>
          <w:shd w:val="clear" w:color="auto" w:fill="FFFFFF"/>
          <w:lang w:val="en-US"/>
        </w:rPr>
        <w:t>The Accounting Review</w:t>
      </w:r>
      <w:r w:rsidRPr="001B570D">
        <w:rPr>
          <w:szCs w:val="24"/>
          <w:shd w:val="clear" w:color="auto" w:fill="FFFFFF"/>
          <w:lang w:val="en-US"/>
        </w:rPr>
        <w:t xml:space="preserve">, </w:t>
      </w:r>
      <w:r w:rsidR="00E74AFF" w:rsidRPr="001B570D">
        <w:rPr>
          <w:szCs w:val="24"/>
          <w:shd w:val="clear" w:color="auto" w:fill="FFFFFF"/>
          <w:lang w:val="en-US"/>
        </w:rPr>
        <w:t>v</w:t>
      </w:r>
      <w:r w:rsidRPr="001B570D">
        <w:rPr>
          <w:szCs w:val="24"/>
          <w:shd w:val="clear" w:color="auto" w:fill="FFFFFF"/>
          <w:lang w:val="en-US"/>
        </w:rPr>
        <w:t>. 53, p. 112-134, 1978.</w:t>
      </w:r>
    </w:p>
    <w:p w14:paraId="0175D2AC" w14:textId="69E7BF0B" w:rsidR="0063719B" w:rsidRPr="001B570D" w:rsidRDefault="0063719B" w:rsidP="008325AA">
      <w:pPr>
        <w:spacing w:after="0"/>
        <w:ind w:firstLine="0"/>
        <w:rPr>
          <w:szCs w:val="24"/>
          <w:shd w:val="clear" w:color="auto" w:fill="FFFFFF"/>
          <w:lang w:val="en-US"/>
        </w:rPr>
      </w:pPr>
      <w:r w:rsidRPr="001B570D">
        <w:rPr>
          <w:szCs w:val="24"/>
          <w:shd w:val="clear" w:color="auto" w:fill="FFFFFF"/>
          <w:lang w:val="en-US"/>
        </w:rPr>
        <w:t>WEEKS, D</w:t>
      </w:r>
      <w:r w:rsidR="00357AD1" w:rsidRPr="001B570D">
        <w:rPr>
          <w:szCs w:val="24"/>
          <w:shd w:val="clear" w:color="auto" w:fill="FFFFFF"/>
          <w:lang w:val="en-US"/>
        </w:rPr>
        <w:t>.</w:t>
      </w:r>
      <w:r w:rsidR="004D158D" w:rsidRPr="001B570D">
        <w:rPr>
          <w:szCs w:val="24"/>
          <w:shd w:val="clear" w:color="auto" w:fill="FFFFFF"/>
          <w:lang w:val="en-US"/>
        </w:rPr>
        <w:t xml:space="preserve"> </w:t>
      </w:r>
      <w:r w:rsidRPr="001B570D">
        <w:rPr>
          <w:szCs w:val="24"/>
          <w:shd w:val="clear" w:color="auto" w:fill="FFFFFF"/>
          <w:lang w:val="en-US"/>
        </w:rPr>
        <w:t xml:space="preserve">H. Public-Private Enterprise for the Railroad Industry. </w:t>
      </w:r>
      <w:r w:rsidRPr="001B570D">
        <w:rPr>
          <w:b/>
          <w:szCs w:val="24"/>
          <w:shd w:val="clear" w:color="auto" w:fill="FFFFFF"/>
          <w:lang w:val="en-US"/>
        </w:rPr>
        <w:t>Transportation Journal</w:t>
      </w:r>
      <w:r w:rsidR="00FF2371" w:rsidRPr="00FF2371">
        <w:rPr>
          <w:szCs w:val="24"/>
          <w:shd w:val="clear" w:color="auto" w:fill="FFFFFF"/>
          <w:lang w:val="en-US"/>
        </w:rPr>
        <w:t>,</w:t>
      </w:r>
      <w:r w:rsidRPr="001B570D">
        <w:rPr>
          <w:b/>
          <w:szCs w:val="24"/>
          <w:shd w:val="clear" w:color="auto" w:fill="FFFFFF"/>
          <w:lang w:val="en-US"/>
        </w:rPr>
        <w:t xml:space="preserve"> </w:t>
      </w:r>
      <w:r w:rsidRPr="001B570D">
        <w:rPr>
          <w:szCs w:val="24"/>
          <w:shd w:val="clear" w:color="auto" w:fill="FFFFFF"/>
          <w:lang w:val="en-US"/>
        </w:rPr>
        <w:t>v. 9, n.2. 5-11, 1969.</w:t>
      </w:r>
    </w:p>
    <w:p w14:paraId="13859998" w14:textId="5A53F690" w:rsidR="00E74AFF" w:rsidRPr="00E656E3" w:rsidRDefault="0063719B" w:rsidP="008325AA">
      <w:pPr>
        <w:spacing w:after="0"/>
        <w:ind w:firstLine="0"/>
        <w:rPr>
          <w:szCs w:val="24"/>
          <w:shd w:val="clear" w:color="auto" w:fill="FFFFFF"/>
        </w:rPr>
      </w:pPr>
      <w:r w:rsidRPr="001B570D">
        <w:rPr>
          <w:szCs w:val="24"/>
          <w:shd w:val="clear" w:color="auto" w:fill="FFFFFF"/>
          <w:lang w:val="en-US"/>
        </w:rPr>
        <w:t>YANG, C</w:t>
      </w:r>
      <w:r w:rsidR="00357AD1" w:rsidRPr="001B570D">
        <w:rPr>
          <w:szCs w:val="24"/>
          <w:shd w:val="clear" w:color="auto" w:fill="FFFFFF"/>
          <w:lang w:val="en-US"/>
        </w:rPr>
        <w:t>.</w:t>
      </w:r>
      <w:r w:rsidR="004D158D" w:rsidRPr="001B570D">
        <w:rPr>
          <w:szCs w:val="24"/>
          <w:shd w:val="clear" w:color="auto" w:fill="FFFFFF"/>
          <w:lang w:val="en-US"/>
        </w:rPr>
        <w:t xml:space="preserve"> </w:t>
      </w:r>
      <w:r w:rsidRPr="001B570D">
        <w:rPr>
          <w:szCs w:val="24"/>
          <w:shd w:val="clear" w:color="auto" w:fill="FFFFFF"/>
          <w:lang w:val="en-US"/>
        </w:rPr>
        <w:t>Y.; MURINDE, V</w:t>
      </w:r>
      <w:r w:rsidR="00357AD1" w:rsidRPr="001B570D">
        <w:rPr>
          <w:szCs w:val="24"/>
          <w:shd w:val="clear" w:color="auto" w:fill="FFFFFF"/>
          <w:lang w:val="en-US"/>
        </w:rPr>
        <w:t>.</w:t>
      </w:r>
      <w:r w:rsidRPr="001B570D">
        <w:rPr>
          <w:szCs w:val="24"/>
          <w:shd w:val="clear" w:color="auto" w:fill="FFFFFF"/>
          <w:lang w:val="en-US"/>
        </w:rPr>
        <w:t>; DING, X. Ownership Structure, Corporate Governance and Income Smoothing in China</w:t>
      </w:r>
      <w:r w:rsidR="00E74AFF" w:rsidRPr="001B570D">
        <w:rPr>
          <w:szCs w:val="24"/>
          <w:shd w:val="clear" w:color="auto" w:fill="FFFFFF"/>
          <w:lang w:val="en-US"/>
        </w:rPr>
        <w:t>.</w:t>
      </w:r>
      <w:r w:rsidRPr="001B570D">
        <w:rPr>
          <w:szCs w:val="24"/>
          <w:shd w:val="clear" w:color="auto" w:fill="FFFFFF"/>
          <w:lang w:val="en-US"/>
        </w:rPr>
        <w:t xml:space="preserve"> </w:t>
      </w:r>
      <w:r w:rsidRPr="001B570D">
        <w:rPr>
          <w:b/>
          <w:szCs w:val="24"/>
          <w:shd w:val="clear" w:color="auto" w:fill="FFFFFF"/>
        </w:rPr>
        <w:t>European Financial Management Symposium</w:t>
      </w:r>
      <w:r w:rsidRPr="001B570D">
        <w:rPr>
          <w:szCs w:val="24"/>
          <w:shd w:val="clear" w:color="auto" w:fill="FFFFFF"/>
        </w:rPr>
        <w:t>.</w:t>
      </w:r>
      <w:r w:rsidR="00E74AFF" w:rsidRPr="001B570D">
        <w:rPr>
          <w:szCs w:val="24"/>
          <w:shd w:val="clear" w:color="auto" w:fill="FFFFFF"/>
        </w:rPr>
        <w:t xml:space="preserve"> 2010.</w:t>
      </w:r>
      <w:r w:rsidRPr="001B570D">
        <w:rPr>
          <w:szCs w:val="24"/>
          <w:shd w:val="clear" w:color="auto" w:fill="FFFFFF"/>
        </w:rPr>
        <w:t xml:space="preserve"> Disponivel em: &lt;</w:t>
      </w:r>
      <w:r w:rsidRPr="001B570D">
        <w:rPr>
          <w:szCs w:val="24"/>
        </w:rPr>
        <w:t xml:space="preserve">http://efmaefm.org/0efmsymposium/china-2010/papers/efm2010_2.pdf&gt; </w:t>
      </w:r>
      <w:r w:rsidRPr="001B570D">
        <w:rPr>
          <w:szCs w:val="24"/>
          <w:shd w:val="clear" w:color="auto" w:fill="FFFFFF"/>
        </w:rPr>
        <w:t>Acesso em 10 ago. 2014.</w:t>
      </w:r>
      <w:r w:rsidRPr="00E656E3">
        <w:rPr>
          <w:szCs w:val="24"/>
          <w:shd w:val="clear" w:color="auto" w:fill="FFFFFF"/>
        </w:rPr>
        <w:t xml:space="preserve"> </w:t>
      </w:r>
    </w:p>
    <w:sectPr w:rsidR="00E74AFF" w:rsidRPr="00E656E3" w:rsidSect="00E240B6">
      <w:headerReference w:type="default" r:id="rId10"/>
      <w:footerReference w:type="default" r:id="rId11"/>
      <w:pgSz w:w="11906" w:h="16838" w:code="9"/>
      <w:pgMar w:top="1701" w:right="1134" w:bottom="1134"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58A0C4" w15:done="0"/>
  <w15:commentEx w15:paraId="0A162A1E" w15:done="0"/>
  <w15:commentEx w15:paraId="1A823F1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38FDA0" w14:textId="77777777" w:rsidR="00AD11C5" w:rsidRDefault="00AD11C5">
      <w:pPr>
        <w:spacing w:after="0" w:line="240" w:lineRule="auto"/>
      </w:pPr>
      <w:r>
        <w:separator/>
      </w:r>
    </w:p>
  </w:endnote>
  <w:endnote w:type="continuationSeparator" w:id="0">
    <w:p w14:paraId="74660AB7" w14:textId="77777777" w:rsidR="00AD11C5" w:rsidRDefault="00AD1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B4F13" w14:textId="77777777" w:rsidR="001B570D" w:rsidRDefault="001B570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1C4F1C" w14:textId="77777777" w:rsidR="00AD11C5" w:rsidRDefault="00AD11C5">
      <w:pPr>
        <w:spacing w:after="0" w:line="240" w:lineRule="auto"/>
      </w:pPr>
      <w:r>
        <w:separator/>
      </w:r>
    </w:p>
  </w:footnote>
  <w:footnote w:type="continuationSeparator" w:id="0">
    <w:p w14:paraId="0EA232A1" w14:textId="77777777" w:rsidR="00AD11C5" w:rsidRDefault="00AD11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BDFD9" w14:textId="77777777" w:rsidR="001B570D" w:rsidRDefault="001B570D">
    <w:pPr>
      <w:pStyle w:val="Cabealho"/>
      <w:jc w:val="right"/>
    </w:pPr>
    <w:r>
      <w:fldChar w:fldCharType="begin"/>
    </w:r>
    <w:r>
      <w:instrText xml:space="preserve"> PAGE   \* MERGEFORMAT </w:instrText>
    </w:r>
    <w:r>
      <w:fldChar w:fldCharType="separate"/>
    </w:r>
    <w:r w:rsidR="00DC4473">
      <w:rPr>
        <w:noProof/>
      </w:rPr>
      <w:t>21</w:t>
    </w:r>
    <w:r>
      <w:rPr>
        <w:noProof/>
      </w:rPr>
      <w:fldChar w:fldCharType="end"/>
    </w:r>
  </w:p>
  <w:p w14:paraId="74C769D6" w14:textId="77777777" w:rsidR="001B570D" w:rsidRDefault="001B570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77F1D"/>
    <w:multiLevelType w:val="hybridMultilevel"/>
    <w:tmpl w:val="F38E119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DAA65D8"/>
    <w:multiLevelType w:val="multilevel"/>
    <w:tmpl w:val="BD84042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082424F"/>
    <w:multiLevelType w:val="hybridMultilevel"/>
    <w:tmpl w:val="354861EC"/>
    <w:lvl w:ilvl="0" w:tplc="052E2364">
      <w:start w:val="7"/>
      <w:numFmt w:val="decimal"/>
      <w:lvlText w:val="%1"/>
      <w:lvlJc w:val="left"/>
      <w:pPr>
        <w:ind w:left="720" w:hanging="360"/>
      </w:pPr>
      <w:rPr>
        <w:rFonts w:ascii="Times New Roman" w:eastAsia="Calibri" w:hAnsi="Times New Roman" w:cs="Times New Roman" w:hint="default"/>
        <w:b/>
        <w:color w:val="0000FF"/>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6419F9"/>
    <w:multiLevelType w:val="multilevel"/>
    <w:tmpl w:val="922E6F2E"/>
    <w:lvl w:ilvl="0">
      <w:start w:val="1"/>
      <w:numFmt w:val="decimal"/>
      <w:pStyle w:val="Ttulo1"/>
      <w:lvlText w:val="%1"/>
      <w:lvlJc w:val="left"/>
      <w:pPr>
        <w:ind w:left="432" w:hanging="432"/>
      </w:pPr>
      <w:rPr>
        <w:lang w:val="pt-BR"/>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nsid w:val="2EDF6C49"/>
    <w:multiLevelType w:val="hybridMultilevel"/>
    <w:tmpl w:val="63788C42"/>
    <w:lvl w:ilvl="0" w:tplc="0B86829E">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505902"/>
    <w:multiLevelType w:val="hybridMultilevel"/>
    <w:tmpl w:val="BE58B822"/>
    <w:lvl w:ilvl="0" w:tplc="A41C357C">
      <w:start w:val="1"/>
      <w:numFmt w:val="bullet"/>
      <w:lvlText w:val="•"/>
      <w:lvlJc w:val="left"/>
      <w:pPr>
        <w:tabs>
          <w:tab w:val="num" w:pos="720"/>
        </w:tabs>
        <w:ind w:left="720" w:hanging="360"/>
      </w:pPr>
      <w:rPr>
        <w:rFonts w:ascii="Arial" w:hAnsi="Arial" w:hint="default"/>
      </w:rPr>
    </w:lvl>
    <w:lvl w:ilvl="1" w:tplc="229055E2" w:tentative="1">
      <w:start w:val="1"/>
      <w:numFmt w:val="bullet"/>
      <w:lvlText w:val="•"/>
      <w:lvlJc w:val="left"/>
      <w:pPr>
        <w:tabs>
          <w:tab w:val="num" w:pos="1440"/>
        </w:tabs>
        <w:ind w:left="1440" w:hanging="360"/>
      </w:pPr>
      <w:rPr>
        <w:rFonts w:ascii="Arial" w:hAnsi="Arial" w:hint="default"/>
      </w:rPr>
    </w:lvl>
    <w:lvl w:ilvl="2" w:tplc="54AA90EA" w:tentative="1">
      <w:start w:val="1"/>
      <w:numFmt w:val="bullet"/>
      <w:lvlText w:val="•"/>
      <w:lvlJc w:val="left"/>
      <w:pPr>
        <w:tabs>
          <w:tab w:val="num" w:pos="2160"/>
        </w:tabs>
        <w:ind w:left="2160" w:hanging="360"/>
      </w:pPr>
      <w:rPr>
        <w:rFonts w:ascii="Arial" w:hAnsi="Arial" w:hint="default"/>
      </w:rPr>
    </w:lvl>
    <w:lvl w:ilvl="3" w:tplc="E0941A8C" w:tentative="1">
      <w:start w:val="1"/>
      <w:numFmt w:val="bullet"/>
      <w:lvlText w:val="•"/>
      <w:lvlJc w:val="left"/>
      <w:pPr>
        <w:tabs>
          <w:tab w:val="num" w:pos="2880"/>
        </w:tabs>
        <w:ind w:left="2880" w:hanging="360"/>
      </w:pPr>
      <w:rPr>
        <w:rFonts w:ascii="Arial" w:hAnsi="Arial" w:hint="default"/>
      </w:rPr>
    </w:lvl>
    <w:lvl w:ilvl="4" w:tplc="CB76F34A" w:tentative="1">
      <w:start w:val="1"/>
      <w:numFmt w:val="bullet"/>
      <w:lvlText w:val="•"/>
      <w:lvlJc w:val="left"/>
      <w:pPr>
        <w:tabs>
          <w:tab w:val="num" w:pos="3600"/>
        </w:tabs>
        <w:ind w:left="3600" w:hanging="360"/>
      </w:pPr>
      <w:rPr>
        <w:rFonts w:ascii="Arial" w:hAnsi="Arial" w:hint="default"/>
      </w:rPr>
    </w:lvl>
    <w:lvl w:ilvl="5" w:tplc="E222C476" w:tentative="1">
      <w:start w:val="1"/>
      <w:numFmt w:val="bullet"/>
      <w:lvlText w:val="•"/>
      <w:lvlJc w:val="left"/>
      <w:pPr>
        <w:tabs>
          <w:tab w:val="num" w:pos="4320"/>
        </w:tabs>
        <w:ind w:left="4320" w:hanging="360"/>
      </w:pPr>
      <w:rPr>
        <w:rFonts w:ascii="Arial" w:hAnsi="Arial" w:hint="default"/>
      </w:rPr>
    </w:lvl>
    <w:lvl w:ilvl="6" w:tplc="5EF2EC1E" w:tentative="1">
      <w:start w:val="1"/>
      <w:numFmt w:val="bullet"/>
      <w:lvlText w:val="•"/>
      <w:lvlJc w:val="left"/>
      <w:pPr>
        <w:tabs>
          <w:tab w:val="num" w:pos="5040"/>
        </w:tabs>
        <w:ind w:left="5040" w:hanging="360"/>
      </w:pPr>
      <w:rPr>
        <w:rFonts w:ascii="Arial" w:hAnsi="Arial" w:hint="default"/>
      </w:rPr>
    </w:lvl>
    <w:lvl w:ilvl="7" w:tplc="F06844DE" w:tentative="1">
      <w:start w:val="1"/>
      <w:numFmt w:val="bullet"/>
      <w:lvlText w:val="•"/>
      <w:lvlJc w:val="left"/>
      <w:pPr>
        <w:tabs>
          <w:tab w:val="num" w:pos="5760"/>
        </w:tabs>
        <w:ind w:left="5760" w:hanging="360"/>
      </w:pPr>
      <w:rPr>
        <w:rFonts w:ascii="Arial" w:hAnsi="Arial" w:hint="default"/>
      </w:rPr>
    </w:lvl>
    <w:lvl w:ilvl="8" w:tplc="63A8A112" w:tentative="1">
      <w:start w:val="1"/>
      <w:numFmt w:val="bullet"/>
      <w:lvlText w:val="•"/>
      <w:lvlJc w:val="left"/>
      <w:pPr>
        <w:tabs>
          <w:tab w:val="num" w:pos="6480"/>
        </w:tabs>
        <w:ind w:left="6480" w:hanging="360"/>
      </w:pPr>
      <w:rPr>
        <w:rFonts w:ascii="Arial" w:hAnsi="Arial" w:hint="default"/>
      </w:rPr>
    </w:lvl>
  </w:abstractNum>
  <w:abstractNum w:abstractNumId="6">
    <w:nsid w:val="5DE6052A"/>
    <w:multiLevelType w:val="hybridMultilevel"/>
    <w:tmpl w:val="FA7AC2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A44D4D"/>
    <w:multiLevelType w:val="hybridMultilevel"/>
    <w:tmpl w:val="A25AC82E"/>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6E5A49F0"/>
    <w:multiLevelType w:val="hybridMultilevel"/>
    <w:tmpl w:val="6D98CF1A"/>
    <w:lvl w:ilvl="0" w:tplc="A316F2AC">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3"/>
  </w:num>
  <w:num w:numId="2">
    <w:abstractNumId w:val="0"/>
  </w:num>
  <w:num w:numId="3">
    <w:abstractNumId w:val="6"/>
  </w:num>
  <w:num w:numId="4">
    <w:abstractNumId w:val="5"/>
  </w:num>
  <w:num w:numId="5">
    <w:abstractNumId w:val="7"/>
  </w:num>
  <w:num w:numId="6">
    <w:abstractNumId w:val="4"/>
  </w:num>
  <w:num w:numId="7">
    <w:abstractNumId w:val="8"/>
  </w:num>
  <w:num w:numId="8">
    <w:abstractNumId w:val="2"/>
  </w:num>
  <w:num w:numId="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048"/>
    <w:rsid w:val="00000E30"/>
    <w:rsid w:val="000079AE"/>
    <w:rsid w:val="00012BDD"/>
    <w:rsid w:val="00021415"/>
    <w:rsid w:val="00022E11"/>
    <w:rsid w:val="00022EB8"/>
    <w:rsid w:val="00032F53"/>
    <w:rsid w:val="00036146"/>
    <w:rsid w:val="000401BE"/>
    <w:rsid w:val="00053EB3"/>
    <w:rsid w:val="0007324F"/>
    <w:rsid w:val="00073D0C"/>
    <w:rsid w:val="00076F61"/>
    <w:rsid w:val="00080070"/>
    <w:rsid w:val="00081EB1"/>
    <w:rsid w:val="000918AD"/>
    <w:rsid w:val="0009515D"/>
    <w:rsid w:val="000A35DD"/>
    <w:rsid w:val="000B01FB"/>
    <w:rsid w:val="000B3B2A"/>
    <w:rsid w:val="000B4512"/>
    <w:rsid w:val="000C33A9"/>
    <w:rsid w:val="000C4BBF"/>
    <w:rsid w:val="000C5A2F"/>
    <w:rsid w:val="000D40FE"/>
    <w:rsid w:val="000D7B30"/>
    <w:rsid w:val="000F3395"/>
    <w:rsid w:val="000F69F3"/>
    <w:rsid w:val="00100609"/>
    <w:rsid w:val="001036F2"/>
    <w:rsid w:val="001111AD"/>
    <w:rsid w:val="00112ECC"/>
    <w:rsid w:val="001141A5"/>
    <w:rsid w:val="00124EF8"/>
    <w:rsid w:val="00126566"/>
    <w:rsid w:val="00132D26"/>
    <w:rsid w:val="001337DA"/>
    <w:rsid w:val="00133913"/>
    <w:rsid w:val="0013740E"/>
    <w:rsid w:val="001418C1"/>
    <w:rsid w:val="00144FD2"/>
    <w:rsid w:val="001533AB"/>
    <w:rsid w:val="00163A2F"/>
    <w:rsid w:val="0016423F"/>
    <w:rsid w:val="00164565"/>
    <w:rsid w:val="001670B0"/>
    <w:rsid w:val="00170403"/>
    <w:rsid w:val="00170407"/>
    <w:rsid w:val="00170F66"/>
    <w:rsid w:val="00176B1B"/>
    <w:rsid w:val="001822FD"/>
    <w:rsid w:val="001911C8"/>
    <w:rsid w:val="0019781B"/>
    <w:rsid w:val="0019783E"/>
    <w:rsid w:val="001A0351"/>
    <w:rsid w:val="001B1095"/>
    <w:rsid w:val="001B1F2A"/>
    <w:rsid w:val="001B4017"/>
    <w:rsid w:val="001B570D"/>
    <w:rsid w:val="001E5344"/>
    <w:rsid w:val="001E7ADD"/>
    <w:rsid w:val="002136B3"/>
    <w:rsid w:val="00213EA0"/>
    <w:rsid w:val="0021673F"/>
    <w:rsid w:val="00220F47"/>
    <w:rsid w:val="00223FEA"/>
    <w:rsid w:val="00234781"/>
    <w:rsid w:val="00246032"/>
    <w:rsid w:val="0025643D"/>
    <w:rsid w:val="002569FC"/>
    <w:rsid w:val="00266E30"/>
    <w:rsid w:val="00267FF4"/>
    <w:rsid w:val="00281FCC"/>
    <w:rsid w:val="00285790"/>
    <w:rsid w:val="00287B7C"/>
    <w:rsid w:val="00297A4B"/>
    <w:rsid w:val="002B2D50"/>
    <w:rsid w:val="002B4429"/>
    <w:rsid w:val="002C5D2D"/>
    <w:rsid w:val="002C5E86"/>
    <w:rsid w:val="002C6243"/>
    <w:rsid w:val="002C74A5"/>
    <w:rsid w:val="002D5D86"/>
    <w:rsid w:val="002E0070"/>
    <w:rsid w:val="002E19BC"/>
    <w:rsid w:val="002F21B9"/>
    <w:rsid w:val="002F40BB"/>
    <w:rsid w:val="003100AE"/>
    <w:rsid w:val="003126B5"/>
    <w:rsid w:val="00312D33"/>
    <w:rsid w:val="00313711"/>
    <w:rsid w:val="00326A14"/>
    <w:rsid w:val="00330049"/>
    <w:rsid w:val="00335017"/>
    <w:rsid w:val="00336CDF"/>
    <w:rsid w:val="00340041"/>
    <w:rsid w:val="00340E94"/>
    <w:rsid w:val="00342427"/>
    <w:rsid w:val="00347CC9"/>
    <w:rsid w:val="00350E90"/>
    <w:rsid w:val="003550B3"/>
    <w:rsid w:val="00356DAE"/>
    <w:rsid w:val="00357AD1"/>
    <w:rsid w:val="00360FB3"/>
    <w:rsid w:val="00366969"/>
    <w:rsid w:val="00367AAF"/>
    <w:rsid w:val="00375097"/>
    <w:rsid w:val="003805F6"/>
    <w:rsid w:val="00385E12"/>
    <w:rsid w:val="00390AF6"/>
    <w:rsid w:val="003931C6"/>
    <w:rsid w:val="00396C13"/>
    <w:rsid w:val="00396E56"/>
    <w:rsid w:val="003A2497"/>
    <w:rsid w:val="003B2D69"/>
    <w:rsid w:val="003B3F73"/>
    <w:rsid w:val="003C1D4D"/>
    <w:rsid w:val="003D1416"/>
    <w:rsid w:val="003D363E"/>
    <w:rsid w:val="003D6D5D"/>
    <w:rsid w:val="003D7C3C"/>
    <w:rsid w:val="003E0DC6"/>
    <w:rsid w:val="003E2C5E"/>
    <w:rsid w:val="00406F86"/>
    <w:rsid w:val="00410E3A"/>
    <w:rsid w:val="00411841"/>
    <w:rsid w:val="00423EF3"/>
    <w:rsid w:val="0042494F"/>
    <w:rsid w:val="00424B28"/>
    <w:rsid w:val="004254D4"/>
    <w:rsid w:val="004449A1"/>
    <w:rsid w:val="0045332C"/>
    <w:rsid w:val="004553E4"/>
    <w:rsid w:val="0045569D"/>
    <w:rsid w:val="004637D0"/>
    <w:rsid w:val="0047246B"/>
    <w:rsid w:val="004737A1"/>
    <w:rsid w:val="00481769"/>
    <w:rsid w:val="00485D69"/>
    <w:rsid w:val="00485DB0"/>
    <w:rsid w:val="00496BBF"/>
    <w:rsid w:val="004B5310"/>
    <w:rsid w:val="004C26BD"/>
    <w:rsid w:val="004C2BA1"/>
    <w:rsid w:val="004D158D"/>
    <w:rsid w:val="004E4C59"/>
    <w:rsid w:val="004E7772"/>
    <w:rsid w:val="004F0A4A"/>
    <w:rsid w:val="0050037B"/>
    <w:rsid w:val="005114AB"/>
    <w:rsid w:val="005119C3"/>
    <w:rsid w:val="005229F7"/>
    <w:rsid w:val="00530C86"/>
    <w:rsid w:val="00533BD2"/>
    <w:rsid w:val="00544757"/>
    <w:rsid w:val="00544F6E"/>
    <w:rsid w:val="005524D3"/>
    <w:rsid w:val="00555F04"/>
    <w:rsid w:val="00566750"/>
    <w:rsid w:val="00575CE5"/>
    <w:rsid w:val="00580B04"/>
    <w:rsid w:val="0058423C"/>
    <w:rsid w:val="00586314"/>
    <w:rsid w:val="005873DD"/>
    <w:rsid w:val="005A68E1"/>
    <w:rsid w:val="005B3EB7"/>
    <w:rsid w:val="005C06AE"/>
    <w:rsid w:val="005C2298"/>
    <w:rsid w:val="005C536D"/>
    <w:rsid w:val="005D3E22"/>
    <w:rsid w:val="005D4E9D"/>
    <w:rsid w:val="005E07DD"/>
    <w:rsid w:val="005E3553"/>
    <w:rsid w:val="005E56FB"/>
    <w:rsid w:val="005E6EC6"/>
    <w:rsid w:val="005F2762"/>
    <w:rsid w:val="005F4340"/>
    <w:rsid w:val="005F607B"/>
    <w:rsid w:val="00601ABB"/>
    <w:rsid w:val="00602244"/>
    <w:rsid w:val="00602FC6"/>
    <w:rsid w:val="00610CF7"/>
    <w:rsid w:val="00621F3F"/>
    <w:rsid w:val="00624889"/>
    <w:rsid w:val="00632211"/>
    <w:rsid w:val="0063267A"/>
    <w:rsid w:val="00632B8E"/>
    <w:rsid w:val="006349D6"/>
    <w:rsid w:val="0063719B"/>
    <w:rsid w:val="006403D1"/>
    <w:rsid w:val="006440E0"/>
    <w:rsid w:val="0064799D"/>
    <w:rsid w:val="00660DBE"/>
    <w:rsid w:val="0066624B"/>
    <w:rsid w:val="00667350"/>
    <w:rsid w:val="006B269B"/>
    <w:rsid w:val="006B2DCD"/>
    <w:rsid w:val="006B6A0D"/>
    <w:rsid w:val="006B6B6D"/>
    <w:rsid w:val="006C0C97"/>
    <w:rsid w:val="006C2B72"/>
    <w:rsid w:val="006C63EB"/>
    <w:rsid w:val="006D1F11"/>
    <w:rsid w:val="006D705E"/>
    <w:rsid w:val="006D7B41"/>
    <w:rsid w:val="006E4A41"/>
    <w:rsid w:val="006E4A8A"/>
    <w:rsid w:val="006F0933"/>
    <w:rsid w:val="00700409"/>
    <w:rsid w:val="00706728"/>
    <w:rsid w:val="00715CEC"/>
    <w:rsid w:val="007218AA"/>
    <w:rsid w:val="007279C5"/>
    <w:rsid w:val="007341C8"/>
    <w:rsid w:val="00735697"/>
    <w:rsid w:val="00735D7F"/>
    <w:rsid w:val="00760277"/>
    <w:rsid w:val="00761BBB"/>
    <w:rsid w:val="00764396"/>
    <w:rsid w:val="00764D34"/>
    <w:rsid w:val="00765123"/>
    <w:rsid w:val="00772354"/>
    <w:rsid w:val="0078521A"/>
    <w:rsid w:val="00787B06"/>
    <w:rsid w:val="0079370C"/>
    <w:rsid w:val="00797CE5"/>
    <w:rsid w:val="007A2732"/>
    <w:rsid w:val="007A6EE7"/>
    <w:rsid w:val="007A7CE1"/>
    <w:rsid w:val="007B59AE"/>
    <w:rsid w:val="007C67B1"/>
    <w:rsid w:val="007D730E"/>
    <w:rsid w:val="007E0384"/>
    <w:rsid w:val="007E64A9"/>
    <w:rsid w:val="007F0346"/>
    <w:rsid w:val="007F0D11"/>
    <w:rsid w:val="007F418D"/>
    <w:rsid w:val="00806767"/>
    <w:rsid w:val="00812E9F"/>
    <w:rsid w:val="00814B84"/>
    <w:rsid w:val="00820F96"/>
    <w:rsid w:val="0083156D"/>
    <w:rsid w:val="00831A14"/>
    <w:rsid w:val="008325AA"/>
    <w:rsid w:val="00836E79"/>
    <w:rsid w:val="00842A3D"/>
    <w:rsid w:val="00844C6C"/>
    <w:rsid w:val="008508D2"/>
    <w:rsid w:val="00851EB0"/>
    <w:rsid w:val="00852843"/>
    <w:rsid w:val="00862E75"/>
    <w:rsid w:val="00866A2D"/>
    <w:rsid w:val="008757ED"/>
    <w:rsid w:val="00876584"/>
    <w:rsid w:val="0088621F"/>
    <w:rsid w:val="00886FF9"/>
    <w:rsid w:val="00890F2E"/>
    <w:rsid w:val="00896079"/>
    <w:rsid w:val="008A04E8"/>
    <w:rsid w:val="008A4C97"/>
    <w:rsid w:val="008C0B4A"/>
    <w:rsid w:val="008C125C"/>
    <w:rsid w:val="008D2F7B"/>
    <w:rsid w:val="008E41A2"/>
    <w:rsid w:val="008F2993"/>
    <w:rsid w:val="008F35D9"/>
    <w:rsid w:val="008F57E9"/>
    <w:rsid w:val="00901D62"/>
    <w:rsid w:val="009072D9"/>
    <w:rsid w:val="00914BAE"/>
    <w:rsid w:val="0092259C"/>
    <w:rsid w:val="00925D0D"/>
    <w:rsid w:val="00926A12"/>
    <w:rsid w:val="00937984"/>
    <w:rsid w:val="009417D3"/>
    <w:rsid w:val="0094225C"/>
    <w:rsid w:val="00942AC1"/>
    <w:rsid w:val="0094377B"/>
    <w:rsid w:val="00944FB0"/>
    <w:rsid w:val="00951755"/>
    <w:rsid w:val="00952481"/>
    <w:rsid w:val="00964770"/>
    <w:rsid w:val="00965BED"/>
    <w:rsid w:val="0097658F"/>
    <w:rsid w:val="009822E0"/>
    <w:rsid w:val="009928FC"/>
    <w:rsid w:val="0099600B"/>
    <w:rsid w:val="009A3F74"/>
    <w:rsid w:val="009A4199"/>
    <w:rsid w:val="009B041C"/>
    <w:rsid w:val="009B6184"/>
    <w:rsid w:val="009B6830"/>
    <w:rsid w:val="009C2487"/>
    <w:rsid w:val="009C4B71"/>
    <w:rsid w:val="009D0B3D"/>
    <w:rsid w:val="009D5475"/>
    <w:rsid w:val="009E0C2C"/>
    <w:rsid w:val="009E1412"/>
    <w:rsid w:val="009E3A92"/>
    <w:rsid w:val="009E4460"/>
    <w:rsid w:val="009E6834"/>
    <w:rsid w:val="009E6F8E"/>
    <w:rsid w:val="00A10583"/>
    <w:rsid w:val="00A108D9"/>
    <w:rsid w:val="00A11889"/>
    <w:rsid w:val="00A22A27"/>
    <w:rsid w:val="00A2705A"/>
    <w:rsid w:val="00A278D0"/>
    <w:rsid w:val="00A33243"/>
    <w:rsid w:val="00A43AFE"/>
    <w:rsid w:val="00A50D98"/>
    <w:rsid w:val="00A573CE"/>
    <w:rsid w:val="00A62F94"/>
    <w:rsid w:val="00A723DC"/>
    <w:rsid w:val="00A73859"/>
    <w:rsid w:val="00A7685F"/>
    <w:rsid w:val="00A83804"/>
    <w:rsid w:val="00AA2CC7"/>
    <w:rsid w:val="00AA3A22"/>
    <w:rsid w:val="00AB09B8"/>
    <w:rsid w:val="00AB392A"/>
    <w:rsid w:val="00AC7FB8"/>
    <w:rsid w:val="00AD11C5"/>
    <w:rsid w:val="00AE3600"/>
    <w:rsid w:val="00AF6BA9"/>
    <w:rsid w:val="00B054EF"/>
    <w:rsid w:val="00B0604A"/>
    <w:rsid w:val="00B14361"/>
    <w:rsid w:val="00B167B1"/>
    <w:rsid w:val="00B224E6"/>
    <w:rsid w:val="00B27C8B"/>
    <w:rsid w:val="00B30D54"/>
    <w:rsid w:val="00B45651"/>
    <w:rsid w:val="00B546B5"/>
    <w:rsid w:val="00B60D74"/>
    <w:rsid w:val="00B67784"/>
    <w:rsid w:val="00B72D2F"/>
    <w:rsid w:val="00B77722"/>
    <w:rsid w:val="00B85640"/>
    <w:rsid w:val="00B86AB3"/>
    <w:rsid w:val="00B86E09"/>
    <w:rsid w:val="00BA204F"/>
    <w:rsid w:val="00BA48FE"/>
    <w:rsid w:val="00BB1177"/>
    <w:rsid w:val="00BB5C4F"/>
    <w:rsid w:val="00BC551A"/>
    <w:rsid w:val="00BC595E"/>
    <w:rsid w:val="00BC76DE"/>
    <w:rsid w:val="00BC7F9A"/>
    <w:rsid w:val="00BD1380"/>
    <w:rsid w:val="00BD2070"/>
    <w:rsid w:val="00BD3179"/>
    <w:rsid w:val="00BE25AF"/>
    <w:rsid w:val="00BF037F"/>
    <w:rsid w:val="00BF112F"/>
    <w:rsid w:val="00BF21B2"/>
    <w:rsid w:val="00C02175"/>
    <w:rsid w:val="00C05C37"/>
    <w:rsid w:val="00C060DB"/>
    <w:rsid w:val="00C06170"/>
    <w:rsid w:val="00C1795B"/>
    <w:rsid w:val="00C206A4"/>
    <w:rsid w:val="00C23D69"/>
    <w:rsid w:val="00C25250"/>
    <w:rsid w:val="00C34559"/>
    <w:rsid w:val="00C34BB4"/>
    <w:rsid w:val="00C34C19"/>
    <w:rsid w:val="00C40953"/>
    <w:rsid w:val="00C506C6"/>
    <w:rsid w:val="00C5185B"/>
    <w:rsid w:val="00C53511"/>
    <w:rsid w:val="00C53AFD"/>
    <w:rsid w:val="00C541B9"/>
    <w:rsid w:val="00C54A26"/>
    <w:rsid w:val="00C62C9B"/>
    <w:rsid w:val="00C64A93"/>
    <w:rsid w:val="00C823A7"/>
    <w:rsid w:val="00C84C6B"/>
    <w:rsid w:val="00C85A18"/>
    <w:rsid w:val="00C86282"/>
    <w:rsid w:val="00C8798A"/>
    <w:rsid w:val="00C91A10"/>
    <w:rsid w:val="00C9406E"/>
    <w:rsid w:val="00CA1D20"/>
    <w:rsid w:val="00CA2293"/>
    <w:rsid w:val="00CA3136"/>
    <w:rsid w:val="00CA43ED"/>
    <w:rsid w:val="00CB2A85"/>
    <w:rsid w:val="00CB2FF8"/>
    <w:rsid w:val="00CB3CF3"/>
    <w:rsid w:val="00CB67F4"/>
    <w:rsid w:val="00CC2DEF"/>
    <w:rsid w:val="00CC32C7"/>
    <w:rsid w:val="00CC5C6C"/>
    <w:rsid w:val="00CC5DC5"/>
    <w:rsid w:val="00CD1E42"/>
    <w:rsid w:val="00CE0F20"/>
    <w:rsid w:val="00CF6589"/>
    <w:rsid w:val="00CF77C7"/>
    <w:rsid w:val="00D01942"/>
    <w:rsid w:val="00D10A32"/>
    <w:rsid w:val="00D15435"/>
    <w:rsid w:val="00D20FDB"/>
    <w:rsid w:val="00D227AD"/>
    <w:rsid w:val="00D22EB7"/>
    <w:rsid w:val="00D31421"/>
    <w:rsid w:val="00D4072C"/>
    <w:rsid w:val="00D4367A"/>
    <w:rsid w:val="00D45A8F"/>
    <w:rsid w:val="00D47366"/>
    <w:rsid w:val="00D53ED4"/>
    <w:rsid w:val="00D548D6"/>
    <w:rsid w:val="00D627EB"/>
    <w:rsid w:val="00D671A3"/>
    <w:rsid w:val="00D739A0"/>
    <w:rsid w:val="00D765E0"/>
    <w:rsid w:val="00D766D1"/>
    <w:rsid w:val="00D8746D"/>
    <w:rsid w:val="00D8762E"/>
    <w:rsid w:val="00D912D3"/>
    <w:rsid w:val="00D950D5"/>
    <w:rsid w:val="00DA5B00"/>
    <w:rsid w:val="00DA64F4"/>
    <w:rsid w:val="00DB2E90"/>
    <w:rsid w:val="00DB7D9B"/>
    <w:rsid w:val="00DC07A1"/>
    <w:rsid w:val="00DC25F9"/>
    <w:rsid w:val="00DC4473"/>
    <w:rsid w:val="00DC70A7"/>
    <w:rsid w:val="00DD6C41"/>
    <w:rsid w:val="00DE717D"/>
    <w:rsid w:val="00DE7650"/>
    <w:rsid w:val="00DF112A"/>
    <w:rsid w:val="00DF7472"/>
    <w:rsid w:val="00E013E4"/>
    <w:rsid w:val="00E070FD"/>
    <w:rsid w:val="00E11BE7"/>
    <w:rsid w:val="00E169CF"/>
    <w:rsid w:val="00E179FC"/>
    <w:rsid w:val="00E219C6"/>
    <w:rsid w:val="00E240B6"/>
    <w:rsid w:val="00E30071"/>
    <w:rsid w:val="00E300AC"/>
    <w:rsid w:val="00E32AE6"/>
    <w:rsid w:val="00E4458C"/>
    <w:rsid w:val="00E54C6F"/>
    <w:rsid w:val="00E561E7"/>
    <w:rsid w:val="00E61C0D"/>
    <w:rsid w:val="00E62722"/>
    <w:rsid w:val="00E656E3"/>
    <w:rsid w:val="00E74AFF"/>
    <w:rsid w:val="00E8040E"/>
    <w:rsid w:val="00E902E3"/>
    <w:rsid w:val="00EA2C22"/>
    <w:rsid w:val="00EB010E"/>
    <w:rsid w:val="00EC7F29"/>
    <w:rsid w:val="00ED09CD"/>
    <w:rsid w:val="00ED17E3"/>
    <w:rsid w:val="00EE23C6"/>
    <w:rsid w:val="00EE5F4A"/>
    <w:rsid w:val="00EF658E"/>
    <w:rsid w:val="00F01366"/>
    <w:rsid w:val="00F04D1B"/>
    <w:rsid w:val="00F05010"/>
    <w:rsid w:val="00F05661"/>
    <w:rsid w:val="00F115D2"/>
    <w:rsid w:val="00F21257"/>
    <w:rsid w:val="00F24669"/>
    <w:rsid w:val="00F264BC"/>
    <w:rsid w:val="00F27514"/>
    <w:rsid w:val="00F34048"/>
    <w:rsid w:val="00F34D9A"/>
    <w:rsid w:val="00F506A0"/>
    <w:rsid w:val="00F640BE"/>
    <w:rsid w:val="00F66737"/>
    <w:rsid w:val="00F677DF"/>
    <w:rsid w:val="00F756AF"/>
    <w:rsid w:val="00F7668F"/>
    <w:rsid w:val="00F84D19"/>
    <w:rsid w:val="00F90216"/>
    <w:rsid w:val="00F9495A"/>
    <w:rsid w:val="00FC7D00"/>
    <w:rsid w:val="00FD44EC"/>
    <w:rsid w:val="00FD61D1"/>
    <w:rsid w:val="00FE0DF9"/>
    <w:rsid w:val="00FE47C5"/>
    <w:rsid w:val="00FE7A17"/>
    <w:rsid w:val="00FF2371"/>
    <w:rsid w:val="00FF2471"/>
    <w:rsid w:val="00FF330B"/>
    <w:rsid w:val="00FF5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A6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19B"/>
    <w:pPr>
      <w:spacing w:after="120" w:line="360" w:lineRule="auto"/>
      <w:ind w:firstLine="709"/>
      <w:jc w:val="both"/>
    </w:pPr>
    <w:rPr>
      <w:rFonts w:ascii="Times New Roman" w:eastAsia="Calibri" w:hAnsi="Times New Roman" w:cs="Times New Roman"/>
      <w:sz w:val="24"/>
      <w:lang w:val="pt-BR"/>
    </w:rPr>
  </w:style>
  <w:style w:type="paragraph" w:styleId="Ttulo1">
    <w:name w:val="heading 1"/>
    <w:basedOn w:val="Normal"/>
    <w:link w:val="Ttulo1Char"/>
    <w:uiPriority w:val="9"/>
    <w:qFormat/>
    <w:rsid w:val="0063719B"/>
    <w:pPr>
      <w:numPr>
        <w:numId w:val="1"/>
      </w:numPr>
      <w:spacing w:after="1200" w:line="240" w:lineRule="auto"/>
      <w:ind w:left="431" w:hanging="431"/>
      <w:outlineLvl w:val="0"/>
    </w:pPr>
    <w:rPr>
      <w:rFonts w:eastAsia="Times New Roman"/>
      <w:b/>
      <w:bCs/>
      <w:kern w:val="36"/>
      <w:szCs w:val="48"/>
      <w:lang w:val="x-none" w:eastAsia="x-none"/>
    </w:rPr>
  </w:style>
  <w:style w:type="paragraph" w:styleId="Ttulo2">
    <w:name w:val="heading 2"/>
    <w:basedOn w:val="Normal"/>
    <w:next w:val="Normal"/>
    <w:link w:val="Ttulo2Char"/>
    <w:uiPriority w:val="9"/>
    <w:unhideWhenUsed/>
    <w:qFormat/>
    <w:rsid w:val="0063719B"/>
    <w:pPr>
      <w:keepNext/>
      <w:numPr>
        <w:ilvl w:val="1"/>
        <w:numId w:val="1"/>
      </w:numPr>
      <w:spacing w:before="840" w:after="720" w:line="240" w:lineRule="auto"/>
      <w:ind w:left="578" w:hanging="578"/>
      <w:outlineLvl w:val="1"/>
    </w:pPr>
    <w:rPr>
      <w:rFonts w:eastAsia="Times New Roman"/>
      <w:bCs/>
      <w:iCs/>
      <w:caps/>
      <w:szCs w:val="28"/>
      <w:lang w:val="x-none"/>
    </w:rPr>
  </w:style>
  <w:style w:type="paragraph" w:styleId="Ttulo3">
    <w:name w:val="heading 3"/>
    <w:basedOn w:val="Normal"/>
    <w:next w:val="Normal"/>
    <w:link w:val="Ttulo3Char"/>
    <w:uiPriority w:val="9"/>
    <w:unhideWhenUsed/>
    <w:qFormat/>
    <w:rsid w:val="0063719B"/>
    <w:pPr>
      <w:keepNext/>
      <w:numPr>
        <w:ilvl w:val="2"/>
        <w:numId w:val="1"/>
      </w:numPr>
      <w:spacing w:before="720" w:after="600" w:line="240" w:lineRule="auto"/>
      <w:outlineLvl w:val="2"/>
    </w:pPr>
    <w:rPr>
      <w:rFonts w:eastAsia="Times New Roman"/>
      <w:b/>
      <w:bCs/>
      <w:szCs w:val="26"/>
      <w:lang w:val="x-none"/>
    </w:rPr>
  </w:style>
  <w:style w:type="paragraph" w:styleId="Ttulo4">
    <w:name w:val="heading 4"/>
    <w:basedOn w:val="Normal"/>
    <w:next w:val="Normal"/>
    <w:link w:val="Ttulo4Char"/>
    <w:uiPriority w:val="9"/>
    <w:unhideWhenUsed/>
    <w:qFormat/>
    <w:rsid w:val="0063719B"/>
    <w:pPr>
      <w:keepNext/>
      <w:numPr>
        <w:ilvl w:val="3"/>
        <w:numId w:val="1"/>
      </w:numPr>
      <w:spacing w:before="240" w:after="60"/>
      <w:outlineLvl w:val="3"/>
    </w:pPr>
    <w:rPr>
      <w:rFonts w:ascii="Calibri" w:eastAsia="Times New Roman" w:hAnsi="Calibri"/>
      <w:b/>
      <w:bCs/>
      <w:sz w:val="28"/>
      <w:szCs w:val="28"/>
      <w:lang w:val="x-none"/>
    </w:rPr>
  </w:style>
  <w:style w:type="paragraph" w:styleId="Ttulo5">
    <w:name w:val="heading 5"/>
    <w:basedOn w:val="Normal"/>
    <w:next w:val="Normal"/>
    <w:link w:val="Ttulo5Char"/>
    <w:uiPriority w:val="9"/>
    <w:unhideWhenUsed/>
    <w:qFormat/>
    <w:rsid w:val="0063719B"/>
    <w:pPr>
      <w:numPr>
        <w:ilvl w:val="4"/>
        <w:numId w:val="1"/>
      </w:numPr>
      <w:spacing w:before="240" w:after="60"/>
      <w:outlineLvl w:val="4"/>
    </w:pPr>
    <w:rPr>
      <w:rFonts w:ascii="Calibri" w:eastAsia="Times New Roman" w:hAnsi="Calibri"/>
      <w:b/>
      <w:bCs/>
      <w:i/>
      <w:iCs/>
      <w:sz w:val="26"/>
      <w:szCs w:val="26"/>
      <w:lang w:val="x-none"/>
    </w:rPr>
  </w:style>
  <w:style w:type="paragraph" w:styleId="Ttulo6">
    <w:name w:val="heading 6"/>
    <w:basedOn w:val="Normal"/>
    <w:next w:val="Normal"/>
    <w:link w:val="Ttulo6Char"/>
    <w:uiPriority w:val="9"/>
    <w:semiHidden/>
    <w:unhideWhenUsed/>
    <w:qFormat/>
    <w:rsid w:val="0063719B"/>
    <w:pPr>
      <w:numPr>
        <w:ilvl w:val="5"/>
        <w:numId w:val="1"/>
      </w:numPr>
      <w:spacing w:before="240" w:after="60"/>
      <w:outlineLvl w:val="5"/>
    </w:pPr>
    <w:rPr>
      <w:rFonts w:ascii="Calibri" w:eastAsia="Times New Roman" w:hAnsi="Calibri"/>
      <w:b/>
      <w:bCs/>
      <w:lang w:val="x-none"/>
    </w:rPr>
  </w:style>
  <w:style w:type="paragraph" w:styleId="Ttulo7">
    <w:name w:val="heading 7"/>
    <w:basedOn w:val="Normal"/>
    <w:next w:val="Normal"/>
    <w:link w:val="Ttulo7Char"/>
    <w:uiPriority w:val="9"/>
    <w:semiHidden/>
    <w:unhideWhenUsed/>
    <w:qFormat/>
    <w:rsid w:val="0063719B"/>
    <w:pPr>
      <w:numPr>
        <w:ilvl w:val="6"/>
        <w:numId w:val="1"/>
      </w:numPr>
      <w:spacing w:before="240" w:after="60"/>
      <w:outlineLvl w:val="6"/>
    </w:pPr>
    <w:rPr>
      <w:rFonts w:ascii="Calibri" w:eastAsia="Times New Roman" w:hAnsi="Calibri"/>
      <w:szCs w:val="24"/>
      <w:lang w:val="x-none"/>
    </w:rPr>
  </w:style>
  <w:style w:type="paragraph" w:styleId="Ttulo8">
    <w:name w:val="heading 8"/>
    <w:basedOn w:val="Normal"/>
    <w:next w:val="Normal"/>
    <w:link w:val="Ttulo8Char"/>
    <w:uiPriority w:val="9"/>
    <w:semiHidden/>
    <w:unhideWhenUsed/>
    <w:qFormat/>
    <w:rsid w:val="0063719B"/>
    <w:pPr>
      <w:numPr>
        <w:ilvl w:val="7"/>
        <w:numId w:val="1"/>
      </w:numPr>
      <w:spacing w:before="240" w:after="60"/>
      <w:outlineLvl w:val="7"/>
    </w:pPr>
    <w:rPr>
      <w:rFonts w:ascii="Calibri" w:eastAsia="Times New Roman" w:hAnsi="Calibri"/>
      <w:i/>
      <w:iCs/>
      <w:szCs w:val="24"/>
      <w:lang w:val="x-none"/>
    </w:rPr>
  </w:style>
  <w:style w:type="paragraph" w:styleId="Ttulo9">
    <w:name w:val="heading 9"/>
    <w:basedOn w:val="Normal"/>
    <w:next w:val="Normal"/>
    <w:link w:val="Ttulo9Char"/>
    <w:uiPriority w:val="9"/>
    <w:semiHidden/>
    <w:unhideWhenUsed/>
    <w:qFormat/>
    <w:rsid w:val="0063719B"/>
    <w:pPr>
      <w:numPr>
        <w:ilvl w:val="8"/>
        <w:numId w:val="1"/>
      </w:numPr>
      <w:spacing w:before="240" w:after="60"/>
      <w:outlineLvl w:val="8"/>
    </w:pPr>
    <w:rPr>
      <w:rFonts w:ascii="Cambria" w:eastAsia="Times New Roman" w:hAnsi="Cambria"/>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3719B"/>
    <w:rPr>
      <w:rFonts w:ascii="Times New Roman" w:eastAsia="Times New Roman" w:hAnsi="Times New Roman" w:cs="Times New Roman"/>
      <w:b/>
      <w:bCs/>
      <w:kern w:val="36"/>
      <w:sz w:val="24"/>
      <w:szCs w:val="48"/>
      <w:lang w:val="x-none" w:eastAsia="x-none"/>
    </w:rPr>
  </w:style>
  <w:style w:type="character" w:customStyle="1" w:styleId="Ttulo2Char">
    <w:name w:val="Título 2 Char"/>
    <w:basedOn w:val="Fontepargpadro"/>
    <w:link w:val="Ttulo2"/>
    <w:uiPriority w:val="9"/>
    <w:rsid w:val="0063719B"/>
    <w:rPr>
      <w:rFonts w:ascii="Times New Roman" w:eastAsia="Times New Roman" w:hAnsi="Times New Roman" w:cs="Times New Roman"/>
      <w:bCs/>
      <w:iCs/>
      <w:caps/>
      <w:sz w:val="24"/>
      <w:szCs w:val="28"/>
      <w:lang w:val="x-none"/>
    </w:rPr>
  </w:style>
  <w:style w:type="character" w:customStyle="1" w:styleId="Ttulo3Char">
    <w:name w:val="Título 3 Char"/>
    <w:basedOn w:val="Fontepargpadro"/>
    <w:link w:val="Ttulo3"/>
    <w:uiPriority w:val="9"/>
    <w:rsid w:val="0063719B"/>
    <w:rPr>
      <w:rFonts w:ascii="Times New Roman" w:eastAsia="Times New Roman" w:hAnsi="Times New Roman" w:cs="Times New Roman"/>
      <w:b/>
      <w:bCs/>
      <w:sz w:val="24"/>
      <w:szCs w:val="26"/>
      <w:lang w:val="x-none"/>
    </w:rPr>
  </w:style>
  <w:style w:type="character" w:customStyle="1" w:styleId="Ttulo4Char">
    <w:name w:val="Título 4 Char"/>
    <w:basedOn w:val="Fontepargpadro"/>
    <w:link w:val="Ttulo4"/>
    <w:uiPriority w:val="9"/>
    <w:rsid w:val="0063719B"/>
    <w:rPr>
      <w:rFonts w:ascii="Calibri" w:eastAsia="Times New Roman" w:hAnsi="Calibri" w:cs="Times New Roman"/>
      <w:b/>
      <w:bCs/>
      <w:sz w:val="28"/>
      <w:szCs w:val="28"/>
      <w:lang w:val="x-none"/>
    </w:rPr>
  </w:style>
  <w:style w:type="character" w:customStyle="1" w:styleId="Ttulo5Char">
    <w:name w:val="Título 5 Char"/>
    <w:basedOn w:val="Fontepargpadro"/>
    <w:link w:val="Ttulo5"/>
    <w:uiPriority w:val="9"/>
    <w:rsid w:val="0063719B"/>
    <w:rPr>
      <w:rFonts w:ascii="Calibri" w:eastAsia="Times New Roman" w:hAnsi="Calibri" w:cs="Times New Roman"/>
      <w:b/>
      <w:bCs/>
      <w:i/>
      <w:iCs/>
      <w:sz w:val="26"/>
      <w:szCs w:val="26"/>
      <w:lang w:val="x-none"/>
    </w:rPr>
  </w:style>
  <w:style w:type="character" w:customStyle="1" w:styleId="Ttulo6Char">
    <w:name w:val="Título 6 Char"/>
    <w:basedOn w:val="Fontepargpadro"/>
    <w:link w:val="Ttulo6"/>
    <w:uiPriority w:val="9"/>
    <w:semiHidden/>
    <w:rsid w:val="0063719B"/>
    <w:rPr>
      <w:rFonts w:ascii="Calibri" w:eastAsia="Times New Roman" w:hAnsi="Calibri" w:cs="Times New Roman"/>
      <w:b/>
      <w:bCs/>
      <w:sz w:val="24"/>
      <w:lang w:val="x-none"/>
    </w:rPr>
  </w:style>
  <w:style w:type="character" w:customStyle="1" w:styleId="Ttulo7Char">
    <w:name w:val="Título 7 Char"/>
    <w:basedOn w:val="Fontepargpadro"/>
    <w:link w:val="Ttulo7"/>
    <w:uiPriority w:val="9"/>
    <w:semiHidden/>
    <w:rsid w:val="0063719B"/>
    <w:rPr>
      <w:rFonts w:ascii="Calibri" w:eastAsia="Times New Roman" w:hAnsi="Calibri" w:cs="Times New Roman"/>
      <w:sz w:val="24"/>
      <w:szCs w:val="24"/>
      <w:lang w:val="x-none"/>
    </w:rPr>
  </w:style>
  <w:style w:type="character" w:customStyle="1" w:styleId="Ttulo8Char">
    <w:name w:val="Título 8 Char"/>
    <w:basedOn w:val="Fontepargpadro"/>
    <w:link w:val="Ttulo8"/>
    <w:uiPriority w:val="9"/>
    <w:semiHidden/>
    <w:rsid w:val="0063719B"/>
    <w:rPr>
      <w:rFonts w:ascii="Calibri" w:eastAsia="Times New Roman" w:hAnsi="Calibri" w:cs="Times New Roman"/>
      <w:i/>
      <w:iCs/>
      <w:sz w:val="24"/>
      <w:szCs w:val="24"/>
      <w:lang w:val="x-none"/>
    </w:rPr>
  </w:style>
  <w:style w:type="character" w:customStyle="1" w:styleId="Ttulo9Char">
    <w:name w:val="Título 9 Char"/>
    <w:basedOn w:val="Fontepargpadro"/>
    <w:link w:val="Ttulo9"/>
    <w:uiPriority w:val="9"/>
    <w:semiHidden/>
    <w:rsid w:val="0063719B"/>
    <w:rPr>
      <w:rFonts w:ascii="Cambria" w:eastAsia="Times New Roman" w:hAnsi="Cambria" w:cs="Times New Roman"/>
      <w:sz w:val="24"/>
      <w:lang w:val="x-none"/>
    </w:rPr>
  </w:style>
  <w:style w:type="character" w:customStyle="1" w:styleId="hps">
    <w:name w:val="hps"/>
    <w:basedOn w:val="Fontepargpadro"/>
    <w:rsid w:val="0063719B"/>
  </w:style>
  <w:style w:type="character" w:styleId="Hyperlink">
    <w:name w:val="Hyperlink"/>
    <w:uiPriority w:val="99"/>
    <w:unhideWhenUsed/>
    <w:rsid w:val="0063719B"/>
    <w:rPr>
      <w:color w:val="0000FF"/>
      <w:u w:val="single"/>
    </w:rPr>
  </w:style>
  <w:style w:type="paragraph" w:styleId="CabealhodoSumrio">
    <w:name w:val="TOC Heading"/>
    <w:basedOn w:val="Ttulo1"/>
    <w:next w:val="Normal"/>
    <w:uiPriority w:val="39"/>
    <w:unhideWhenUsed/>
    <w:qFormat/>
    <w:rsid w:val="0063719B"/>
    <w:pPr>
      <w:keepNext/>
      <w:keepLines/>
      <w:numPr>
        <w:numId w:val="0"/>
      </w:numPr>
      <w:spacing w:after="0" w:line="276" w:lineRule="auto"/>
      <w:outlineLvl w:val="9"/>
    </w:pPr>
    <w:rPr>
      <w:rFonts w:ascii="Cambria" w:hAnsi="Cambria"/>
      <w:color w:val="365F91"/>
      <w:kern w:val="0"/>
      <w:sz w:val="28"/>
      <w:szCs w:val="28"/>
      <w:lang w:eastAsia="en-US"/>
    </w:rPr>
  </w:style>
  <w:style w:type="paragraph" w:styleId="Sumrio1">
    <w:name w:val="toc 1"/>
    <w:basedOn w:val="Normal"/>
    <w:next w:val="Normal"/>
    <w:autoRedefine/>
    <w:uiPriority w:val="39"/>
    <w:unhideWhenUsed/>
    <w:rsid w:val="0063719B"/>
    <w:pPr>
      <w:tabs>
        <w:tab w:val="left" w:pos="480"/>
        <w:tab w:val="left" w:pos="1843"/>
        <w:tab w:val="right" w:leader="dot" w:pos="9061"/>
      </w:tabs>
      <w:spacing w:after="0"/>
      <w:ind w:firstLine="0"/>
      <w:jc w:val="center"/>
    </w:pPr>
    <w:rPr>
      <w:b/>
      <w:bCs/>
      <w:caps/>
      <w:noProof/>
      <w:szCs w:val="24"/>
      <w:shd w:val="clear" w:color="auto" w:fill="FFFFFF"/>
    </w:rPr>
  </w:style>
  <w:style w:type="paragraph" w:styleId="Sumrio2">
    <w:name w:val="toc 2"/>
    <w:basedOn w:val="Normal"/>
    <w:next w:val="Normal"/>
    <w:autoRedefine/>
    <w:uiPriority w:val="39"/>
    <w:unhideWhenUsed/>
    <w:rsid w:val="0063719B"/>
    <w:pPr>
      <w:tabs>
        <w:tab w:val="left" w:pos="720"/>
        <w:tab w:val="right" w:leader="dot" w:pos="9061"/>
      </w:tabs>
      <w:spacing w:line="240" w:lineRule="auto"/>
      <w:ind w:firstLine="142"/>
      <w:jc w:val="left"/>
    </w:pPr>
    <w:rPr>
      <w:bCs/>
      <w:caps/>
      <w:szCs w:val="20"/>
    </w:rPr>
  </w:style>
  <w:style w:type="paragraph" w:styleId="Sumrio3">
    <w:name w:val="toc 3"/>
    <w:basedOn w:val="Normal"/>
    <w:next w:val="Normal"/>
    <w:autoRedefine/>
    <w:uiPriority w:val="39"/>
    <w:unhideWhenUsed/>
    <w:rsid w:val="0063719B"/>
    <w:pPr>
      <w:spacing w:after="0"/>
      <w:ind w:firstLine="284"/>
      <w:jc w:val="left"/>
    </w:pPr>
    <w:rPr>
      <w:szCs w:val="20"/>
    </w:rPr>
  </w:style>
  <w:style w:type="character" w:styleId="Forte">
    <w:name w:val="Strong"/>
    <w:uiPriority w:val="22"/>
    <w:qFormat/>
    <w:rsid w:val="0063719B"/>
    <w:rPr>
      <w:b/>
      <w:bCs/>
    </w:rPr>
  </w:style>
  <w:style w:type="character" w:customStyle="1" w:styleId="apple-converted-space">
    <w:name w:val="apple-converted-space"/>
    <w:rsid w:val="0063719B"/>
  </w:style>
  <w:style w:type="character" w:customStyle="1" w:styleId="notranslate">
    <w:name w:val="notranslate"/>
    <w:rsid w:val="0063719B"/>
  </w:style>
  <w:style w:type="character" w:styleId="Refdecomentrio">
    <w:name w:val="annotation reference"/>
    <w:uiPriority w:val="99"/>
    <w:semiHidden/>
    <w:unhideWhenUsed/>
    <w:rsid w:val="0063719B"/>
    <w:rPr>
      <w:sz w:val="16"/>
      <w:szCs w:val="16"/>
    </w:rPr>
  </w:style>
  <w:style w:type="paragraph" w:styleId="Textodecomentrio">
    <w:name w:val="annotation text"/>
    <w:basedOn w:val="Normal"/>
    <w:link w:val="TextodecomentrioChar"/>
    <w:uiPriority w:val="99"/>
    <w:semiHidden/>
    <w:unhideWhenUsed/>
    <w:rsid w:val="0063719B"/>
    <w:rPr>
      <w:sz w:val="20"/>
      <w:szCs w:val="20"/>
      <w:lang w:val="x-none"/>
    </w:rPr>
  </w:style>
  <w:style w:type="character" w:customStyle="1" w:styleId="TextodecomentrioChar">
    <w:name w:val="Texto de comentário Char"/>
    <w:basedOn w:val="Fontepargpadro"/>
    <w:link w:val="Textodecomentrio"/>
    <w:uiPriority w:val="99"/>
    <w:semiHidden/>
    <w:rsid w:val="0063719B"/>
    <w:rPr>
      <w:rFonts w:ascii="Times New Roman" w:eastAsia="Calibri" w:hAnsi="Times New Roman" w:cs="Times New Roman"/>
      <w:sz w:val="20"/>
      <w:szCs w:val="20"/>
      <w:lang w:val="x-none"/>
    </w:rPr>
  </w:style>
  <w:style w:type="paragraph" w:styleId="Assuntodocomentrio">
    <w:name w:val="annotation subject"/>
    <w:basedOn w:val="Textodecomentrio"/>
    <w:next w:val="Textodecomentrio"/>
    <w:link w:val="AssuntodocomentrioChar"/>
    <w:uiPriority w:val="99"/>
    <w:semiHidden/>
    <w:unhideWhenUsed/>
    <w:rsid w:val="0063719B"/>
    <w:rPr>
      <w:b/>
      <w:bCs/>
    </w:rPr>
  </w:style>
  <w:style w:type="character" w:customStyle="1" w:styleId="AssuntodocomentrioChar">
    <w:name w:val="Assunto do comentário Char"/>
    <w:basedOn w:val="TextodecomentrioChar"/>
    <w:link w:val="Assuntodocomentrio"/>
    <w:uiPriority w:val="99"/>
    <w:semiHidden/>
    <w:rsid w:val="0063719B"/>
    <w:rPr>
      <w:rFonts w:ascii="Times New Roman" w:eastAsia="Calibri" w:hAnsi="Times New Roman" w:cs="Times New Roman"/>
      <w:b/>
      <w:bCs/>
      <w:sz w:val="20"/>
      <w:szCs w:val="20"/>
      <w:lang w:val="x-none"/>
    </w:rPr>
  </w:style>
  <w:style w:type="paragraph" w:styleId="Textodebalo">
    <w:name w:val="Balloon Text"/>
    <w:basedOn w:val="Normal"/>
    <w:link w:val="TextodebaloChar"/>
    <w:uiPriority w:val="99"/>
    <w:semiHidden/>
    <w:unhideWhenUsed/>
    <w:rsid w:val="0063719B"/>
    <w:pPr>
      <w:spacing w:after="0" w:line="240" w:lineRule="auto"/>
    </w:pPr>
    <w:rPr>
      <w:rFonts w:ascii="Tahoma" w:hAnsi="Tahoma"/>
      <w:sz w:val="16"/>
      <w:szCs w:val="16"/>
      <w:lang w:val="x-none"/>
    </w:rPr>
  </w:style>
  <w:style w:type="character" w:customStyle="1" w:styleId="TextodebaloChar">
    <w:name w:val="Texto de balão Char"/>
    <w:basedOn w:val="Fontepargpadro"/>
    <w:link w:val="Textodebalo"/>
    <w:uiPriority w:val="99"/>
    <w:semiHidden/>
    <w:rsid w:val="0063719B"/>
    <w:rPr>
      <w:rFonts w:ascii="Tahoma" w:eastAsia="Calibri" w:hAnsi="Tahoma" w:cs="Times New Roman"/>
      <w:sz w:val="16"/>
      <w:szCs w:val="16"/>
      <w:lang w:val="x-none"/>
    </w:rPr>
  </w:style>
  <w:style w:type="paragraph" w:styleId="Cabealho">
    <w:name w:val="header"/>
    <w:basedOn w:val="Normal"/>
    <w:link w:val="CabealhoChar"/>
    <w:uiPriority w:val="99"/>
    <w:unhideWhenUsed/>
    <w:rsid w:val="0063719B"/>
    <w:pPr>
      <w:tabs>
        <w:tab w:val="center" w:pos="4252"/>
        <w:tab w:val="right" w:pos="8504"/>
      </w:tabs>
    </w:pPr>
    <w:rPr>
      <w:lang w:val="x-none"/>
    </w:rPr>
  </w:style>
  <w:style w:type="character" w:customStyle="1" w:styleId="CabealhoChar">
    <w:name w:val="Cabeçalho Char"/>
    <w:basedOn w:val="Fontepargpadro"/>
    <w:link w:val="Cabealho"/>
    <w:uiPriority w:val="99"/>
    <w:rsid w:val="0063719B"/>
    <w:rPr>
      <w:rFonts w:ascii="Times New Roman" w:eastAsia="Calibri" w:hAnsi="Times New Roman" w:cs="Times New Roman"/>
      <w:sz w:val="24"/>
      <w:lang w:val="x-none"/>
    </w:rPr>
  </w:style>
  <w:style w:type="paragraph" w:styleId="Rodap">
    <w:name w:val="footer"/>
    <w:basedOn w:val="Normal"/>
    <w:link w:val="RodapChar"/>
    <w:uiPriority w:val="99"/>
    <w:unhideWhenUsed/>
    <w:rsid w:val="0063719B"/>
    <w:pPr>
      <w:tabs>
        <w:tab w:val="center" w:pos="4252"/>
        <w:tab w:val="right" w:pos="8504"/>
      </w:tabs>
    </w:pPr>
    <w:rPr>
      <w:lang w:val="x-none"/>
    </w:rPr>
  </w:style>
  <w:style w:type="character" w:customStyle="1" w:styleId="RodapChar">
    <w:name w:val="Rodapé Char"/>
    <w:basedOn w:val="Fontepargpadro"/>
    <w:link w:val="Rodap"/>
    <w:uiPriority w:val="99"/>
    <w:rsid w:val="0063719B"/>
    <w:rPr>
      <w:rFonts w:ascii="Times New Roman" w:eastAsia="Calibri" w:hAnsi="Times New Roman" w:cs="Times New Roman"/>
      <w:sz w:val="24"/>
      <w:lang w:val="x-none"/>
    </w:rPr>
  </w:style>
  <w:style w:type="paragraph" w:styleId="Reviso">
    <w:name w:val="Revision"/>
    <w:hidden/>
    <w:uiPriority w:val="99"/>
    <w:semiHidden/>
    <w:rsid w:val="0063719B"/>
    <w:pPr>
      <w:spacing w:after="0" w:line="240" w:lineRule="auto"/>
    </w:pPr>
    <w:rPr>
      <w:rFonts w:ascii="Times New Roman" w:eastAsia="Calibri" w:hAnsi="Times New Roman" w:cs="Times New Roman"/>
      <w:sz w:val="24"/>
      <w:lang w:val="pt-BR"/>
    </w:rPr>
  </w:style>
  <w:style w:type="character" w:customStyle="1" w:styleId="article-title">
    <w:name w:val="article-title"/>
    <w:rsid w:val="0063719B"/>
  </w:style>
  <w:style w:type="paragraph" w:styleId="NormalWeb">
    <w:name w:val="Normal (Web)"/>
    <w:basedOn w:val="Normal"/>
    <w:uiPriority w:val="99"/>
    <w:semiHidden/>
    <w:unhideWhenUsed/>
    <w:rsid w:val="0063719B"/>
    <w:pPr>
      <w:spacing w:before="100" w:beforeAutospacing="1" w:after="100" w:afterAutospacing="1" w:line="240" w:lineRule="auto"/>
      <w:ind w:firstLine="0"/>
      <w:jc w:val="left"/>
    </w:pPr>
    <w:rPr>
      <w:rFonts w:eastAsia="Times New Roman"/>
      <w:szCs w:val="24"/>
      <w:lang w:val="en-US"/>
    </w:rPr>
  </w:style>
  <w:style w:type="character" w:styleId="nfase">
    <w:name w:val="Emphasis"/>
    <w:uiPriority w:val="20"/>
    <w:qFormat/>
    <w:rsid w:val="0063719B"/>
    <w:rPr>
      <w:i/>
      <w:iCs/>
    </w:rPr>
  </w:style>
  <w:style w:type="paragraph" w:styleId="PargrafodaLista">
    <w:name w:val="List Paragraph"/>
    <w:basedOn w:val="Normal"/>
    <w:uiPriority w:val="34"/>
    <w:qFormat/>
    <w:rsid w:val="0063719B"/>
    <w:pPr>
      <w:spacing w:after="0" w:line="240" w:lineRule="auto"/>
      <w:ind w:left="720" w:firstLine="0"/>
      <w:contextualSpacing/>
      <w:jc w:val="left"/>
    </w:pPr>
    <w:rPr>
      <w:rFonts w:eastAsia="Times New Roman"/>
      <w:szCs w:val="24"/>
      <w:lang w:val="en-US"/>
    </w:rPr>
  </w:style>
  <w:style w:type="paragraph" w:styleId="SemEspaamento">
    <w:name w:val="No Spacing"/>
    <w:uiPriority w:val="1"/>
    <w:qFormat/>
    <w:rsid w:val="0063719B"/>
    <w:pPr>
      <w:spacing w:after="0" w:line="240" w:lineRule="auto"/>
    </w:pPr>
    <w:rPr>
      <w:rFonts w:ascii="Calibri" w:eastAsia="Calibri" w:hAnsi="Calibri" w:cs="Times New Roman"/>
    </w:rPr>
  </w:style>
  <w:style w:type="paragraph" w:customStyle="1" w:styleId="Default">
    <w:name w:val="Default"/>
    <w:rsid w:val="0063719B"/>
    <w:pPr>
      <w:autoSpaceDE w:val="0"/>
      <w:autoSpaceDN w:val="0"/>
      <w:adjustRightInd w:val="0"/>
      <w:spacing w:after="0" w:line="240" w:lineRule="auto"/>
    </w:pPr>
    <w:rPr>
      <w:rFonts w:ascii="Times New Roman" w:eastAsia="Calibri" w:hAnsi="Times New Roman" w:cs="Times New Roman"/>
      <w:color w:val="000000"/>
      <w:sz w:val="24"/>
      <w:szCs w:val="24"/>
      <w:lang w:val="pt-BR" w:eastAsia="pt-BR"/>
    </w:rPr>
  </w:style>
  <w:style w:type="paragraph" w:styleId="Legenda">
    <w:name w:val="caption"/>
    <w:basedOn w:val="Normal"/>
    <w:next w:val="Normal"/>
    <w:uiPriority w:val="35"/>
    <w:unhideWhenUsed/>
    <w:qFormat/>
    <w:rsid w:val="0063719B"/>
    <w:pPr>
      <w:spacing w:after="200" w:line="240" w:lineRule="auto"/>
    </w:pPr>
    <w:rPr>
      <w:i/>
      <w:iCs/>
      <w:color w:val="1F497D"/>
      <w:sz w:val="18"/>
      <w:szCs w:val="18"/>
    </w:rPr>
  </w:style>
  <w:style w:type="paragraph" w:styleId="ndicedeilustraes">
    <w:name w:val="table of figures"/>
    <w:basedOn w:val="Normal"/>
    <w:next w:val="Normal"/>
    <w:uiPriority w:val="99"/>
    <w:unhideWhenUsed/>
    <w:rsid w:val="0063719B"/>
    <w:pPr>
      <w:spacing w:after="0"/>
    </w:pPr>
  </w:style>
  <w:style w:type="character" w:styleId="TextodoEspaoReservado">
    <w:name w:val="Placeholder Text"/>
    <w:uiPriority w:val="99"/>
    <w:semiHidden/>
    <w:rsid w:val="0063719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19B"/>
    <w:pPr>
      <w:spacing w:after="120" w:line="360" w:lineRule="auto"/>
      <w:ind w:firstLine="709"/>
      <w:jc w:val="both"/>
    </w:pPr>
    <w:rPr>
      <w:rFonts w:ascii="Times New Roman" w:eastAsia="Calibri" w:hAnsi="Times New Roman" w:cs="Times New Roman"/>
      <w:sz w:val="24"/>
      <w:lang w:val="pt-BR"/>
    </w:rPr>
  </w:style>
  <w:style w:type="paragraph" w:styleId="Ttulo1">
    <w:name w:val="heading 1"/>
    <w:basedOn w:val="Normal"/>
    <w:link w:val="Ttulo1Char"/>
    <w:uiPriority w:val="9"/>
    <w:qFormat/>
    <w:rsid w:val="0063719B"/>
    <w:pPr>
      <w:numPr>
        <w:numId w:val="1"/>
      </w:numPr>
      <w:spacing w:after="1200" w:line="240" w:lineRule="auto"/>
      <w:ind w:left="431" w:hanging="431"/>
      <w:outlineLvl w:val="0"/>
    </w:pPr>
    <w:rPr>
      <w:rFonts w:eastAsia="Times New Roman"/>
      <w:b/>
      <w:bCs/>
      <w:kern w:val="36"/>
      <w:szCs w:val="48"/>
      <w:lang w:val="x-none" w:eastAsia="x-none"/>
    </w:rPr>
  </w:style>
  <w:style w:type="paragraph" w:styleId="Ttulo2">
    <w:name w:val="heading 2"/>
    <w:basedOn w:val="Normal"/>
    <w:next w:val="Normal"/>
    <w:link w:val="Ttulo2Char"/>
    <w:uiPriority w:val="9"/>
    <w:unhideWhenUsed/>
    <w:qFormat/>
    <w:rsid w:val="0063719B"/>
    <w:pPr>
      <w:keepNext/>
      <w:numPr>
        <w:ilvl w:val="1"/>
        <w:numId w:val="1"/>
      </w:numPr>
      <w:spacing w:before="840" w:after="720" w:line="240" w:lineRule="auto"/>
      <w:ind w:left="578" w:hanging="578"/>
      <w:outlineLvl w:val="1"/>
    </w:pPr>
    <w:rPr>
      <w:rFonts w:eastAsia="Times New Roman"/>
      <w:bCs/>
      <w:iCs/>
      <w:caps/>
      <w:szCs w:val="28"/>
      <w:lang w:val="x-none"/>
    </w:rPr>
  </w:style>
  <w:style w:type="paragraph" w:styleId="Ttulo3">
    <w:name w:val="heading 3"/>
    <w:basedOn w:val="Normal"/>
    <w:next w:val="Normal"/>
    <w:link w:val="Ttulo3Char"/>
    <w:uiPriority w:val="9"/>
    <w:unhideWhenUsed/>
    <w:qFormat/>
    <w:rsid w:val="0063719B"/>
    <w:pPr>
      <w:keepNext/>
      <w:numPr>
        <w:ilvl w:val="2"/>
        <w:numId w:val="1"/>
      </w:numPr>
      <w:spacing w:before="720" w:after="600" w:line="240" w:lineRule="auto"/>
      <w:outlineLvl w:val="2"/>
    </w:pPr>
    <w:rPr>
      <w:rFonts w:eastAsia="Times New Roman"/>
      <w:b/>
      <w:bCs/>
      <w:szCs w:val="26"/>
      <w:lang w:val="x-none"/>
    </w:rPr>
  </w:style>
  <w:style w:type="paragraph" w:styleId="Ttulo4">
    <w:name w:val="heading 4"/>
    <w:basedOn w:val="Normal"/>
    <w:next w:val="Normal"/>
    <w:link w:val="Ttulo4Char"/>
    <w:uiPriority w:val="9"/>
    <w:unhideWhenUsed/>
    <w:qFormat/>
    <w:rsid w:val="0063719B"/>
    <w:pPr>
      <w:keepNext/>
      <w:numPr>
        <w:ilvl w:val="3"/>
        <w:numId w:val="1"/>
      </w:numPr>
      <w:spacing w:before="240" w:after="60"/>
      <w:outlineLvl w:val="3"/>
    </w:pPr>
    <w:rPr>
      <w:rFonts w:ascii="Calibri" w:eastAsia="Times New Roman" w:hAnsi="Calibri"/>
      <w:b/>
      <w:bCs/>
      <w:sz w:val="28"/>
      <w:szCs w:val="28"/>
      <w:lang w:val="x-none"/>
    </w:rPr>
  </w:style>
  <w:style w:type="paragraph" w:styleId="Ttulo5">
    <w:name w:val="heading 5"/>
    <w:basedOn w:val="Normal"/>
    <w:next w:val="Normal"/>
    <w:link w:val="Ttulo5Char"/>
    <w:uiPriority w:val="9"/>
    <w:unhideWhenUsed/>
    <w:qFormat/>
    <w:rsid w:val="0063719B"/>
    <w:pPr>
      <w:numPr>
        <w:ilvl w:val="4"/>
        <w:numId w:val="1"/>
      </w:numPr>
      <w:spacing w:before="240" w:after="60"/>
      <w:outlineLvl w:val="4"/>
    </w:pPr>
    <w:rPr>
      <w:rFonts w:ascii="Calibri" w:eastAsia="Times New Roman" w:hAnsi="Calibri"/>
      <w:b/>
      <w:bCs/>
      <w:i/>
      <w:iCs/>
      <w:sz w:val="26"/>
      <w:szCs w:val="26"/>
      <w:lang w:val="x-none"/>
    </w:rPr>
  </w:style>
  <w:style w:type="paragraph" w:styleId="Ttulo6">
    <w:name w:val="heading 6"/>
    <w:basedOn w:val="Normal"/>
    <w:next w:val="Normal"/>
    <w:link w:val="Ttulo6Char"/>
    <w:uiPriority w:val="9"/>
    <w:semiHidden/>
    <w:unhideWhenUsed/>
    <w:qFormat/>
    <w:rsid w:val="0063719B"/>
    <w:pPr>
      <w:numPr>
        <w:ilvl w:val="5"/>
        <w:numId w:val="1"/>
      </w:numPr>
      <w:spacing w:before="240" w:after="60"/>
      <w:outlineLvl w:val="5"/>
    </w:pPr>
    <w:rPr>
      <w:rFonts w:ascii="Calibri" w:eastAsia="Times New Roman" w:hAnsi="Calibri"/>
      <w:b/>
      <w:bCs/>
      <w:lang w:val="x-none"/>
    </w:rPr>
  </w:style>
  <w:style w:type="paragraph" w:styleId="Ttulo7">
    <w:name w:val="heading 7"/>
    <w:basedOn w:val="Normal"/>
    <w:next w:val="Normal"/>
    <w:link w:val="Ttulo7Char"/>
    <w:uiPriority w:val="9"/>
    <w:semiHidden/>
    <w:unhideWhenUsed/>
    <w:qFormat/>
    <w:rsid w:val="0063719B"/>
    <w:pPr>
      <w:numPr>
        <w:ilvl w:val="6"/>
        <w:numId w:val="1"/>
      </w:numPr>
      <w:spacing w:before="240" w:after="60"/>
      <w:outlineLvl w:val="6"/>
    </w:pPr>
    <w:rPr>
      <w:rFonts w:ascii="Calibri" w:eastAsia="Times New Roman" w:hAnsi="Calibri"/>
      <w:szCs w:val="24"/>
      <w:lang w:val="x-none"/>
    </w:rPr>
  </w:style>
  <w:style w:type="paragraph" w:styleId="Ttulo8">
    <w:name w:val="heading 8"/>
    <w:basedOn w:val="Normal"/>
    <w:next w:val="Normal"/>
    <w:link w:val="Ttulo8Char"/>
    <w:uiPriority w:val="9"/>
    <w:semiHidden/>
    <w:unhideWhenUsed/>
    <w:qFormat/>
    <w:rsid w:val="0063719B"/>
    <w:pPr>
      <w:numPr>
        <w:ilvl w:val="7"/>
        <w:numId w:val="1"/>
      </w:numPr>
      <w:spacing w:before="240" w:after="60"/>
      <w:outlineLvl w:val="7"/>
    </w:pPr>
    <w:rPr>
      <w:rFonts w:ascii="Calibri" w:eastAsia="Times New Roman" w:hAnsi="Calibri"/>
      <w:i/>
      <w:iCs/>
      <w:szCs w:val="24"/>
      <w:lang w:val="x-none"/>
    </w:rPr>
  </w:style>
  <w:style w:type="paragraph" w:styleId="Ttulo9">
    <w:name w:val="heading 9"/>
    <w:basedOn w:val="Normal"/>
    <w:next w:val="Normal"/>
    <w:link w:val="Ttulo9Char"/>
    <w:uiPriority w:val="9"/>
    <w:semiHidden/>
    <w:unhideWhenUsed/>
    <w:qFormat/>
    <w:rsid w:val="0063719B"/>
    <w:pPr>
      <w:numPr>
        <w:ilvl w:val="8"/>
        <w:numId w:val="1"/>
      </w:numPr>
      <w:spacing w:before="240" w:after="60"/>
      <w:outlineLvl w:val="8"/>
    </w:pPr>
    <w:rPr>
      <w:rFonts w:ascii="Cambria" w:eastAsia="Times New Roman" w:hAnsi="Cambria"/>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3719B"/>
    <w:rPr>
      <w:rFonts w:ascii="Times New Roman" w:eastAsia="Times New Roman" w:hAnsi="Times New Roman" w:cs="Times New Roman"/>
      <w:b/>
      <w:bCs/>
      <w:kern w:val="36"/>
      <w:sz w:val="24"/>
      <w:szCs w:val="48"/>
      <w:lang w:val="x-none" w:eastAsia="x-none"/>
    </w:rPr>
  </w:style>
  <w:style w:type="character" w:customStyle="1" w:styleId="Ttulo2Char">
    <w:name w:val="Título 2 Char"/>
    <w:basedOn w:val="Fontepargpadro"/>
    <w:link w:val="Ttulo2"/>
    <w:uiPriority w:val="9"/>
    <w:rsid w:val="0063719B"/>
    <w:rPr>
      <w:rFonts w:ascii="Times New Roman" w:eastAsia="Times New Roman" w:hAnsi="Times New Roman" w:cs="Times New Roman"/>
      <w:bCs/>
      <w:iCs/>
      <w:caps/>
      <w:sz w:val="24"/>
      <w:szCs w:val="28"/>
      <w:lang w:val="x-none"/>
    </w:rPr>
  </w:style>
  <w:style w:type="character" w:customStyle="1" w:styleId="Ttulo3Char">
    <w:name w:val="Título 3 Char"/>
    <w:basedOn w:val="Fontepargpadro"/>
    <w:link w:val="Ttulo3"/>
    <w:uiPriority w:val="9"/>
    <w:rsid w:val="0063719B"/>
    <w:rPr>
      <w:rFonts w:ascii="Times New Roman" w:eastAsia="Times New Roman" w:hAnsi="Times New Roman" w:cs="Times New Roman"/>
      <w:b/>
      <w:bCs/>
      <w:sz w:val="24"/>
      <w:szCs w:val="26"/>
      <w:lang w:val="x-none"/>
    </w:rPr>
  </w:style>
  <w:style w:type="character" w:customStyle="1" w:styleId="Ttulo4Char">
    <w:name w:val="Título 4 Char"/>
    <w:basedOn w:val="Fontepargpadro"/>
    <w:link w:val="Ttulo4"/>
    <w:uiPriority w:val="9"/>
    <w:rsid w:val="0063719B"/>
    <w:rPr>
      <w:rFonts w:ascii="Calibri" w:eastAsia="Times New Roman" w:hAnsi="Calibri" w:cs="Times New Roman"/>
      <w:b/>
      <w:bCs/>
      <w:sz w:val="28"/>
      <w:szCs w:val="28"/>
      <w:lang w:val="x-none"/>
    </w:rPr>
  </w:style>
  <w:style w:type="character" w:customStyle="1" w:styleId="Ttulo5Char">
    <w:name w:val="Título 5 Char"/>
    <w:basedOn w:val="Fontepargpadro"/>
    <w:link w:val="Ttulo5"/>
    <w:uiPriority w:val="9"/>
    <w:rsid w:val="0063719B"/>
    <w:rPr>
      <w:rFonts w:ascii="Calibri" w:eastAsia="Times New Roman" w:hAnsi="Calibri" w:cs="Times New Roman"/>
      <w:b/>
      <w:bCs/>
      <w:i/>
      <w:iCs/>
      <w:sz w:val="26"/>
      <w:szCs w:val="26"/>
      <w:lang w:val="x-none"/>
    </w:rPr>
  </w:style>
  <w:style w:type="character" w:customStyle="1" w:styleId="Ttulo6Char">
    <w:name w:val="Título 6 Char"/>
    <w:basedOn w:val="Fontepargpadro"/>
    <w:link w:val="Ttulo6"/>
    <w:uiPriority w:val="9"/>
    <w:semiHidden/>
    <w:rsid w:val="0063719B"/>
    <w:rPr>
      <w:rFonts w:ascii="Calibri" w:eastAsia="Times New Roman" w:hAnsi="Calibri" w:cs="Times New Roman"/>
      <w:b/>
      <w:bCs/>
      <w:sz w:val="24"/>
      <w:lang w:val="x-none"/>
    </w:rPr>
  </w:style>
  <w:style w:type="character" w:customStyle="1" w:styleId="Ttulo7Char">
    <w:name w:val="Título 7 Char"/>
    <w:basedOn w:val="Fontepargpadro"/>
    <w:link w:val="Ttulo7"/>
    <w:uiPriority w:val="9"/>
    <w:semiHidden/>
    <w:rsid w:val="0063719B"/>
    <w:rPr>
      <w:rFonts w:ascii="Calibri" w:eastAsia="Times New Roman" w:hAnsi="Calibri" w:cs="Times New Roman"/>
      <w:sz w:val="24"/>
      <w:szCs w:val="24"/>
      <w:lang w:val="x-none"/>
    </w:rPr>
  </w:style>
  <w:style w:type="character" w:customStyle="1" w:styleId="Ttulo8Char">
    <w:name w:val="Título 8 Char"/>
    <w:basedOn w:val="Fontepargpadro"/>
    <w:link w:val="Ttulo8"/>
    <w:uiPriority w:val="9"/>
    <w:semiHidden/>
    <w:rsid w:val="0063719B"/>
    <w:rPr>
      <w:rFonts w:ascii="Calibri" w:eastAsia="Times New Roman" w:hAnsi="Calibri" w:cs="Times New Roman"/>
      <w:i/>
      <w:iCs/>
      <w:sz w:val="24"/>
      <w:szCs w:val="24"/>
      <w:lang w:val="x-none"/>
    </w:rPr>
  </w:style>
  <w:style w:type="character" w:customStyle="1" w:styleId="Ttulo9Char">
    <w:name w:val="Título 9 Char"/>
    <w:basedOn w:val="Fontepargpadro"/>
    <w:link w:val="Ttulo9"/>
    <w:uiPriority w:val="9"/>
    <w:semiHidden/>
    <w:rsid w:val="0063719B"/>
    <w:rPr>
      <w:rFonts w:ascii="Cambria" w:eastAsia="Times New Roman" w:hAnsi="Cambria" w:cs="Times New Roman"/>
      <w:sz w:val="24"/>
      <w:lang w:val="x-none"/>
    </w:rPr>
  </w:style>
  <w:style w:type="character" w:customStyle="1" w:styleId="hps">
    <w:name w:val="hps"/>
    <w:basedOn w:val="Fontepargpadro"/>
    <w:rsid w:val="0063719B"/>
  </w:style>
  <w:style w:type="character" w:styleId="Hyperlink">
    <w:name w:val="Hyperlink"/>
    <w:uiPriority w:val="99"/>
    <w:unhideWhenUsed/>
    <w:rsid w:val="0063719B"/>
    <w:rPr>
      <w:color w:val="0000FF"/>
      <w:u w:val="single"/>
    </w:rPr>
  </w:style>
  <w:style w:type="paragraph" w:styleId="CabealhodoSumrio">
    <w:name w:val="TOC Heading"/>
    <w:basedOn w:val="Ttulo1"/>
    <w:next w:val="Normal"/>
    <w:uiPriority w:val="39"/>
    <w:unhideWhenUsed/>
    <w:qFormat/>
    <w:rsid w:val="0063719B"/>
    <w:pPr>
      <w:keepNext/>
      <w:keepLines/>
      <w:numPr>
        <w:numId w:val="0"/>
      </w:numPr>
      <w:spacing w:after="0" w:line="276" w:lineRule="auto"/>
      <w:outlineLvl w:val="9"/>
    </w:pPr>
    <w:rPr>
      <w:rFonts w:ascii="Cambria" w:hAnsi="Cambria"/>
      <w:color w:val="365F91"/>
      <w:kern w:val="0"/>
      <w:sz w:val="28"/>
      <w:szCs w:val="28"/>
      <w:lang w:eastAsia="en-US"/>
    </w:rPr>
  </w:style>
  <w:style w:type="paragraph" w:styleId="Sumrio1">
    <w:name w:val="toc 1"/>
    <w:basedOn w:val="Normal"/>
    <w:next w:val="Normal"/>
    <w:autoRedefine/>
    <w:uiPriority w:val="39"/>
    <w:unhideWhenUsed/>
    <w:rsid w:val="0063719B"/>
    <w:pPr>
      <w:tabs>
        <w:tab w:val="left" w:pos="480"/>
        <w:tab w:val="left" w:pos="1843"/>
        <w:tab w:val="right" w:leader="dot" w:pos="9061"/>
      </w:tabs>
      <w:spacing w:after="0"/>
      <w:ind w:firstLine="0"/>
      <w:jc w:val="center"/>
    </w:pPr>
    <w:rPr>
      <w:b/>
      <w:bCs/>
      <w:caps/>
      <w:noProof/>
      <w:szCs w:val="24"/>
      <w:shd w:val="clear" w:color="auto" w:fill="FFFFFF"/>
    </w:rPr>
  </w:style>
  <w:style w:type="paragraph" w:styleId="Sumrio2">
    <w:name w:val="toc 2"/>
    <w:basedOn w:val="Normal"/>
    <w:next w:val="Normal"/>
    <w:autoRedefine/>
    <w:uiPriority w:val="39"/>
    <w:unhideWhenUsed/>
    <w:rsid w:val="0063719B"/>
    <w:pPr>
      <w:tabs>
        <w:tab w:val="left" w:pos="720"/>
        <w:tab w:val="right" w:leader="dot" w:pos="9061"/>
      </w:tabs>
      <w:spacing w:line="240" w:lineRule="auto"/>
      <w:ind w:firstLine="142"/>
      <w:jc w:val="left"/>
    </w:pPr>
    <w:rPr>
      <w:bCs/>
      <w:caps/>
      <w:szCs w:val="20"/>
    </w:rPr>
  </w:style>
  <w:style w:type="paragraph" w:styleId="Sumrio3">
    <w:name w:val="toc 3"/>
    <w:basedOn w:val="Normal"/>
    <w:next w:val="Normal"/>
    <w:autoRedefine/>
    <w:uiPriority w:val="39"/>
    <w:unhideWhenUsed/>
    <w:rsid w:val="0063719B"/>
    <w:pPr>
      <w:spacing w:after="0"/>
      <w:ind w:firstLine="284"/>
      <w:jc w:val="left"/>
    </w:pPr>
    <w:rPr>
      <w:szCs w:val="20"/>
    </w:rPr>
  </w:style>
  <w:style w:type="character" w:styleId="Forte">
    <w:name w:val="Strong"/>
    <w:uiPriority w:val="22"/>
    <w:qFormat/>
    <w:rsid w:val="0063719B"/>
    <w:rPr>
      <w:b/>
      <w:bCs/>
    </w:rPr>
  </w:style>
  <w:style w:type="character" w:customStyle="1" w:styleId="apple-converted-space">
    <w:name w:val="apple-converted-space"/>
    <w:rsid w:val="0063719B"/>
  </w:style>
  <w:style w:type="character" w:customStyle="1" w:styleId="notranslate">
    <w:name w:val="notranslate"/>
    <w:rsid w:val="0063719B"/>
  </w:style>
  <w:style w:type="character" w:styleId="Refdecomentrio">
    <w:name w:val="annotation reference"/>
    <w:uiPriority w:val="99"/>
    <w:semiHidden/>
    <w:unhideWhenUsed/>
    <w:rsid w:val="0063719B"/>
    <w:rPr>
      <w:sz w:val="16"/>
      <w:szCs w:val="16"/>
    </w:rPr>
  </w:style>
  <w:style w:type="paragraph" w:styleId="Textodecomentrio">
    <w:name w:val="annotation text"/>
    <w:basedOn w:val="Normal"/>
    <w:link w:val="TextodecomentrioChar"/>
    <w:uiPriority w:val="99"/>
    <w:semiHidden/>
    <w:unhideWhenUsed/>
    <w:rsid w:val="0063719B"/>
    <w:rPr>
      <w:sz w:val="20"/>
      <w:szCs w:val="20"/>
      <w:lang w:val="x-none"/>
    </w:rPr>
  </w:style>
  <w:style w:type="character" w:customStyle="1" w:styleId="TextodecomentrioChar">
    <w:name w:val="Texto de comentário Char"/>
    <w:basedOn w:val="Fontepargpadro"/>
    <w:link w:val="Textodecomentrio"/>
    <w:uiPriority w:val="99"/>
    <w:semiHidden/>
    <w:rsid w:val="0063719B"/>
    <w:rPr>
      <w:rFonts w:ascii="Times New Roman" w:eastAsia="Calibri" w:hAnsi="Times New Roman" w:cs="Times New Roman"/>
      <w:sz w:val="20"/>
      <w:szCs w:val="20"/>
      <w:lang w:val="x-none"/>
    </w:rPr>
  </w:style>
  <w:style w:type="paragraph" w:styleId="Assuntodocomentrio">
    <w:name w:val="annotation subject"/>
    <w:basedOn w:val="Textodecomentrio"/>
    <w:next w:val="Textodecomentrio"/>
    <w:link w:val="AssuntodocomentrioChar"/>
    <w:uiPriority w:val="99"/>
    <w:semiHidden/>
    <w:unhideWhenUsed/>
    <w:rsid w:val="0063719B"/>
    <w:rPr>
      <w:b/>
      <w:bCs/>
    </w:rPr>
  </w:style>
  <w:style w:type="character" w:customStyle="1" w:styleId="AssuntodocomentrioChar">
    <w:name w:val="Assunto do comentário Char"/>
    <w:basedOn w:val="TextodecomentrioChar"/>
    <w:link w:val="Assuntodocomentrio"/>
    <w:uiPriority w:val="99"/>
    <w:semiHidden/>
    <w:rsid w:val="0063719B"/>
    <w:rPr>
      <w:rFonts w:ascii="Times New Roman" w:eastAsia="Calibri" w:hAnsi="Times New Roman" w:cs="Times New Roman"/>
      <w:b/>
      <w:bCs/>
      <w:sz w:val="20"/>
      <w:szCs w:val="20"/>
      <w:lang w:val="x-none"/>
    </w:rPr>
  </w:style>
  <w:style w:type="paragraph" w:styleId="Textodebalo">
    <w:name w:val="Balloon Text"/>
    <w:basedOn w:val="Normal"/>
    <w:link w:val="TextodebaloChar"/>
    <w:uiPriority w:val="99"/>
    <w:semiHidden/>
    <w:unhideWhenUsed/>
    <w:rsid w:val="0063719B"/>
    <w:pPr>
      <w:spacing w:after="0" w:line="240" w:lineRule="auto"/>
    </w:pPr>
    <w:rPr>
      <w:rFonts w:ascii="Tahoma" w:hAnsi="Tahoma"/>
      <w:sz w:val="16"/>
      <w:szCs w:val="16"/>
      <w:lang w:val="x-none"/>
    </w:rPr>
  </w:style>
  <w:style w:type="character" w:customStyle="1" w:styleId="TextodebaloChar">
    <w:name w:val="Texto de balão Char"/>
    <w:basedOn w:val="Fontepargpadro"/>
    <w:link w:val="Textodebalo"/>
    <w:uiPriority w:val="99"/>
    <w:semiHidden/>
    <w:rsid w:val="0063719B"/>
    <w:rPr>
      <w:rFonts w:ascii="Tahoma" w:eastAsia="Calibri" w:hAnsi="Tahoma" w:cs="Times New Roman"/>
      <w:sz w:val="16"/>
      <w:szCs w:val="16"/>
      <w:lang w:val="x-none"/>
    </w:rPr>
  </w:style>
  <w:style w:type="paragraph" w:styleId="Cabealho">
    <w:name w:val="header"/>
    <w:basedOn w:val="Normal"/>
    <w:link w:val="CabealhoChar"/>
    <w:uiPriority w:val="99"/>
    <w:unhideWhenUsed/>
    <w:rsid w:val="0063719B"/>
    <w:pPr>
      <w:tabs>
        <w:tab w:val="center" w:pos="4252"/>
        <w:tab w:val="right" w:pos="8504"/>
      </w:tabs>
    </w:pPr>
    <w:rPr>
      <w:lang w:val="x-none"/>
    </w:rPr>
  </w:style>
  <w:style w:type="character" w:customStyle="1" w:styleId="CabealhoChar">
    <w:name w:val="Cabeçalho Char"/>
    <w:basedOn w:val="Fontepargpadro"/>
    <w:link w:val="Cabealho"/>
    <w:uiPriority w:val="99"/>
    <w:rsid w:val="0063719B"/>
    <w:rPr>
      <w:rFonts w:ascii="Times New Roman" w:eastAsia="Calibri" w:hAnsi="Times New Roman" w:cs="Times New Roman"/>
      <w:sz w:val="24"/>
      <w:lang w:val="x-none"/>
    </w:rPr>
  </w:style>
  <w:style w:type="paragraph" w:styleId="Rodap">
    <w:name w:val="footer"/>
    <w:basedOn w:val="Normal"/>
    <w:link w:val="RodapChar"/>
    <w:uiPriority w:val="99"/>
    <w:unhideWhenUsed/>
    <w:rsid w:val="0063719B"/>
    <w:pPr>
      <w:tabs>
        <w:tab w:val="center" w:pos="4252"/>
        <w:tab w:val="right" w:pos="8504"/>
      </w:tabs>
    </w:pPr>
    <w:rPr>
      <w:lang w:val="x-none"/>
    </w:rPr>
  </w:style>
  <w:style w:type="character" w:customStyle="1" w:styleId="RodapChar">
    <w:name w:val="Rodapé Char"/>
    <w:basedOn w:val="Fontepargpadro"/>
    <w:link w:val="Rodap"/>
    <w:uiPriority w:val="99"/>
    <w:rsid w:val="0063719B"/>
    <w:rPr>
      <w:rFonts w:ascii="Times New Roman" w:eastAsia="Calibri" w:hAnsi="Times New Roman" w:cs="Times New Roman"/>
      <w:sz w:val="24"/>
      <w:lang w:val="x-none"/>
    </w:rPr>
  </w:style>
  <w:style w:type="paragraph" w:styleId="Reviso">
    <w:name w:val="Revision"/>
    <w:hidden/>
    <w:uiPriority w:val="99"/>
    <w:semiHidden/>
    <w:rsid w:val="0063719B"/>
    <w:pPr>
      <w:spacing w:after="0" w:line="240" w:lineRule="auto"/>
    </w:pPr>
    <w:rPr>
      <w:rFonts w:ascii="Times New Roman" w:eastAsia="Calibri" w:hAnsi="Times New Roman" w:cs="Times New Roman"/>
      <w:sz w:val="24"/>
      <w:lang w:val="pt-BR"/>
    </w:rPr>
  </w:style>
  <w:style w:type="character" w:customStyle="1" w:styleId="article-title">
    <w:name w:val="article-title"/>
    <w:rsid w:val="0063719B"/>
  </w:style>
  <w:style w:type="paragraph" w:styleId="NormalWeb">
    <w:name w:val="Normal (Web)"/>
    <w:basedOn w:val="Normal"/>
    <w:uiPriority w:val="99"/>
    <w:semiHidden/>
    <w:unhideWhenUsed/>
    <w:rsid w:val="0063719B"/>
    <w:pPr>
      <w:spacing w:before="100" w:beforeAutospacing="1" w:after="100" w:afterAutospacing="1" w:line="240" w:lineRule="auto"/>
      <w:ind w:firstLine="0"/>
      <w:jc w:val="left"/>
    </w:pPr>
    <w:rPr>
      <w:rFonts w:eastAsia="Times New Roman"/>
      <w:szCs w:val="24"/>
      <w:lang w:val="en-US"/>
    </w:rPr>
  </w:style>
  <w:style w:type="character" w:styleId="nfase">
    <w:name w:val="Emphasis"/>
    <w:uiPriority w:val="20"/>
    <w:qFormat/>
    <w:rsid w:val="0063719B"/>
    <w:rPr>
      <w:i/>
      <w:iCs/>
    </w:rPr>
  </w:style>
  <w:style w:type="paragraph" w:styleId="PargrafodaLista">
    <w:name w:val="List Paragraph"/>
    <w:basedOn w:val="Normal"/>
    <w:uiPriority w:val="34"/>
    <w:qFormat/>
    <w:rsid w:val="0063719B"/>
    <w:pPr>
      <w:spacing w:after="0" w:line="240" w:lineRule="auto"/>
      <w:ind w:left="720" w:firstLine="0"/>
      <w:contextualSpacing/>
      <w:jc w:val="left"/>
    </w:pPr>
    <w:rPr>
      <w:rFonts w:eastAsia="Times New Roman"/>
      <w:szCs w:val="24"/>
      <w:lang w:val="en-US"/>
    </w:rPr>
  </w:style>
  <w:style w:type="paragraph" w:styleId="SemEspaamento">
    <w:name w:val="No Spacing"/>
    <w:uiPriority w:val="1"/>
    <w:qFormat/>
    <w:rsid w:val="0063719B"/>
    <w:pPr>
      <w:spacing w:after="0" w:line="240" w:lineRule="auto"/>
    </w:pPr>
    <w:rPr>
      <w:rFonts w:ascii="Calibri" w:eastAsia="Calibri" w:hAnsi="Calibri" w:cs="Times New Roman"/>
    </w:rPr>
  </w:style>
  <w:style w:type="paragraph" w:customStyle="1" w:styleId="Default">
    <w:name w:val="Default"/>
    <w:rsid w:val="0063719B"/>
    <w:pPr>
      <w:autoSpaceDE w:val="0"/>
      <w:autoSpaceDN w:val="0"/>
      <w:adjustRightInd w:val="0"/>
      <w:spacing w:after="0" w:line="240" w:lineRule="auto"/>
    </w:pPr>
    <w:rPr>
      <w:rFonts w:ascii="Times New Roman" w:eastAsia="Calibri" w:hAnsi="Times New Roman" w:cs="Times New Roman"/>
      <w:color w:val="000000"/>
      <w:sz w:val="24"/>
      <w:szCs w:val="24"/>
      <w:lang w:val="pt-BR" w:eastAsia="pt-BR"/>
    </w:rPr>
  </w:style>
  <w:style w:type="paragraph" w:styleId="Legenda">
    <w:name w:val="caption"/>
    <w:basedOn w:val="Normal"/>
    <w:next w:val="Normal"/>
    <w:uiPriority w:val="35"/>
    <w:unhideWhenUsed/>
    <w:qFormat/>
    <w:rsid w:val="0063719B"/>
    <w:pPr>
      <w:spacing w:after="200" w:line="240" w:lineRule="auto"/>
    </w:pPr>
    <w:rPr>
      <w:i/>
      <w:iCs/>
      <w:color w:val="1F497D"/>
      <w:sz w:val="18"/>
      <w:szCs w:val="18"/>
    </w:rPr>
  </w:style>
  <w:style w:type="paragraph" w:styleId="ndicedeilustraes">
    <w:name w:val="table of figures"/>
    <w:basedOn w:val="Normal"/>
    <w:next w:val="Normal"/>
    <w:uiPriority w:val="99"/>
    <w:unhideWhenUsed/>
    <w:rsid w:val="0063719B"/>
    <w:pPr>
      <w:spacing w:after="0"/>
    </w:pPr>
  </w:style>
  <w:style w:type="character" w:styleId="TextodoEspaoReservado">
    <w:name w:val="Placeholder Text"/>
    <w:uiPriority w:val="99"/>
    <w:semiHidden/>
    <w:rsid w:val="0063719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1/relationships/commentsExtended" Target="commentsExtended.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64013-52D2-4F28-AE44-EB9904B69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9523</Words>
  <Characters>51428</Characters>
  <Application>Microsoft Office Word</Application>
  <DocSecurity>0</DocSecurity>
  <Lines>428</Lines>
  <Paragraphs>121</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Hewlett-Packard Company</Company>
  <LinksUpToDate>false</LinksUpToDate>
  <CharactersWithSpaces>60830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dc:creator>
  <cp:lastModifiedBy>Douglas</cp:lastModifiedBy>
  <cp:revision>3</cp:revision>
  <dcterms:created xsi:type="dcterms:W3CDTF">2016-09-18T11:25:00Z</dcterms:created>
  <dcterms:modified xsi:type="dcterms:W3CDTF">2016-09-18T11:27:00Z</dcterms:modified>
</cp:coreProperties>
</file>