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B86" w:rsidRDefault="00486B86" w:rsidP="00F53227">
      <w:pPr>
        <w:jc w:val="center"/>
        <w:rPr>
          <w:rFonts w:cs="Times New Roman"/>
          <w:b/>
        </w:rPr>
      </w:pPr>
      <w:r w:rsidRPr="00486B86">
        <w:rPr>
          <w:rFonts w:cs="Times New Roman"/>
          <w:b/>
        </w:rPr>
        <w:t xml:space="preserve">Poder Preditivo e </w:t>
      </w:r>
      <w:proofErr w:type="spellStart"/>
      <w:r w:rsidRPr="005E5696">
        <w:rPr>
          <w:rFonts w:cs="Times New Roman"/>
          <w:b/>
          <w:i/>
        </w:rPr>
        <w:t>Value</w:t>
      </w:r>
      <w:proofErr w:type="spellEnd"/>
      <w:r w:rsidRPr="005E5696">
        <w:rPr>
          <w:rFonts w:cs="Times New Roman"/>
          <w:b/>
          <w:i/>
        </w:rPr>
        <w:t xml:space="preserve"> </w:t>
      </w:r>
      <w:proofErr w:type="spellStart"/>
      <w:r w:rsidRPr="005E5696">
        <w:rPr>
          <w:rFonts w:cs="Times New Roman"/>
          <w:b/>
          <w:i/>
        </w:rPr>
        <w:t>Relevance</w:t>
      </w:r>
      <w:proofErr w:type="spellEnd"/>
      <w:r w:rsidRPr="005E5696">
        <w:rPr>
          <w:rFonts w:cs="Times New Roman"/>
          <w:b/>
        </w:rPr>
        <w:t xml:space="preserve"> </w:t>
      </w:r>
      <w:r w:rsidR="00711560">
        <w:rPr>
          <w:rFonts w:cs="Times New Roman"/>
          <w:b/>
        </w:rPr>
        <w:t>da Demonstração do</w:t>
      </w:r>
      <w:r w:rsidRPr="00486B86">
        <w:rPr>
          <w:rFonts w:cs="Times New Roman"/>
          <w:b/>
        </w:rPr>
        <w:t xml:space="preserve"> Resultado Abrangente</w:t>
      </w:r>
      <w:r w:rsidR="004B6A6D">
        <w:rPr>
          <w:rFonts w:cs="Times New Roman"/>
          <w:b/>
        </w:rPr>
        <w:t>: um</w:t>
      </w:r>
      <w:r w:rsidR="008170AC">
        <w:rPr>
          <w:rFonts w:cs="Times New Roman"/>
          <w:b/>
        </w:rPr>
        <w:t>a análise</w:t>
      </w:r>
      <w:r w:rsidR="004B6A6D">
        <w:rPr>
          <w:rFonts w:cs="Times New Roman"/>
          <w:b/>
        </w:rPr>
        <w:t xml:space="preserve"> das companhias </w:t>
      </w:r>
      <w:r w:rsidR="00723693">
        <w:rPr>
          <w:rFonts w:cs="Times New Roman"/>
          <w:b/>
        </w:rPr>
        <w:t xml:space="preserve">brasileiras </w:t>
      </w:r>
      <w:r w:rsidR="004B6A6D">
        <w:rPr>
          <w:rFonts w:cs="Times New Roman"/>
          <w:b/>
        </w:rPr>
        <w:t>listadas n</w:t>
      </w:r>
      <w:r w:rsidR="00723693">
        <w:rPr>
          <w:rFonts w:cs="Times New Roman"/>
          <w:b/>
        </w:rPr>
        <w:t xml:space="preserve">a </w:t>
      </w:r>
      <w:proofErr w:type="gramStart"/>
      <w:r w:rsidR="00723693">
        <w:rPr>
          <w:rFonts w:cs="Times New Roman"/>
          <w:b/>
        </w:rPr>
        <w:t>BM&amp;FBovespa</w:t>
      </w:r>
      <w:proofErr w:type="gramEnd"/>
    </w:p>
    <w:p w:rsidR="003B0BFF" w:rsidRDefault="003B0BFF" w:rsidP="00F53227">
      <w:pPr>
        <w:jc w:val="center"/>
        <w:rPr>
          <w:rFonts w:cs="Times New Roman"/>
          <w:b/>
        </w:rPr>
      </w:pPr>
    </w:p>
    <w:p w:rsidR="003B0BFF" w:rsidRPr="00441832" w:rsidRDefault="003B0BFF" w:rsidP="00F53227">
      <w:pPr>
        <w:jc w:val="center"/>
        <w:rPr>
          <w:rFonts w:cs="Times New Roman"/>
          <w:b/>
          <w:lang w:val="en-US"/>
        </w:rPr>
      </w:pPr>
      <w:r w:rsidRPr="00441832">
        <w:rPr>
          <w:rFonts w:cs="Times New Roman"/>
          <w:b/>
          <w:lang w:val="en-US"/>
        </w:rPr>
        <w:t xml:space="preserve">Predictive </w:t>
      </w:r>
      <w:r w:rsidR="00723693" w:rsidRPr="00441832">
        <w:rPr>
          <w:rFonts w:cs="Times New Roman"/>
          <w:b/>
          <w:lang w:val="en-US"/>
        </w:rPr>
        <w:t xml:space="preserve">Power and </w:t>
      </w:r>
      <w:r w:rsidRPr="00441832">
        <w:rPr>
          <w:rFonts w:cs="Times New Roman"/>
          <w:b/>
          <w:lang w:val="en-US"/>
        </w:rPr>
        <w:t xml:space="preserve">Value Relevance of Comprehensive </w:t>
      </w:r>
      <w:r w:rsidR="005E5696">
        <w:rPr>
          <w:rFonts w:cs="Times New Roman"/>
          <w:b/>
          <w:lang w:val="en-US"/>
        </w:rPr>
        <w:t>Income</w:t>
      </w:r>
      <w:r w:rsidR="00711560">
        <w:rPr>
          <w:rFonts w:cs="Times New Roman"/>
          <w:b/>
          <w:lang w:val="en-US"/>
        </w:rPr>
        <w:t xml:space="preserve"> Statement</w:t>
      </w:r>
      <w:r w:rsidRPr="00441832">
        <w:rPr>
          <w:rFonts w:cs="Times New Roman"/>
          <w:b/>
          <w:lang w:val="en-US"/>
        </w:rPr>
        <w:t xml:space="preserve">: </w:t>
      </w:r>
      <w:r w:rsidR="00723693" w:rsidRPr="00441832">
        <w:rPr>
          <w:rFonts w:cs="Times New Roman"/>
          <w:b/>
          <w:lang w:val="en-US"/>
        </w:rPr>
        <w:t>an analysis of Brazilian companies listed on the BM&amp;FBovespa</w:t>
      </w:r>
    </w:p>
    <w:p w:rsidR="00DF0EB1" w:rsidRPr="00441832" w:rsidRDefault="00DF0EB1" w:rsidP="00F53227">
      <w:pPr>
        <w:rPr>
          <w:rFonts w:cs="Times New Roman"/>
          <w:lang w:val="en-US"/>
        </w:rPr>
      </w:pPr>
    </w:p>
    <w:p w:rsidR="00E70BD6" w:rsidRDefault="005D71EC" w:rsidP="00F53227">
      <w:pPr>
        <w:rPr>
          <w:rFonts w:cs="Times New Roman"/>
          <w:b/>
        </w:rPr>
      </w:pPr>
      <w:r w:rsidRPr="00B019A6">
        <w:rPr>
          <w:rFonts w:cs="Times New Roman"/>
          <w:b/>
        </w:rPr>
        <w:t>R</w:t>
      </w:r>
      <w:r w:rsidR="00903917" w:rsidRPr="00B019A6">
        <w:rPr>
          <w:rFonts w:cs="Times New Roman"/>
          <w:b/>
        </w:rPr>
        <w:t>esumo</w:t>
      </w:r>
    </w:p>
    <w:p w:rsidR="004C60A9" w:rsidRDefault="00E40F80" w:rsidP="00F53227">
      <w:pPr>
        <w:spacing w:after="120"/>
        <w:jc w:val="both"/>
        <w:rPr>
          <w:rFonts w:cs="Times New Roman"/>
          <w:szCs w:val="24"/>
        </w:rPr>
      </w:pPr>
      <w:r>
        <w:rPr>
          <w:rFonts w:cs="Times New Roman"/>
        </w:rPr>
        <w:t xml:space="preserve">O objetivo do estudo </w:t>
      </w:r>
      <w:r w:rsidR="005722C3">
        <w:rPr>
          <w:rFonts w:cs="Times New Roman"/>
        </w:rPr>
        <w:t xml:space="preserve">foi </w:t>
      </w:r>
      <w:r w:rsidRPr="00B7301F">
        <w:rPr>
          <w:rFonts w:cs="Times New Roman"/>
        </w:rPr>
        <w:t xml:space="preserve">analisar se as informações sobre </w:t>
      </w:r>
      <w:r w:rsidR="00452BFA">
        <w:rPr>
          <w:rFonts w:cs="Times New Roman"/>
        </w:rPr>
        <w:t xml:space="preserve">o resultado abrangente consolidado (RAC), </w:t>
      </w:r>
      <w:r w:rsidRPr="00B7301F">
        <w:rPr>
          <w:rFonts w:cs="Times New Roman"/>
        </w:rPr>
        <w:t>o</w:t>
      </w:r>
      <w:r w:rsidR="005E5696">
        <w:rPr>
          <w:rFonts w:cs="Times New Roman"/>
        </w:rPr>
        <w:t>s</w:t>
      </w:r>
      <w:r w:rsidRPr="00B7301F">
        <w:rPr>
          <w:rFonts w:cs="Times New Roman"/>
        </w:rPr>
        <w:t xml:space="preserve"> </w:t>
      </w:r>
      <w:r w:rsidR="005E5696">
        <w:rPr>
          <w:rFonts w:cs="Times New Roman"/>
        </w:rPr>
        <w:t xml:space="preserve">outros </w:t>
      </w:r>
      <w:r w:rsidRPr="00B7301F">
        <w:rPr>
          <w:rFonts w:cs="Times New Roman"/>
        </w:rPr>
        <w:t>resultado</w:t>
      </w:r>
      <w:r w:rsidR="005E5696">
        <w:rPr>
          <w:rFonts w:cs="Times New Roman"/>
        </w:rPr>
        <w:t>s</w:t>
      </w:r>
      <w:r w:rsidRPr="00B7301F">
        <w:rPr>
          <w:rFonts w:cs="Times New Roman"/>
        </w:rPr>
        <w:t xml:space="preserve"> abrangente</w:t>
      </w:r>
      <w:r w:rsidR="005E5696">
        <w:rPr>
          <w:rFonts w:cs="Times New Roman"/>
        </w:rPr>
        <w:t>s</w:t>
      </w:r>
      <w:r w:rsidRPr="00B7301F">
        <w:rPr>
          <w:rFonts w:cs="Times New Roman"/>
        </w:rPr>
        <w:t xml:space="preserve"> </w:t>
      </w:r>
      <w:r w:rsidR="00F37DCD">
        <w:rPr>
          <w:rFonts w:cs="Times New Roman"/>
        </w:rPr>
        <w:t>(</w:t>
      </w:r>
      <w:r w:rsidR="005E5696">
        <w:rPr>
          <w:rFonts w:cs="Times New Roman"/>
        </w:rPr>
        <w:t>O</w:t>
      </w:r>
      <w:r w:rsidR="00F37DCD">
        <w:rPr>
          <w:rFonts w:cs="Times New Roman"/>
        </w:rPr>
        <w:t xml:space="preserve">RA) </w:t>
      </w:r>
      <w:r w:rsidRPr="00B7301F">
        <w:rPr>
          <w:rFonts w:cs="Times New Roman"/>
        </w:rPr>
        <w:t>e os seus</w:t>
      </w:r>
      <w:r w:rsidR="00A6722F">
        <w:rPr>
          <w:rFonts w:cs="Times New Roman"/>
        </w:rPr>
        <w:t xml:space="preserve"> </w:t>
      </w:r>
      <w:r w:rsidRPr="00B7301F">
        <w:rPr>
          <w:rFonts w:cs="Times New Roman"/>
        </w:rPr>
        <w:t xml:space="preserve">componentes individuais têm poder preditivo para determinar o </w:t>
      </w:r>
      <w:r w:rsidR="00C411FB">
        <w:rPr>
          <w:rFonts w:cs="Times New Roman"/>
        </w:rPr>
        <w:t>F</w:t>
      </w:r>
      <w:r w:rsidRPr="00B7301F">
        <w:rPr>
          <w:rFonts w:cs="Times New Roman"/>
        </w:rPr>
        <w:t xml:space="preserve">luxo de </w:t>
      </w:r>
      <w:r w:rsidR="00C411FB">
        <w:rPr>
          <w:rFonts w:cs="Times New Roman"/>
        </w:rPr>
        <w:t>C</w:t>
      </w:r>
      <w:r w:rsidRPr="00B7301F">
        <w:rPr>
          <w:rFonts w:cs="Times New Roman"/>
        </w:rPr>
        <w:t xml:space="preserve">aixa </w:t>
      </w:r>
      <w:r w:rsidR="00C411FB">
        <w:rPr>
          <w:rFonts w:cs="Times New Roman"/>
        </w:rPr>
        <w:t>O</w:t>
      </w:r>
      <w:r w:rsidRPr="00B7301F">
        <w:rPr>
          <w:rFonts w:cs="Times New Roman"/>
        </w:rPr>
        <w:t xml:space="preserve">peracional </w:t>
      </w:r>
      <w:r w:rsidR="00537E66" w:rsidRPr="005668E3">
        <w:rPr>
          <w:rFonts w:cs="Times New Roman"/>
        </w:rPr>
        <w:t>do período subsequente</w:t>
      </w:r>
      <w:r w:rsidR="00540491">
        <w:rPr>
          <w:rFonts w:cs="Times New Roman"/>
        </w:rPr>
        <w:t xml:space="preserve"> </w:t>
      </w:r>
      <w:r w:rsidR="00061C0E">
        <w:rPr>
          <w:rFonts w:cs="Times New Roman"/>
        </w:rPr>
        <w:t>(</w:t>
      </w:r>
      <w:proofErr w:type="gramStart"/>
      <w:r w:rsidR="00061C0E">
        <w:rPr>
          <w:rFonts w:cs="Times New Roman"/>
        </w:rPr>
        <w:t>FC</w:t>
      </w:r>
      <w:r w:rsidR="00061C0E">
        <w:rPr>
          <w:rFonts w:cs="Times New Roman"/>
          <w:szCs w:val="24"/>
        </w:rPr>
        <w:t>O</w:t>
      </w:r>
      <w:r w:rsidR="00061C0E" w:rsidRPr="00381D0A">
        <w:rPr>
          <w:rFonts w:cs="Times New Roman"/>
          <w:szCs w:val="24"/>
          <w:vertAlign w:val="subscript"/>
        </w:rPr>
        <w:t>t</w:t>
      </w:r>
      <w:proofErr w:type="gramEnd"/>
      <w:r w:rsidR="00061C0E" w:rsidRPr="00381D0A">
        <w:rPr>
          <w:rFonts w:cs="Times New Roman"/>
          <w:szCs w:val="24"/>
          <w:vertAlign w:val="subscript"/>
        </w:rPr>
        <w:t>+1</w:t>
      </w:r>
      <w:r w:rsidR="00061C0E">
        <w:rPr>
          <w:rFonts w:cs="Times New Roman"/>
        </w:rPr>
        <w:t xml:space="preserve">) </w:t>
      </w:r>
      <w:r w:rsidR="00540491">
        <w:rPr>
          <w:rFonts w:cs="Times New Roman"/>
        </w:rPr>
        <w:t>de empresas do</w:t>
      </w:r>
      <w:r w:rsidR="00540491" w:rsidRPr="00540491">
        <w:rPr>
          <w:rFonts w:cs="Times New Roman"/>
        </w:rPr>
        <w:t xml:space="preserve"> mercado de capitais </w:t>
      </w:r>
      <w:r w:rsidR="00540491">
        <w:rPr>
          <w:rFonts w:cs="Times New Roman"/>
        </w:rPr>
        <w:t>brasileiro</w:t>
      </w:r>
      <w:r w:rsidRPr="00B7301F">
        <w:rPr>
          <w:rFonts w:cs="Times New Roman"/>
        </w:rPr>
        <w:t>.</w:t>
      </w:r>
      <w:r w:rsidR="00285C3A">
        <w:rPr>
          <w:rFonts w:cs="Times New Roman"/>
        </w:rPr>
        <w:t xml:space="preserve"> </w:t>
      </w:r>
      <w:r w:rsidR="000B4FD7">
        <w:rPr>
          <w:rFonts w:cs="Times New Roman"/>
        </w:rPr>
        <w:t>A</w:t>
      </w:r>
      <w:r w:rsidR="00285C3A">
        <w:rPr>
          <w:rFonts w:cs="Times New Roman"/>
        </w:rPr>
        <w:t xml:space="preserve"> metodologia d</w:t>
      </w:r>
      <w:r w:rsidR="000B4FD7">
        <w:rPr>
          <w:rFonts w:cs="Times New Roman"/>
        </w:rPr>
        <w:t>e pesquisa</w:t>
      </w:r>
      <w:r w:rsidR="005722C3">
        <w:rPr>
          <w:szCs w:val="24"/>
        </w:rPr>
        <w:t xml:space="preserve"> </w:t>
      </w:r>
      <w:r w:rsidR="00E175EA">
        <w:rPr>
          <w:szCs w:val="24"/>
        </w:rPr>
        <w:t xml:space="preserve">utilizou </w:t>
      </w:r>
      <w:r w:rsidR="005722C3">
        <w:rPr>
          <w:szCs w:val="24"/>
        </w:rPr>
        <w:t xml:space="preserve">dados </w:t>
      </w:r>
      <w:r w:rsidR="00210408">
        <w:rPr>
          <w:szCs w:val="24"/>
        </w:rPr>
        <w:t>financeiros coletados</w:t>
      </w:r>
      <w:r w:rsidR="000220E5" w:rsidRPr="00F37B82">
        <w:rPr>
          <w:rFonts w:cs="Times New Roman"/>
        </w:rPr>
        <w:t xml:space="preserve"> </w:t>
      </w:r>
      <w:r w:rsidR="00210408">
        <w:rPr>
          <w:rFonts w:cs="Times New Roman"/>
        </w:rPr>
        <w:t>n</w:t>
      </w:r>
      <w:r w:rsidR="000220E5" w:rsidRPr="00F37B82">
        <w:rPr>
          <w:rFonts w:cs="Times New Roman"/>
        </w:rPr>
        <w:t xml:space="preserve">a base </w:t>
      </w:r>
      <w:r w:rsidR="000220E5" w:rsidRPr="00B547C8">
        <w:rPr>
          <w:rFonts w:cs="Times New Roman"/>
          <w:i/>
        </w:rPr>
        <w:t>Econom</w:t>
      </w:r>
      <w:r w:rsidR="000220E5" w:rsidRPr="00597F95">
        <w:rPr>
          <w:rFonts w:cs="Times New Roman"/>
          <w:i/>
        </w:rPr>
        <w:t>a</w:t>
      </w:r>
      <w:r w:rsidR="000220E5" w:rsidRPr="00B547C8">
        <w:rPr>
          <w:rFonts w:cs="Times New Roman"/>
          <w:i/>
        </w:rPr>
        <w:t>tica</w:t>
      </w:r>
      <w:r w:rsidR="001D1F02">
        <w:rPr>
          <w:rFonts w:cs="Times New Roman"/>
          <w:i/>
        </w:rPr>
        <w:t xml:space="preserve"> </w:t>
      </w:r>
      <w:r w:rsidR="001D1F02">
        <w:rPr>
          <w:rFonts w:cs="Times New Roman"/>
        </w:rPr>
        <w:t>e</w:t>
      </w:r>
      <w:r w:rsidR="000220E5" w:rsidRPr="00F37B82">
        <w:rPr>
          <w:rFonts w:cs="Times New Roman"/>
        </w:rPr>
        <w:t xml:space="preserve"> </w:t>
      </w:r>
      <w:r w:rsidR="00210408">
        <w:rPr>
          <w:rFonts w:cs="Times New Roman"/>
        </w:rPr>
        <w:t xml:space="preserve">na </w:t>
      </w:r>
      <w:r w:rsidR="000220E5" w:rsidRPr="00F37B82">
        <w:rPr>
          <w:rFonts w:cs="Times New Roman"/>
        </w:rPr>
        <w:t>CV</w:t>
      </w:r>
      <w:r w:rsidR="000220E5">
        <w:rPr>
          <w:rFonts w:cs="Times New Roman"/>
        </w:rPr>
        <w:t>M.</w:t>
      </w:r>
      <w:r w:rsidR="00F801CB">
        <w:rPr>
          <w:rFonts w:cs="Times New Roman"/>
        </w:rPr>
        <w:t xml:space="preserve"> </w:t>
      </w:r>
      <w:r w:rsidR="007D5D81">
        <w:rPr>
          <w:rFonts w:cs="Times New Roman"/>
        </w:rPr>
        <w:t>A seleção da amostra foi realizada considerando a disponibilidade das variáveis</w:t>
      </w:r>
      <w:r w:rsidR="00A0045E">
        <w:rPr>
          <w:rFonts w:cs="Times New Roman"/>
        </w:rPr>
        <w:t>:</w:t>
      </w:r>
      <w:r w:rsidR="007D5D81">
        <w:rPr>
          <w:rFonts w:cs="Times New Roman"/>
        </w:rPr>
        <w:t xml:space="preserve"> </w:t>
      </w:r>
      <w:proofErr w:type="gramStart"/>
      <w:r w:rsidR="00537E66">
        <w:rPr>
          <w:rFonts w:cs="Times New Roman"/>
        </w:rPr>
        <w:t>FC</w:t>
      </w:r>
      <w:r w:rsidR="00537E66">
        <w:rPr>
          <w:rFonts w:cs="Times New Roman"/>
          <w:szCs w:val="24"/>
        </w:rPr>
        <w:t>O</w:t>
      </w:r>
      <w:r w:rsidR="00537E66" w:rsidRPr="00381D0A">
        <w:rPr>
          <w:rFonts w:cs="Times New Roman"/>
          <w:szCs w:val="24"/>
          <w:vertAlign w:val="subscript"/>
        </w:rPr>
        <w:t>t</w:t>
      </w:r>
      <w:proofErr w:type="gramEnd"/>
      <w:r w:rsidR="00537E66" w:rsidRPr="00381D0A">
        <w:rPr>
          <w:rFonts w:cs="Times New Roman"/>
          <w:szCs w:val="24"/>
          <w:vertAlign w:val="subscript"/>
        </w:rPr>
        <w:t>+1</w:t>
      </w:r>
      <w:r w:rsidR="00BF6764">
        <w:rPr>
          <w:rFonts w:cs="Times New Roman"/>
        </w:rPr>
        <w:t xml:space="preserve"> </w:t>
      </w:r>
      <w:r w:rsidR="007D5D81">
        <w:rPr>
          <w:rFonts w:cs="Times New Roman"/>
        </w:rPr>
        <w:t>e Preço das Ações. O período analisado compreendeu os anos de 2012 a 2014.</w:t>
      </w:r>
      <w:r w:rsidR="00F3290F">
        <w:rPr>
          <w:szCs w:val="24"/>
        </w:rPr>
        <w:t xml:space="preserve"> </w:t>
      </w:r>
      <w:r w:rsidR="000220E5">
        <w:rPr>
          <w:szCs w:val="24"/>
        </w:rPr>
        <w:t>F</w:t>
      </w:r>
      <w:r w:rsidR="005722C3">
        <w:rPr>
          <w:rFonts w:cs="Times New Roman"/>
        </w:rPr>
        <w:t xml:space="preserve">oram utilizadas </w:t>
      </w:r>
      <w:r w:rsidR="005722C3" w:rsidRPr="00765D9D">
        <w:rPr>
          <w:szCs w:val="24"/>
        </w:rPr>
        <w:t>técnicas de avaliação</w:t>
      </w:r>
      <w:r w:rsidR="005722C3">
        <w:rPr>
          <w:szCs w:val="24"/>
        </w:rPr>
        <w:t xml:space="preserve"> </w:t>
      </w:r>
      <w:r w:rsidR="005722C3" w:rsidRPr="00765D9D">
        <w:rPr>
          <w:szCs w:val="24"/>
        </w:rPr>
        <w:t>quantitativa</w:t>
      </w:r>
      <w:r w:rsidR="005722C3">
        <w:rPr>
          <w:szCs w:val="24"/>
        </w:rPr>
        <w:t>s</w:t>
      </w:r>
      <w:r w:rsidR="00AA1FEA">
        <w:rPr>
          <w:szCs w:val="24"/>
        </w:rPr>
        <w:t>, e</w:t>
      </w:r>
      <w:r w:rsidR="005722C3">
        <w:rPr>
          <w:rFonts w:cs="Times New Roman"/>
        </w:rPr>
        <w:t>stabelec</w:t>
      </w:r>
      <w:r w:rsidR="00AA1FEA">
        <w:rPr>
          <w:rFonts w:cs="Times New Roman"/>
        </w:rPr>
        <w:t xml:space="preserve">endo-se </w:t>
      </w:r>
      <w:r w:rsidR="005722C3">
        <w:rPr>
          <w:rFonts w:cs="Times New Roman"/>
        </w:rPr>
        <w:t>dois momentos de estudo: o primeiro testa</w:t>
      </w:r>
      <w:r w:rsidR="00116BF0">
        <w:rPr>
          <w:rFonts w:cs="Times New Roman"/>
        </w:rPr>
        <w:t>ndo</w:t>
      </w:r>
      <w:r w:rsidR="005722C3">
        <w:rPr>
          <w:rFonts w:cs="Times New Roman"/>
        </w:rPr>
        <w:t xml:space="preserve"> a hipótese de que o </w:t>
      </w:r>
      <w:proofErr w:type="gramStart"/>
      <w:r w:rsidR="005722C3" w:rsidRPr="005668E3">
        <w:rPr>
          <w:rFonts w:cs="Times New Roman"/>
        </w:rPr>
        <w:t>RA</w:t>
      </w:r>
      <w:r w:rsidR="00452BFA">
        <w:rPr>
          <w:rFonts w:cs="Times New Roman"/>
        </w:rPr>
        <w:t>C</w:t>
      </w:r>
      <w:proofErr w:type="gramEnd"/>
      <w:r w:rsidR="005722C3" w:rsidRPr="005668E3">
        <w:rPr>
          <w:rFonts w:cs="Times New Roman"/>
        </w:rPr>
        <w:t xml:space="preserve"> </w:t>
      </w:r>
      <w:proofErr w:type="gramStart"/>
      <w:r w:rsidR="005722C3" w:rsidRPr="005668E3">
        <w:rPr>
          <w:rFonts w:cs="Times New Roman"/>
        </w:rPr>
        <w:t>possui</w:t>
      </w:r>
      <w:proofErr w:type="gramEnd"/>
      <w:r w:rsidR="005722C3" w:rsidRPr="005668E3">
        <w:rPr>
          <w:rFonts w:cs="Times New Roman"/>
        </w:rPr>
        <w:t xml:space="preserve"> maior </w:t>
      </w:r>
      <w:r w:rsidR="005722C3">
        <w:rPr>
          <w:rFonts w:cs="Times New Roman"/>
        </w:rPr>
        <w:t xml:space="preserve">poder preditivo </w:t>
      </w:r>
      <w:r w:rsidR="005722C3" w:rsidRPr="005668E3">
        <w:rPr>
          <w:rFonts w:cs="Times New Roman"/>
        </w:rPr>
        <w:t>que o Lucro Líquido</w:t>
      </w:r>
      <w:r w:rsidR="00BA050F">
        <w:rPr>
          <w:rFonts w:cs="Times New Roman"/>
        </w:rPr>
        <w:t xml:space="preserve"> (LL)</w:t>
      </w:r>
      <w:r w:rsidR="005722C3" w:rsidRPr="005668E3">
        <w:rPr>
          <w:rFonts w:cs="Times New Roman"/>
        </w:rPr>
        <w:t xml:space="preserve"> para a previsão do </w:t>
      </w:r>
      <w:r w:rsidR="00537E66">
        <w:rPr>
          <w:rFonts w:cs="Times New Roman"/>
        </w:rPr>
        <w:t>FC</w:t>
      </w:r>
      <w:r w:rsidR="00537E66">
        <w:rPr>
          <w:rFonts w:cs="Times New Roman"/>
          <w:szCs w:val="24"/>
        </w:rPr>
        <w:t>O</w:t>
      </w:r>
      <w:r w:rsidR="00537E66" w:rsidRPr="00381D0A">
        <w:rPr>
          <w:rFonts w:cs="Times New Roman"/>
          <w:szCs w:val="24"/>
          <w:vertAlign w:val="subscript"/>
        </w:rPr>
        <w:t>t+1</w:t>
      </w:r>
      <w:r w:rsidR="00537E66">
        <w:rPr>
          <w:rFonts w:cs="Times New Roman"/>
        </w:rPr>
        <w:t xml:space="preserve"> </w:t>
      </w:r>
      <w:r w:rsidR="000E0FD3">
        <w:rPr>
          <w:rFonts w:cs="Times New Roman"/>
        </w:rPr>
        <w:t>(528 observações)</w:t>
      </w:r>
      <w:r w:rsidR="005722C3" w:rsidRPr="005668E3">
        <w:rPr>
          <w:rFonts w:cs="Times New Roman"/>
        </w:rPr>
        <w:t>; e o</w:t>
      </w:r>
      <w:r w:rsidR="005722C3">
        <w:rPr>
          <w:rFonts w:cs="Times New Roman"/>
        </w:rPr>
        <w:t xml:space="preserve"> segundo testa</w:t>
      </w:r>
      <w:r w:rsidR="00DF65CE">
        <w:rPr>
          <w:rFonts w:cs="Times New Roman"/>
        </w:rPr>
        <w:t>ndo</w:t>
      </w:r>
      <w:r w:rsidR="005722C3">
        <w:rPr>
          <w:rFonts w:cs="Times New Roman"/>
        </w:rPr>
        <w:t xml:space="preserve"> a hipótese de que </w:t>
      </w:r>
      <w:r w:rsidR="005722C3" w:rsidRPr="005668E3">
        <w:rPr>
          <w:rFonts w:cs="Times New Roman"/>
        </w:rPr>
        <w:t>o RA</w:t>
      </w:r>
      <w:r w:rsidR="00452BFA">
        <w:rPr>
          <w:rFonts w:cs="Times New Roman"/>
        </w:rPr>
        <w:t>C, os ORA</w:t>
      </w:r>
      <w:r w:rsidR="005722C3" w:rsidRPr="005668E3">
        <w:rPr>
          <w:rFonts w:cs="Times New Roman"/>
        </w:rPr>
        <w:t xml:space="preserve"> e seus componentes possuem </w:t>
      </w:r>
      <w:proofErr w:type="spellStart"/>
      <w:r w:rsidR="005722C3" w:rsidRPr="00850179">
        <w:rPr>
          <w:rFonts w:cs="Times New Roman"/>
          <w:i/>
        </w:rPr>
        <w:t>value</w:t>
      </w:r>
      <w:proofErr w:type="spellEnd"/>
      <w:r w:rsidR="005722C3" w:rsidRPr="00850179">
        <w:rPr>
          <w:rFonts w:cs="Times New Roman"/>
          <w:i/>
        </w:rPr>
        <w:t xml:space="preserve"> </w:t>
      </w:r>
      <w:proofErr w:type="spellStart"/>
      <w:r w:rsidR="005722C3" w:rsidRPr="00850179">
        <w:rPr>
          <w:rFonts w:cs="Times New Roman"/>
          <w:i/>
        </w:rPr>
        <w:t>relevance</w:t>
      </w:r>
      <w:proofErr w:type="spellEnd"/>
      <w:r w:rsidR="005722C3" w:rsidRPr="00850179">
        <w:rPr>
          <w:rFonts w:cs="Times New Roman"/>
        </w:rPr>
        <w:t xml:space="preserve"> </w:t>
      </w:r>
      <w:r w:rsidR="005722C3" w:rsidRPr="0007498D">
        <w:rPr>
          <w:rFonts w:cs="Times New Roman"/>
        </w:rPr>
        <w:t xml:space="preserve">para o mercado de capitais </w:t>
      </w:r>
      <w:r w:rsidR="005722C3">
        <w:rPr>
          <w:rFonts w:cs="Times New Roman"/>
        </w:rPr>
        <w:t>brasileiro</w:t>
      </w:r>
      <w:r w:rsidR="000E0FD3">
        <w:rPr>
          <w:rFonts w:cs="Times New Roman"/>
        </w:rPr>
        <w:t xml:space="preserve"> (605 observações)</w:t>
      </w:r>
      <w:r w:rsidR="005722C3" w:rsidRPr="0007498D">
        <w:rPr>
          <w:rFonts w:cs="Times New Roman"/>
        </w:rPr>
        <w:t>.</w:t>
      </w:r>
      <w:r w:rsidR="004C60A9">
        <w:rPr>
          <w:rFonts w:cs="Times New Roman"/>
        </w:rPr>
        <w:t xml:space="preserve"> </w:t>
      </w:r>
      <w:r w:rsidR="004C60A9">
        <w:t xml:space="preserve">Os resultados sugerem que </w:t>
      </w:r>
      <w:r w:rsidR="004C60A9">
        <w:rPr>
          <w:rFonts w:cs="Times New Roman"/>
          <w:szCs w:val="24"/>
        </w:rPr>
        <w:t>a</w:t>
      </w:r>
      <w:r w:rsidR="004C60A9" w:rsidRPr="003542FC">
        <w:rPr>
          <w:rFonts w:cs="Times New Roman"/>
          <w:szCs w:val="24"/>
        </w:rPr>
        <w:t xml:space="preserve"> apreciação do </w:t>
      </w:r>
      <w:r w:rsidR="00B42912">
        <w:rPr>
          <w:rFonts w:cs="Times New Roman"/>
          <w:szCs w:val="24"/>
        </w:rPr>
        <w:t>RA</w:t>
      </w:r>
      <w:r w:rsidR="00452BFA">
        <w:rPr>
          <w:rFonts w:cs="Times New Roman"/>
          <w:szCs w:val="24"/>
        </w:rPr>
        <w:t>C</w:t>
      </w:r>
      <w:r w:rsidR="004C60A9">
        <w:rPr>
          <w:rFonts w:cs="Times New Roman"/>
          <w:szCs w:val="24"/>
        </w:rPr>
        <w:t xml:space="preserve">, individualmente, </w:t>
      </w:r>
      <w:r w:rsidR="004C60A9" w:rsidRPr="003542FC">
        <w:rPr>
          <w:rFonts w:cs="Times New Roman"/>
          <w:szCs w:val="24"/>
        </w:rPr>
        <w:t>não seria incremental para previsão d</w:t>
      </w:r>
      <w:r w:rsidR="000E7047">
        <w:rPr>
          <w:rFonts w:cs="Times New Roman"/>
          <w:szCs w:val="24"/>
        </w:rPr>
        <w:t>o</w:t>
      </w:r>
      <w:r w:rsidR="004C60A9" w:rsidRPr="003542FC">
        <w:rPr>
          <w:rFonts w:cs="Times New Roman"/>
          <w:szCs w:val="24"/>
        </w:rPr>
        <w:t xml:space="preserve"> </w:t>
      </w:r>
      <w:proofErr w:type="gramStart"/>
      <w:r w:rsidR="000E7047">
        <w:rPr>
          <w:rFonts w:cs="Times New Roman"/>
        </w:rPr>
        <w:t>FC</w:t>
      </w:r>
      <w:r w:rsidR="000E7047">
        <w:rPr>
          <w:rFonts w:cs="Times New Roman"/>
          <w:szCs w:val="24"/>
        </w:rPr>
        <w:t>O</w:t>
      </w:r>
      <w:r w:rsidR="000E7047" w:rsidRPr="00381D0A">
        <w:rPr>
          <w:rFonts w:cs="Times New Roman"/>
          <w:szCs w:val="24"/>
          <w:vertAlign w:val="subscript"/>
        </w:rPr>
        <w:t>t</w:t>
      </w:r>
      <w:proofErr w:type="gramEnd"/>
      <w:r w:rsidR="000E7047" w:rsidRPr="00381D0A">
        <w:rPr>
          <w:rFonts w:cs="Times New Roman"/>
          <w:szCs w:val="24"/>
          <w:vertAlign w:val="subscript"/>
        </w:rPr>
        <w:t>+1</w:t>
      </w:r>
      <w:r w:rsidR="004C60A9" w:rsidRPr="003542FC">
        <w:rPr>
          <w:rFonts w:cs="Times New Roman"/>
          <w:szCs w:val="24"/>
        </w:rPr>
        <w:t>.</w:t>
      </w:r>
      <w:r w:rsidR="004C60A9">
        <w:rPr>
          <w:rFonts w:cs="Times New Roman"/>
          <w:szCs w:val="24"/>
        </w:rPr>
        <w:t xml:space="preserve"> Todavia, verificou-se um acréscimo na capacidade preditiva para o </w:t>
      </w:r>
      <w:proofErr w:type="gramStart"/>
      <w:r w:rsidR="004C60A9">
        <w:rPr>
          <w:rFonts w:cs="Times New Roman"/>
          <w:szCs w:val="24"/>
        </w:rPr>
        <w:t>FCO</w:t>
      </w:r>
      <w:r w:rsidR="004C60A9" w:rsidRPr="00381D0A">
        <w:rPr>
          <w:rFonts w:cs="Times New Roman"/>
          <w:szCs w:val="24"/>
          <w:vertAlign w:val="subscript"/>
        </w:rPr>
        <w:t>t</w:t>
      </w:r>
      <w:proofErr w:type="gramEnd"/>
      <w:r w:rsidR="004C60A9" w:rsidRPr="00381D0A">
        <w:rPr>
          <w:rFonts w:cs="Times New Roman"/>
          <w:szCs w:val="24"/>
          <w:vertAlign w:val="subscript"/>
        </w:rPr>
        <w:t>+1</w:t>
      </w:r>
      <w:r w:rsidR="004C60A9">
        <w:rPr>
          <w:rFonts w:cs="Times New Roman"/>
          <w:szCs w:val="24"/>
        </w:rPr>
        <w:t xml:space="preserve">, com a inclusão dos </w:t>
      </w:r>
      <w:r w:rsidR="00B42912">
        <w:rPr>
          <w:rFonts w:cs="Times New Roman"/>
          <w:szCs w:val="24"/>
        </w:rPr>
        <w:t>O</w:t>
      </w:r>
      <w:r w:rsidR="004C60A9">
        <w:rPr>
          <w:rFonts w:cs="Times New Roman"/>
          <w:szCs w:val="24"/>
        </w:rPr>
        <w:t xml:space="preserve">utros </w:t>
      </w:r>
      <w:r w:rsidR="00B42912">
        <w:rPr>
          <w:rFonts w:cs="Times New Roman"/>
          <w:szCs w:val="24"/>
        </w:rPr>
        <w:t>R</w:t>
      </w:r>
      <w:r w:rsidR="004C60A9">
        <w:rPr>
          <w:rFonts w:cs="Times New Roman"/>
          <w:szCs w:val="24"/>
        </w:rPr>
        <w:t xml:space="preserve">esultados </w:t>
      </w:r>
      <w:r w:rsidR="00B42912">
        <w:rPr>
          <w:rFonts w:cs="Times New Roman"/>
          <w:szCs w:val="24"/>
        </w:rPr>
        <w:t>A</w:t>
      </w:r>
      <w:r w:rsidR="004C60A9">
        <w:rPr>
          <w:rFonts w:cs="Times New Roman"/>
          <w:szCs w:val="24"/>
        </w:rPr>
        <w:t>brangentes</w:t>
      </w:r>
      <w:r w:rsidR="00B42912">
        <w:rPr>
          <w:rFonts w:cs="Times New Roman"/>
          <w:szCs w:val="24"/>
        </w:rPr>
        <w:t xml:space="preserve"> </w:t>
      </w:r>
      <w:r w:rsidR="004C60A9">
        <w:rPr>
          <w:rFonts w:cs="Times New Roman"/>
          <w:szCs w:val="24"/>
        </w:rPr>
        <w:t xml:space="preserve">. Não foi possível verificar, com a desagregação dos itens individuais dos ORA, capacidade incremental para determinação do </w:t>
      </w:r>
      <w:proofErr w:type="gramStart"/>
      <w:r w:rsidR="00BA050F">
        <w:rPr>
          <w:rFonts w:cs="Times New Roman"/>
          <w:szCs w:val="24"/>
        </w:rPr>
        <w:t>FC</w:t>
      </w:r>
      <w:r w:rsidR="001C49D2">
        <w:rPr>
          <w:rFonts w:cs="Times New Roman"/>
          <w:szCs w:val="24"/>
        </w:rPr>
        <w:t>O</w:t>
      </w:r>
      <w:r w:rsidR="001C49D2" w:rsidRPr="00381D0A">
        <w:rPr>
          <w:rFonts w:cs="Times New Roman"/>
          <w:szCs w:val="24"/>
          <w:vertAlign w:val="subscript"/>
        </w:rPr>
        <w:t>t</w:t>
      </w:r>
      <w:proofErr w:type="gramEnd"/>
      <w:r w:rsidR="001C49D2" w:rsidRPr="00381D0A">
        <w:rPr>
          <w:rFonts w:cs="Times New Roman"/>
          <w:szCs w:val="24"/>
          <w:vertAlign w:val="subscript"/>
        </w:rPr>
        <w:t>+1</w:t>
      </w:r>
      <w:r w:rsidR="004C60A9">
        <w:rPr>
          <w:rFonts w:cs="Times New Roman"/>
          <w:szCs w:val="24"/>
        </w:rPr>
        <w:t xml:space="preserve">. </w:t>
      </w:r>
      <w:r w:rsidR="00F6480D">
        <w:rPr>
          <w:rFonts w:cs="Times New Roman"/>
          <w:szCs w:val="24"/>
        </w:rPr>
        <w:t>F</w:t>
      </w:r>
      <w:r w:rsidR="004C60A9">
        <w:rPr>
          <w:rFonts w:cs="Times New Roman"/>
          <w:szCs w:val="24"/>
        </w:rPr>
        <w:t xml:space="preserve">oi verificado que o PL e o </w:t>
      </w:r>
      <w:r w:rsidR="0086471C">
        <w:rPr>
          <w:rFonts w:cs="Times New Roman"/>
          <w:szCs w:val="24"/>
        </w:rPr>
        <w:t>LL</w:t>
      </w:r>
      <w:r w:rsidR="004C60A9">
        <w:rPr>
          <w:rFonts w:cs="Times New Roman"/>
          <w:szCs w:val="24"/>
        </w:rPr>
        <w:t xml:space="preserve"> possuem </w:t>
      </w:r>
      <w:proofErr w:type="spellStart"/>
      <w:r w:rsidR="004C60A9" w:rsidRPr="00850179">
        <w:rPr>
          <w:rFonts w:cs="Times New Roman"/>
          <w:i/>
          <w:szCs w:val="24"/>
        </w:rPr>
        <w:t>value</w:t>
      </w:r>
      <w:proofErr w:type="spellEnd"/>
      <w:r w:rsidR="004C60A9" w:rsidRPr="00850179">
        <w:rPr>
          <w:rFonts w:cs="Times New Roman"/>
          <w:i/>
          <w:szCs w:val="24"/>
        </w:rPr>
        <w:t xml:space="preserve"> </w:t>
      </w:r>
      <w:proofErr w:type="spellStart"/>
      <w:r w:rsidR="004C60A9" w:rsidRPr="00850179">
        <w:rPr>
          <w:rFonts w:cs="Times New Roman"/>
          <w:i/>
          <w:szCs w:val="24"/>
        </w:rPr>
        <w:t>relevance</w:t>
      </w:r>
      <w:proofErr w:type="spellEnd"/>
      <w:r w:rsidR="004C60A9">
        <w:rPr>
          <w:rFonts w:cs="Times New Roman"/>
          <w:szCs w:val="24"/>
        </w:rPr>
        <w:t xml:space="preserve">, porém </w:t>
      </w:r>
      <w:r w:rsidR="00A2631D">
        <w:rPr>
          <w:rFonts w:cs="Times New Roman"/>
          <w:szCs w:val="24"/>
        </w:rPr>
        <w:t>isso não</w:t>
      </w:r>
      <w:r w:rsidR="004C60A9">
        <w:rPr>
          <w:rFonts w:cs="Times New Roman"/>
          <w:szCs w:val="24"/>
        </w:rPr>
        <w:t xml:space="preserve"> </w:t>
      </w:r>
      <w:r w:rsidR="00A2631D">
        <w:rPr>
          <w:rFonts w:cs="Times New Roman"/>
          <w:szCs w:val="24"/>
        </w:rPr>
        <w:t xml:space="preserve">se </w:t>
      </w:r>
      <w:r w:rsidR="004C60A9">
        <w:rPr>
          <w:rFonts w:cs="Times New Roman"/>
          <w:szCs w:val="24"/>
        </w:rPr>
        <w:t>confirma para o RA</w:t>
      </w:r>
      <w:r w:rsidR="005859EB">
        <w:rPr>
          <w:rFonts w:cs="Times New Roman"/>
          <w:szCs w:val="24"/>
        </w:rPr>
        <w:t>C</w:t>
      </w:r>
      <w:r w:rsidR="004C60A9">
        <w:rPr>
          <w:rFonts w:cs="Times New Roman"/>
          <w:szCs w:val="24"/>
        </w:rPr>
        <w:t xml:space="preserve">. </w:t>
      </w:r>
      <w:r w:rsidR="00A2631D">
        <w:rPr>
          <w:rFonts w:cs="Times New Roman"/>
          <w:szCs w:val="24"/>
        </w:rPr>
        <w:t>Soma-se que, a</w:t>
      </w:r>
      <w:r w:rsidR="004C60A9">
        <w:rPr>
          <w:rFonts w:cs="Times New Roman"/>
          <w:szCs w:val="24"/>
        </w:rPr>
        <w:t xml:space="preserve">penas </w:t>
      </w:r>
      <w:r w:rsidR="004C60A9" w:rsidRPr="009B7835">
        <w:rPr>
          <w:rFonts w:cs="Times New Roman"/>
          <w:szCs w:val="24"/>
        </w:rPr>
        <w:t>o</w:t>
      </w:r>
      <w:r w:rsidR="004C60A9">
        <w:rPr>
          <w:rFonts w:cs="Times New Roman"/>
          <w:szCs w:val="24"/>
        </w:rPr>
        <w:t xml:space="preserve"> </w:t>
      </w:r>
      <w:r w:rsidR="004C60A9" w:rsidRPr="00381D0A">
        <w:rPr>
          <w:rFonts w:cs="Times New Roman"/>
          <w:i/>
          <w:szCs w:val="24"/>
        </w:rPr>
        <w:t>hedge</w:t>
      </w:r>
      <w:r w:rsidR="004C60A9" w:rsidRPr="009B7835">
        <w:rPr>
          <w:rFonts w:cs="Times New Roman"/>
          <w:szCs w:val="24"/>
        </w:rPr>
        <w:t xml:space="preserve"> de</w:t>
      </w:r>
      <w:r w:rsidR="004C60A9">
        <w:rPr>
          <w:rFonts w:cs="Times New Roman"/>
          <w:szCs w:val="24"/>
        </w:rPr>
        <w:t xml:space="preserve"> </w:t>
      </w:r>
      <w:r w:rsidR="00AB04E2">
        <w:rPr>
          <w:rFonts w:cs="Times New Roman"/>
          <w:szCs w:val="24"/>
        </w:rPr>
        <w:t>fluxo de caixa</w:t>
      </w:r>
      <w:r w:rsidR="002050CA">
        <w:rPr>
          <w:rFonts w:cs="Times New Roman"/>
          <w:szCs w:val="24"/>
        </w:rPr>
        <w:t xml:space="preserve"> </w:t>
      </w:r>
      <w:r w:rsidR="004C60A9">
        <w:rPr>
          <w:rFonts w:cs="Times New Roman"/>
          <w:szCs w:val="24"/>
        </w:rPr>
        <w:t>apresentou-se significativo</w:t>
      </w:r>
      <w:r w:rsidR="004C60A9" w:rsidRPr="009B7835">
        <w:rPr>
          <w:rFonts w:cs="Times New Roman"/>
          <w:szCs w:val="24"/>
        </w:rPr>
        <w:t xml:space="preserve"> </w:t>
      </w:r>
      <w:r w:rsidR="004C60A9">
        <w:rPr>
          <w:rFonts w:cs="Times New Roman"/>
          <w:szCs w:val="24"/>
        </w:rPr>
        <w:t>para</w:t>
      </w:r>
      <w:r w:rsidR="004C60A9" w:rsidRPr="009B7835">
        <w:rPr>
          <w:rFonts w:cs="Times New Roman"/>
          <w:szCs w:val="24"/>
        </w:rPr>
        <w:t xml:space="preserve"> expl</w:t>
      </w:r>
      <w:r w:rsidR="004C60A9">
        <w:rPr>
          <w:rFonts w:cs="Times New Roman"/>
          <w:szCs w:val="24"/>
        </w:rPr>
        <w:t xml:space="preserve">icar </w:t>
      </w:r>
      <w:r w:rsidR="004C60A9" w:rsidRPr="009B7835">
        <w:rPr>
          <w:rFonts w:cs="Times New Roman"/>
          <w:szCs w:val="24"/>
        </w:rPr>
        <w:t>o valor de</w:t>
      </w:r>
      <w:r w:rsidR="004C60A9">
        <w:rPr>
          <w:rFonts w:cs="Times New Roman"/>
          <w:szCs w:val="24"/>
        </w:rPr>
        <w:t xml:space="preserve"> </w:t>
      </w:r>
      <w:r w:rsidR="004C60A9" w:rsidRPr="009B7835">
        <w:rPr>
          <w:rFonts w:cs="Times New Roman"/>
          <w:szCs w:val="24"/>
        </w:rPr>
        <w:t>mercado da empresa</w:t>
      </w:r>
      <w:r w:rsidR="004C60A9">
        <w:rPr>
          <w:rFonts w:cs="Times New Roman"/>
          <w:szCs w:val="24"/>
        </w:rPr>
        <w:t>, indica</w:t>
      </w:r>
      <w:r w:rsidR="00A2631D">
        <w:rPr>
          <w:rFonts w:cs="Times New Roman"/>
          <w:szCs w:val="24"/>
        </w:rPr>
        <w:t>ndo</w:t>
      </w:r>
      <w:r w:rsidR="004C60A9">
        <w:rPr>
          <w:rFonts w:cs="Times New Roman"/>
          <w:szCs w:val="24"/>
        </w:rPr>
        <w:t xml:space="preserve"> existir benefício informacional </w:t>
      </w:r>
      <w:r w:rsidR="00A2631D">
        <w:rPr>
          <w:rFonts w:cs="Times New Roman"/>
          <w:szCs w:val="24"/>
        </w:rPr>
        <w:t>a</w:t>
      </w:r>
      <w:r w:rsidR="004C60A9">
        <w:rPr>
          <w:rFonts w:cs="Times New Roman"/>
          <w:szCs w:val="24"/>
        </w:rPr>
        <w:t xml:space="preserve">os </w:t>
      </w:r>
      <w:r w:rsidR="004C60A9" w:rsidRPr="0001292E">
        <w:rPr>
          <w:rFonts w:cs="Times New Roman"/>
          <w:i/>
          <w:szCs w:val="24"/>
        </w:rPr>
        <w:t>stakeholders</w:t>
      </w:r>
      <w:r w:rsidR="004C60A9">
        <w:rPr>
          <w:rFonts w:cs="Times New Roman"/>
          <w:szCs w:val="24"/>
        </w:rPr>
        <w:t xml:space="preserve"> </w:t>
      </w:r>
      <w:r w:rsidR="00A2631D">
        <w:rPr>
          <w:rFonts w:cs="Times New Roman"/>
          <w:szCs w:val="24"/>
        </w:rPr>
        <w:t>que</w:t>
      </w:r>
      <w:r w:rsidR="004C60A9">
        <w:rPr>
          <w:rFonts w:cs="Times New Roman"/>
          <w:szCs w:val="24"/>
        </w:rPr>
        <w:t xml:space="preserve"> emprega</w:t>
      </w:r>
      <w:r w:rsidR="00B05E88">
        <w:rPr>
          <w:rFonts w:cs="Times New Roman"/>
          <w:szCs w:val="24"/>
        </w:rPr>
        <w:t>re</w:t>
      </w:r>
      <w:r w:rsidR="004C60A9">
        <w:rPr>
          <w:rFonts w:cs="Times New Roman"/>
          <w:szCs w:val="24"/>
        </w:rPr>
        <w:t xml:space="preserve">m </w:t>
      </w:r>
      <w:r w:rsidR="005859EB">
        <w:rPr>
          <w:rFonts w:cs="Times New Roman"/>
          <w:szCs w:val="24"/>
        </w:rPr>
        <w:t>as informações da D</w:t>
      </w:r>
      <w:r w:rsidR="004C60A9">
        <w:rPr>
          <w:rFonts w:cs="Times New Roman"/>
          <w:szCs w:val="24"/>
        </w:rPr>
        <w:t>RA</w:t>
      </w:r>
      <w:r w:rsidR="00B05E88">
        <w:rPr>
          <w:rFonts w:cs="Times New Roman"/>
          <w:szCs w:val="24"/>
        </w:rPr>
        <w:t xml:space="preserve"> em suas análises</w:t>
      </w:r>
      <w:r w:rsidR="004C60A9">
        <w:rPr>
          <w:rFonts w:cs="Times New Roman"/>
          <w:szCs w:val="24"/>
        </w:rPr>
        <w:t>.</w:t>
      </w:r>
    </w:p>
    <w:p w:rsidR="00D77CF2" w:rsidRPr="002E3035" w:rsidRDefault="002D0CA1" w:rsidP="00F53227">
      <w:pPr>
        <w:spacing w:after="120"/>
        <w:jc w:val="both"/>
        <w:rPr>
          <w:rFonts w:cs="Times New Roman"/>
          <w:lang w:val="en-US"/>
        </w:rPr>
      </w:pPr>
      <w:r w:rsidRPr="00AB45D7">
        <w:rPr>
          <w:rFonts w:cs="Times New Roman"/>
          <w:b/>
        </w:rPr>
        <w:t>Palavras-Chave:</w:t>
      </w:r>
      <w:r w:rsidR="00AB45D7">
        <w:rPr>
          <w:rFonts w:cs="Times New Roman"/>
        </w:rPr>
        <w:t xml:space="preserve"> </w:t>
      </w:r>
      <w:r w:rsidR="00A8368E">
        <w:rPr>
          <w:rFonts w:cs="Times New Roman"/>
        </w:rPr>
        <w:t xml:space="preserve">Demonstração do Resultado Abrangente. </w:t>
      </w:r>
      <w:proofErr w:type="spellStart"/>
      <w:r w:rsidR="00A8368E" w:rsidRPr="003236E4">
        <w:rPr>
          <w:rFonts w:cs="Times New Roman"/>
          <w:lang w:val="en-US"/>
        </w:rPr>
        <w:t>Poder</w:t>
      </w:r>
      <w:proofErr w:type="spellEnd"/>
      <w:r w:rsidR="00A8368E" w:rsidRPr="003236E4">
        <w:rPr>
          <w:rFonts w:cs="Times New Roman"/>
          <w:lang w:val="en-US"/>
        </w:rPr>
        <w:t xml:space="preserve"> </w:t>
      </w:r>
      <w:proofErr w:type="spellStart"/>
      <w:r w:rsidR="00A8368E" w:rsidRPr="003236E4">
        <w:rPr>
          <w:rFonts w:cs="Times New Roman"/>
          <w:lang w:val="en-US"/>
        </w:rPr>
        <w:t>Preditivo</w:t>
      </w:r>
      <w:proofErr w:type="spellEnd"/>
      <w:r w:rsidR="00AB45D7" w:rsidRPr="003236E4">
        <w:rPr>
          <w:rFonts w:cs="Times New Roman"/>
          <w:lang w:val="en-US"/>
        </w:rPr>
        <w:t xml:space="preserve">. </w:t>
      </w:r>
      <w:proofErr w:type="gramStart"/>
      <w:r w:rsidR="00C50245" w:rsidRPr="002E3035">
        <w:rPr>
          <w:rFonts w:cs="Times New Roman"/>
          <w:i/>
          <w:lang w:val="en-US"/>
        </w:rPr>
        <w:t>Value Relevance</w:t>
      </w:r>
      <w:r w:rsidR="00AB45D7" w:rsidRPr="003236E4">
        <w:rPr>
          <w:rFonts w:cs="Times New Roman"/>
          <w:lang w:val="en-US"/>
        </w:rPr>
        <w:t>.</w:t>
      </w:r>
      <w:proofErr w:type="gramEnd"/>
      <w:r w:rsidR="00D77CF2" w:rsidRPr="003236E4">
        <w:rPr>
          <w:rFonts w:cs="Times New Roman"/>
          <w:lang w:val="en-US"/>
        </w:rPr>
        <w:t xml:space="preserve"> </w:t>
      </w:r>
      <w:proofErr w:type="gramStart"/>
      <w:r w:rsidR="00D77CF2" w:rsidRPr="002E3035">
        <w:rPr>
          <w:rFonts w:cs="Times New Roman"/>
          <w:i/>
          <w:lang w:val="en-US"/>
        </w:rPr>
        <w:t>Disclosure.</w:t>
      </w:r>
      <w:proofErr w:type="gramEnd"/>
    </w:p>
    <w:p w:rsidR="00A8368E" w:rsidRPr="002E3035" w:rsidRDefault="00A8368E" w:rsidP="00F53227">
      <w:pPr>
        <w:rPr>
          <w:rFonts w:cs="Times New Roman"/>
          <w:b/>
          <w:lang w:val="en-US"/>
        </w:rPr>
      </w:pPr>
      <w:r w:rsidRPr="002E3035">
        <w:rPr>
          <w:rFonts w:cs="Times New Roman"/>
          <w:b/>
          <w:lang w:val="en-US"/>
        </w:rPr>
        <w:t>Abstract</w:t>
      </w:r>
    </w:p>
    <w:p w:rsidR="003B0BFF" w:rsidRDefault="00F53227" w:rsidP="00F53227">
      <w:pPr>
        <w:spacing w:after="120"/>
        <w:jc w:val="both"/>
        <w:rPr>
          <w:rFonts w:cs="Times New Roman"/>
          <w:lang w:val="en-US"/>
        </w:rPr>
      </w:pPr>
      <w:r w:rsidRPr="00F53227">
        <w:rPr>
          <w:rFonts w:cs="Times New Roman"/>
          <w:lang w:val="en-US"/>
        </w:rPr>
        <w:t>The study aimed to analyze if the information about comprehensive income (CI) and its individual components have predictive power to determine the Operating Cash Flow of the subsequent period (OCF</w:t>
      </w:r>
      <w:r w:rsidRPr="00F53227">
        <w:rPr>
          <w:rFonts w:cs="Times New Roman"/>
          <w:vertAlign w:val="subscript"/>
          <w:lang w:val="en-US"/>
        </w:rPr>
        <w:t>t+1</w:t>
      </w:r>
      <w:r w:rsidRPr="00F53227">
        <w:rPr>
          <w:rFonts w:cs="Times New Roman"/>
          <w:lang w:val="en-US"/>
        </w:rPr>
        <w:t>) at the Brazilian capital market companies. The research methodology has used financial data collected from Economatica® and CVM databases. The sample selection was performed considering the availability of variables: OCF</w:t>
      </w:r>
      <w:r w:rsidRPr="00F53227">
        <w:rPr>
          <w:rFonts w:cs="Times New Roman"/>
          <w:vertAlign w:val="subscript"/>
          <w:lang w:val="en-US"/>
        </w:rPr>
        <w:t>t+1</w:t>
      </w:r>
      <w:r w:rsidRPr="00F53227">
        <w:rPr>
          <w:rFonts w:cs="Times New Roman"/>
          <w:lang w:val="en-US"/>
        </w:rPr>
        <w:t xml:space="preserve"> and share prices. The period analyzed comprehended the years 2012-2014. It were used quantitative valuation techniques, establishing two moments of study: the first moment by testing the hypothesis that CI has greater predictive power than Net Income (NI) for forecasting OCF</w:t>
      </w:r>
      <w:r w:rsidRPr="00F53227">
        <w:rPr>
          <w:rFonts w:cs="Times New Roman"/>
          <w:vertAlign w:val="subscript"/>
          <w:lang w:val="en-US"/>
        </w:rPr>
        <w:t>t+1</w:t>
      </w:r>
      <w:r w:rsidRPr="00F53227">
        <w:rPr>
          <w:rFonts w:cs="Times New Roman"/>
          <w:lang w:val="en-US"/>
        </w:rPr>
        <w:t xml:space="preserve"> (528 firms/years); and the second moment by testing the hypothesis that CI and its components have a value relevance at the Brazilian capital market (605 firms/years). The results suggest that the analysis of the consolidated CI individually would not be incremental for forecasting OCF</w:t>
      </w:r>
      <w:r w:rsidRPr="00F53227">
        <w:rPr>
          <w:rFonts w:cs="Times New Roman"/>
          <w:vertAlign w:val="subscript"/>
          <w:lang w:val="en-US"/>
        </w:rPr>
        <w:t>t+1</w:t>
      </w:r>
      <w:r w:rsidRPr="00F53227">
        <w:rPr>
          <w:rFonts w:cs="Times New Roman"/>
          <w:lang w:val="en-US"/>
        </w:rPr>
        <w:t>. However, an increase was observed in the predictive capacity for OCF</w:t>
      </w:r>
      <w:r w:rsidRPr="00F53227">
        <w:rPr>
          <w:rFonts w:cs="Times New Roman"/>
          <w:vertAlign w:val="subscript"/>
          <w:lang w:val="en-US"/>
        </w:rPr>
        <w:t>t+1</w:t>
      </w:r>
      <w:r w:rsidRPr="00F53227">
        <w:rPr>
          <w:rFonts w:cs="Times New Roman"/>
          <w:lang w:val="en-US"/>
        </w:rPr>
        <w:t xml:space="preserve">, with the inclusion of Other Comprehensive Income (OCI). </w:t>
      </w:r>
      <w:proofErr w:type="gramStart"/>
      <w:r w:rsidRPr="00F53227">
        <w:rPr>
          <w:rFonts w:cs="Times New Roman"/>
          <w:lang w:val="en-US"/>
        </w:rPr>
        <w:t>Could not be verified, with aggregate disruption of the individual items of OCI, incremental capacity to determine the OCF</w:t>
      </w:r>
      <w:r w:rsidRPr="00F53227">
        <w:rPr>
          <w:rFonts w:cs="Times New Roman"/>
          <w:vertAlign w:val="subscript"/>
          <w:lang w:val="en-US"/>
        </w:rPr>
        <w:t>t+1</w:t>
      </w:r>
      <w:r w:rsidRPr="00F53227">
        <w:rPr>
          <w:rFonts w:cs="Times New Roman"/>
          <w:lang w:val="en-US"/>
        </w:rPr>
        <w:t>.</w:t>
      </w:r>
      <w:proofErr w:type="gramEnd"/>
      <w:r w:rsidRPr="00F53227">
        <w:rPr>
          <w:rFonts w:cs="Times New Roman"/>
          <w:lang w:val="en-US"/>
        </w:rPr>
        <w:t xml:space="preserve"> It was observed that the Equity and NI have value relevance, but that is not confirmed to </w:t>
      </w:r>
      <w:proofErr w:type="gramStart"/>
      <w:r w:rsidRPr="00F53227">
        <w:rPr>
          <w:rFonts w:cs="Times New Roman"/>
          <w:lang w:val="en-US"/>
        </w:rPr>
        <w:t>consolidated</w:t>
      </w:r>
      <w:proofErr w:type="gramEnd"/>
      <w:r w:rsidRPr="00F53227">
        <w:rPr>
          <w:rFonts w:cs="Times New Roman"/>
          <w:lang w:val="en-US"/>
        </w:rPr>
        <w:t xml:space="preserve"> CI. Added to that, only the cash flow hedge was significant to explain the market value of the company, indicating there is informational benefit to stakeholders that </w:t>
      </w:r>
      <w:r>
        <w:rPr>
          <w:rFonts w:cs="Times New Roman"/>
          <w:lang w:val="en-US"/>
        </w:rPr>
        <w:t>employ the CI in their analysis.</w:t>
      </w:r>
    </w:p>
    <w:p w:rsidR="00D77CF2" w:rsidRPr="003236E4" w:rsidRDefault="003B0BFF" w:rsidP="00F53227">
      <w:pPr>
        <w:jc w:val="both"/>
      </w:pPr>
      <w:r w:rsidRPr="003B0BFF">
        <w:rPr>
          <w:rFonts w:cs="Times New Roman"/>
          <w:b/>
          <w:lang w:val="en-US"/>
        </w:rPr>
        <w:t>Keywords</w:t>
      </w:r>
      <w:r w:rsidRPr="003B0BFF">
        <w:rPr>
          <w:rFonts w:cs="Times New Roman"/>
          <w:lang w:val="en-US"/>
        </w:rPr>
        <w:t xml:space="preserve">: Comprehensive Income Statement. </w:t>
      </w:r>
      <w:proofErr w:type="gramStart"/>
      <w:r w:rsidRPr="003B0BFF">
        <w:rPr>
          <w:rFonts w:cs="Times New Roman"/>
          <w:lang w:val="en-US"/>
        </w:rPr>
        <w:t>Predictive power.</w:t>
      </w:r>
      <w:proofErr w:type="gramEnd"/>
      <w:r w:rsidRPr="003B0BFF">
        <w:rPr>
          <w:rFonts w:cs="Times New Roman"/>
          <w:lang w:val="en-US"/>
        </w:rPr>
        <w:t xml:space="preserve"> </w:t>
      </w:r>
      <w:proofErr w:type="spellStart"/>
      <w:r w:rsidRPr="003236E4">
        <w:t>Value</w:t>
      </w:r>
      <w:proofErr w:type="spellEnd"/>
      <w:r w:rsidRPr="003236E4">
        <w:t xml:space="preserve"> </w:t>
      </w:r>
      <w:proofErr w:type="spellStart"/>
      <w:r w:rsidRPr="003236E4">
        <w:t>Relevance</w:t>
      </w:r>
      <w:proofErr w:type="spellEnd"/>
      <w:r w:rsidRPr="003236E4">
        <w:t>. Disclosure.</w:t>
      </w:r>
    </w:p>
    <w:p w:rsidR="00F53227" w:rsidRPr="003236E4" w:rsidRDefault="00F53227" w:rsidP="00F53227">
      <w:pPr>
        <w:jc w:val="both"/>
      </w:pPr>
    </w:p>
    <w:p w:rsidR="00167F61" w:rsidRPr="003236E4" w:rsidRDefault="006F308E" w:rsidP="007E4A8C">
      <w:pPr>
        <w:spacing w:line="360" w:lineRule="auto"/>
        <w:rPr>
          <w:b/>
        </w:rPr>
      </w:pPr>
      <w:r w:rsidRPr="003236E4">
        <w:rPr>
          <w:b/>
        </w:rPr>
        <w:t>1. INTRODUÇÃO</w:t>
      </w:r>
    </w:p>
    <w:p w:rsidR="007B6030" w:rsidRDefault="007B6030" w:rsidP="007B6030">
      <w:pPr>
        <w:spacing w:line="360" w:lineRule="auto"/>
        <w:ind w:firstLine="709"/>
        <w:jc w:val="both"/>
        <w:rPr>
          <w:rFonts w:cs="Times New Roman"/>
        </w:rPr>
      </w:pPr>
      <w:r w:rsidRPr="00B7301F">
        <w:rPr>
          <w:rFonts w:cs="Times New Roman"/>
        </w:rPr>
        <w:t xml:space="preserve">Com a intenção de que as demonstrações </w:t>
      </w:r>
      <w:r>
        <w:rPr>
          <w:rFonts w:cs="Times New Roman"/>
        </w:rPr>
        <w:t>contábil-</w:t>
      </w:r>
      <w:r w:rsidRPr="00B7301F">
        <w:rPr>
          <w:rFonts w:cs="Times New Roman"/>
        </w:rPr>
        <w:t>financeiras reflitam fidedign</w:t>
      </w:r>
      <w:r>
        <w:rPr>
          <w:rFonts w:cs="Times New Roman"/>
        </w:rPr>
        <w:t>amente</w:t>
      </w:r>
      <w:r w:rsidRPr="00B7301F">
        <w:rPr>
          <w:rFonts w:cs="Times New Roman"/>
        </w:rPr>
        <w:t xml:space="preserve"> a posição financeira e patrimonial das entidades observa-se, insistentemente, uma busca pela melhoria na elaboração dos demonstrativos contábeis. </w:t>
      </w:r>
      <w:r>
        <w:rPr>
          <w:rFonts w:cs="Times New Roman"/>
        </w:rPr>
        <w:t xml:space="preserve"> Por consequência, ao considerar os objetivos informacionais da contabilidade, tornou-se relevante levantar o valor da empresa inserindo novas ferramentas para avaliação da posição financeira e patrimonial, tendo em vista a relev</w:t>
      </w:r>
      <w:r w:rsidR="00E60259">
        <w:rPr>
          <w:rFonts w:cs="Times New Roman"/>
        </w:rPr>
        <w:t xml:space="preserve">ância na apuração e divulgação </w:t>
      </w:r>
      <w:r>
        <w:rPr>
          <w:rFonts w:cs="Times New Roman"/>
        </w:rPr>
        <w:t>mais transparente do</w:t>
      </w:r>
      <w:r w:rsidR="00C61AB0">
        <w:rPr>
          <w:rFonts w:cs="Times New Roman"/>
        </w:rPr>
        <w:t>s</w:t>
      </w:r>
      <w:r>
        <w:rPr>
          <w:rFonts w:cs="Times New Roman"/>
        </w:rPr>
        <w:t xml:space="preserve"> </w:t>
      </w:r>
      <w:r w:rsidR="00C61AB0">
        <w:rPr>
          <w:rFonts w:cs="Times New Roman"/>
        </w:rPr>
        <w:t xml:space="preserve">resultados </w:t>
      </w:r>
      <w:r>
        <w:rPr>
          <w:rFonts w:cs="Times New Roman"/>
        </w:rPr>
        <w:t>contáb</w:t>
      </w:r>
      <w:r w:rsidR="00C61AB0">
        <w:rPr>
          <w:rFonts w:cs="Times New Roman"/>
        </w:rPr>
        <w:t xml:space="preserve">eis </w:t>
      </w:r>
      <w:r w:rsidR="001E54BC">
        <w:rPr>
          <w:rFonts w:cs="Times New Roman"/>
        </w:rPr>
        <w:t>–</w:t>
      </w:r>
      <w:r w:rsidR="00C61AB0">
        <w:rPr>
          <w:rFonts w:cs="Times New Roman"/>
        </w:rPr>
        <w:t xml:space="preserve"> </w:t>
      </w:r>
      <w:proofErr w:type="spellStart"/>
      <w:r w:rsidR="00C61AB0" w:rsidRPr="00E60259">
        <w:rPr>
          <w:rFonts w:cs="Times New Roman"/>
          <w:i/>
        </w:rPr>
        <w:t>value</w:t>
      </w:r>
      <w:proofErr w:type="spellEnd"/>
      <w:r w:rsidR="00C61AB0" w:rsidRPr="00E60259">
        <w:rPr>
          <w:rFonts w:cs="Times New Roman"/>
          <w:i/>
        </w:rPr>
        <w:t xml:space="preserve"> </w:t>
      </w:r>
      <w:proofErr w:type="spellStart"/>
      <w:r w:rsidR="00C61AB0" w:rsidRPr="00E60259">
        <w:rPr>
          <w:rFonts w:cs="Times New Roman"/>
          <w:i/>
        </w:rPr>
        <w:t>relevance</w:t>
      </w:r>
      <w:proofErr w:type="spellEnd"/>
      <w:r>
        <w:rPr>
          <w:rFonts w:cs="Times New Roman"/>
        </w:rPr>
        <w:t>.</w:t>
      </w:r>
    </w:p>
    <w:p w:rsidR="00080A20" w:rsidRDefault="00080A20" w:rsidP="00080A20">
      <w:pPr>
        <w:spacing w:line="360" w:lineRule="auto"/>
        <w:ind w:firstLine="709"/>
        <w:jc w:val="both"/>
        <w:rPr>
          <w:rFonts w:cs="Times New Roman"/>
        </w:rPr>
      </w:pPr>
      <w:r>
        <w:rPr>
          <w:rFonts w:cs="Times New Roman"/>
        </w:rPr>
        <w:t xml:space="preserve">Desejando apresentar </w:t>
      </w:r>
      <w:r w:rsidR="00D67964">
        <w:rPr>
          <w:rFonts w:cs="Times New Roman"/>
        </w:rPr>
        <w:t xml:space="preserve">com </w:t>
      </w:r>
      <w:r>
        <w:rPr>
          <w:rFonts w:cs="Times New Roman"/>
        </w:rPr>
        <w:t>fidedign</w:t>
      </w:r>
      <w:r w:rsidR="00D67964">
        <w:rPr>
          <w:rFonts w:cs="Times New Roman"/>
        </w:rPr>
        <w:t xml:space="preserve">idade </w:t>
      </w:r>
      <w:r>
        <w:rPr>
          <w:rFonts w:cs="Times New Roman"/>
        </w:rPr>
        <w:t>a posição financeira e patrimonial das entidades, o</w:t>
      </w:r>
      <w:r w:rsidRPr="00B7301F">
        <w:rPr>
          <w:rFonts w:cs="Times New Roman"/>
        </w:rPr>
        <w:t xml:space="preserve"> pronunciamento SFAS n.º 130 (FASB, 1997) tornou obrigatório nos EUA a divulgação de Outros Resultados Abrangentes (</w:t>
      </w:r>
      <w:proofErr w:type="spellStart"/>
      <w:r w:rsidRPr="003236E4">
        <w:rPr>
          <w:i/>
        </w:rPr>
        <w:t>Other</w:t>
      </w:r>
      <w:proofErr w:type="spellEnd"/>
      <w:r w:rsidRPr="003236E4">
        <w:rPr>
          <w:i/>
        </w:rPr>
        <w:t xml:space="preserve"> </w:t>
      </w:r>
      <w:proofErr w:type="spellStart"/>
      <w:r w:rsidRPr="003236E4">
        <w:rPr>
          <w:i/>
        </w:rPr>
        <w:t>Comprehensive</w:t>
      </w:r>
      <w:proofErr w:type="spellEnd"/>
      <w:r w:rsidRPr="003236E4">
        <w:rPr>
          <w:i/>
        </w:rPr>
        <w:t xml:space="preserve"> </w:t>
      </w:r>
      <w:proofErr w:type="spellStart"/>
      <w:r w:rsidRPr="003236E4">
        <w:rPr>
          <w:i/>
        </w:rPr>
        <w:t>Income</w:t>
      </w:r>
      <w:proofErr w:type="spellEnd"/>
      <w:r w:rsidRPr="00B7301F">
        <w:rPr>
          <w:rFonts w:cs="Times New Roman"/>
        </w:rPr>
        <w:t>).</w:t>
      </w:r>
      <w:r>
        <w:rPr>
          <w:rFonts w:cs="Times New Roman"/>
        </w:rPr>
        <w:t xml:space="preserve"> </w:t>
      </w:r>
      <w:r w:rsidR="00424966">
        <w:rPr>
          <w:rFonts w:cs="Times New Roman"/>
        </w:rPr>
        <w:t>Esses</w:t>
      </w:r>
      <w:r>
        <w:rPr>
          <w:rFonts w:cs="Times New Roman"/>
        </w:rPr>
        <w:t xml:space="preserve"> resultados são derivados de mutações que ocorrem no patrimônio líquido da entidade</w:t>
      </w:r>
      <w:r w:rsidR="00424966">
        <w:rPr>
          <w:rFonts w:cs="Times New Roman"/>
        </w:rPr>
        <w:t>,</w:t>
      </w:r>
      <w:r>
        <w:rPr>
          <w:rFonts w:cs="Times New Roman"/>
        </w:rPr>
        <w:t xml:space="preserve"> com base em itens de receitas e despesas que não são reconhecidos na Demonstração de Resultados do Exercício (DRE), e seu </w:t>
      </w:r>
      <w:r w:rsidR="00424966">
        <w:rPr>
          <w:rFonts w:cs="Times New Roman"/>
        </w:rPr>
        <w:t>conteúdo</w:t>
      </w:r>
      <w:r>
        <w:rPr>
          <w:rFonts w:cs="Times New Roman"/>
        </w:rPr>
        <w:t xml:space="preserve"> poderá </w:t>
      </w:r>
      <w:r w:rsidRPr="00CE2D72">
        <w:rPr>
          <w:rFonts w:cs="Times New Roman"/>
        </w:rPr>
        <w:t>fornece</w:t>
      </w:r>
      <w:r>
        <w:rPr>
          <w:rFonts w:cs="Times New Roman"/>
        </w:rPr>
        <w:t xml:space="preserve">r aos </w:t>
      </w:r>
      <w:r w:rsidRPr="004E664E">
        <w:rPr>
          <w:rFonts w:cs="Times New Roman"/>
          <w:i/>
        </w:rPr>
        <w:t>stakeholders</w:t>
      </w:r>
      <w:r>
        <w:rPr>
          <w:rFonts w:cs="Times New Roman"/>
        </w:rPr>
        <w:t xml:space="preserve"> capacidade informativa para </w:t>
      </w:r>
      <w:r w:rsidRPr="00CE2D72">
        <w:rPr>
          <w:rFonts w:cs="Times New Roman"/>
        </w:rPr>
        <w:t>aux</w:t>
      </w:r>
      <w:r>
        <w:rPr>
          <w:rFonts w:cs="Times New Roman"/>
        </w:rPr>
        <w:t>i</w:t>
      </w:r>
      <w:r w:rsidRPr="00CE2D72">
        <w:rPr>
          <w:rFonts w:cs="Times New Roman"/>
        </w:rPr>
        <w:t>li</w:t>
      </w:r>
      <w:r>
        <w:rPr>
          <w:rFonts w:cs="Times New Roman"/>
        </w:rPr>
        <w:t>ar</w:t>
      </w:r>
      <w:r w:rsidRPr="00CE2D72">
        <w:rPr>
          <w:rFonts w:cs="Times New Roman"/>
        </w:rPr>
        <w:t xml:space="preserve"> na previsão de desempenho futuro</w:t>
      </w:r>
      <w:r>
        <w:rPr>
          <w:rFonts w:cs="Times New Roman"/>
        </w:rPr>
        <w:t xml:space="preserve">, tornando-se uma ferramenta minimizadora de escolhas adversas </w:t>
      </w:r>
      <w:proofErr w:type="gramStart"/>
      <w:r>
        <w:rPr>
          <w:rFonts w:cs="Times New Roman"/>
        </w:rPr>
        <w:t>à</w:t>
      </w:r>
      <w:proofErr w:type="gramEnd"/>
      <w:r>
        <w:rPr>
          <w:rFonts w:cs="Times New Roman"/>
        </w:rPr>
        <w:t xml:space="preserve"> real situação econômico-financeira das entidades.</w:t>
      </w:r>
    </w:p>
    <w:p w:rsidR="0085741A" w:rsidRDefault="0085741A" w:rsidP="0085741A">
      <w:pPr>
        <w:spacing w:line="360" w:lineRule="auto"/>
        <w:ind w:firstLine="709"/>
        <w:jc w:val="both"/>
        <w:rPr>
          <w:rFonts w:cs="Times New Roman"/>
        </w:rPr>
      </w:pPr>
      <w:r w:rsidRPr="003236E4">
        <w:rPr>
          <w:rFonts w:cs="Times New Roman"/>
        </w:rPr>
        <w:t xml:space="preserve">No Brasil, em função do processo de convergência às </w:t>
      </w:r>
      <w:proofErr w:type="spellStart"/>
      <w:r w:rsidRPr="003236E4">
        <w:rPr>
          <w:rStyle w:val="st"/>
          <w:i/>
        </w:rPr>
        <w:t>International</w:t>
      </w:r>
      <w:proofErr w:type="spellEnd"/>
      <w:r w:rsidRPr="003236E4">
        <w:rPr>
          <w:rStyle w:val="st"/>
          <w:i/>
        </w:rPr>
        <w:t xml:space="preserve"> Financial </w:t>
      </w:r>
      <w:proofErr w:type="spellStart"/>
      <w:r w:rsidRPr="003236E4">
        <w:rPr>
          <w:rStyle w:val="st"/>
          <w:i/>
        </w:rPr>
        <w:t>Reporting</w:t>
      </w:r>
      <w:proofErr w:type="spellEnd"/>
      <w:r w:rsidRPr="003236E4">
        <w:rPr>
          <w:rStyle w:val="st"/>
          <w:i/>
        </w:rPr>
        <w:t xml:space="preserve"> Standards</w:t>
      </w:r>
      <w:r w:rsidRPr="003236E4">
        <w:rPr>
          <w:rStyle w:val="st"/>
        </w:rPr>
        <w:t xml:space="preserve"> (</w:t>
      </w:r>
      <w:r w:rsidRPr="003236E4">
        <w:rPr>
          <w:rFonts w:cs="Times New Roman"/>
        </w:rPr>
        <w:t xml:space="preserve">IFRS), </w:t>
      </w:r>
      <w:r w:rsidR="007E4D51" w:rsidRPr="003236E4">
        <w:rPr>
          <w:rFonts w:cs="Times New Roman"/>
        </w:rPr>
        <w:t>por meio d</w:t>
      </w:r>
      <w:r w:rsidRPr="003236E4">
        <w:rPr>
          <w:rFonts w:cs="Times New Roman"/>
        </w:rPr>
        <w:t xml:space="preserve">o </w:t>
      </w:r>
      <w:r w:rsidRPr="003236E4">
        <w:rPr>
          <w:rFonts w:eastAsia="Times New Roman" w:cs="Times New Roman"/>
          <w:szCs w:val="24"/>
          <w:lang w:eastAsia="pt-BR"/>
        </w:rPr>
        <w:t>Pronunciamento Técnico CPC</w:t>
      </w:r>
      <w:r w:rsidR="00DB4E0D" w:rsidRPr="003236E4">
        <w:rPr>
          <w:rFonts w:eastAsia="Times New Roman" w:cs="Times New Roman"/>
          <w:szCs w:val="24"/>
          <w:lang w:eastAsia="pt-BR"/>
        </w:rPr>
        <w:t xml:space="preserve"> 26</w:t>
      </w:r>
      <w:r w:rsidRPr="003236E4">
        <w:rPr>
          <w:rFonts w:cs="Times New Roman"/>
        </w:rPr>
        <w:t xml:space="preserve"> </w:t>
      </w:r>
      <w:r w:rsidR="00DB4E0D" w:rsidRPr="003236E4">
        <w:rPr>
          <w:rFonts w:cs="Times New Roman"/>
        </w:rPr>
        <w:t>(CPC, 2009</w:t>
      </w:r>
      <w:r w:rsidR="00CA69DA" w:rsidRPr="003236E4">
        <w:rPr>
          <w:rFonts w:cs="Times New Roman"/>
        </w:rPr>
        <w:t xml:space="preserve">) </w:t>
      </w:r>
      <w:r w:rsidRPr="003236E4">
        <w:rPr>
          <w:rFonts w:cs="Times New Roman"/>
        </w:rPr>
        <w:t xml:space="preserve">a Demonstração do Resultado Abrangente (DRA) foi incluída no rol de demonstrações obrigatórias. </w:t>
      </w:r>
      <w:r w:rsidR="000F1727" w:rsidRPr="003236E4">
        <w:rPr>
          <w:rFonts w:cs="Times New Roman"/>
        </w:rPr>
        <w:t>O</w:t>
      </w:r>
      <w:r w:rsidRPr="003236E4">
        <w:rPr>
          <w:rFonts w:cs="Times New Roman"/>
        </w:rPr>
        <w:t>s outros resultados abrangentes</w:t>
      </w:r>
      <w:r w:rsidR="000F1727" w:rsidRPr="003236E4">
        <w:rPr>
          <w:rFonts w:cs="Times New Roman"/>
        </w:rPr>
        <w:t>, inicialmente,</w:t>
      </w:r>
      <w:r w:rsidRPr="003236E4">
        <w:rPr>
          <w:rFonts w:cs="Times New Roman"/>
        </w:rPr>
        <w:t xml:space="preserve"> poderiam ser divulgados em demonstrativo individual ou inseridos na Demonstração das Mutações do Patrimônio Líquido (DMPL). Desde 2011, </w:t>
      </w:r>
      <w:r w:rsidR="000F1727" w:rsidRPr="003236E4">
        <w:rPr>
          <w:rFonts w:cs="Times New Roman"/>
        </w:rPr>
        <w:t>entretanto</w:t>
      </w:r>
      <w:r w:rsidRPr="003236E4">
        <w:rPr>
          <w:rFonts w:cs="Times New Roman"/>
        </w:rPr>
        <w:t>, somente a DRA como peça contábil individual é permitida no país</w:t>
      </w:r>
      <w:r w:rsidR="0048567C" w:rsidRPr="003236E4">
        <w:rPr>
          <w:rFonts w:cs="Times New Roman"/>
        </w:rPr>
        <w:t xml:space="preserve"> (CPC, 2011)</w:t>
      </w:r>
      <w:r w:rsidRPr="003236E4">
        <w:rPr>
          <w:rFonts w:cs="Times New Roman"/>
        </w:rPr>
        <w:t>.</w:t>
      </w:r>
    </w:p>
    <w:p w:rsidR="007B6030" w:rsidRDefault="0085741A" w:rsidP="0085741A">
      <w:pPr>
        <w:spacing w:line="360" w:lineRule="auto"/>
        <w:ind w:firstLine="709"/>
        <w:jc w:val="both"/>
        <w:rPr>
          <w:rFonts w:cs="Times New Roman"/>
        </w:rPr>
      </w:pPr>
      <w:r>
        <w:rPr>
          <w:rFonts w:cs="Times New Roman"/>
        </w:rPr>
        <w:t>Não obstante, p</w:t>
      </w:r>
      <w:r w:rsidRPr="00B7301F">
        <w:rPr>
          <w:rFonts w:cs="Times New Roman"/>
        </w:rPr>
        <w:t xml:space="preserve">or conta dos vários tipos de </w:t>
      </w:r>
      <w:r>
        <w:rPr>
          <w:rFonts w:cs="Times New Roman"/>
        </w:rPr>
        <w:t xml:space="preserve">escolhas contábeis permitidas pelas IFRS, </w:t>
      </w:r>
      <w:r w:rsidRPr="00B7301F">
        <w:rPr>
          <w:rFonts w:cs="Times New Roman"/>
        </w:rPr>
        <w:t>a DRA pode estar sujeita a premissas e julgamentos discricionários da administração, levantando preocupações sobre a determinação das medidas de valor justo usadas, criando desafios adicionais para</w:t>
      </w:r>
      <w:r>
        <w:rPr>
          <w:rFonts w:cs="Times New Roman"/>
        </w:rPr>
        <w:t xml:space="preserve"> </w:t>
      </w:r>
      <w:r w:rsidRPr="00B7301F">
        <w:rPr>
          <w:rFonts w:cs="Times New Roman"/>
          <w:i/>
        </w:rPr>
        <w:t>stakeholders</w:t>
      </w:r>
      <w:r w:rsidRPr="00B7301F">
        <w:rPr>
          <w:rFonts w:cs="Times New Roman"/>
        </w:rPr>
        <w:t xml:space="preserve"> e auditores quanto à análise do</w:t>
      </w:r>
      <w:r>
        <w:rPr>
          <w:rFonts w:cs="Times New Roman"/>
        </w:rPr>
        <w:t>s</w:t>
      </w:r>
      <w:r w:rsidRPr="00B7301F">
        <w:rPr>
          <w:rFonts w:cs="Times New Roman"/>
        </w:rPr>
        <w:t xml:space="preserve"> relatório</w:t>
      </w:r>
      <w:r>
        <w:rPr>
          <w:rFonts w:cs="Times New Roman"/>
        </w:rPr>
        <w:t>s</w:t>
      </w:r>
      <w:r w:rsidRPr="00B7301F">
        <w:rPr>
          <w:rFonts w:cs="Times New Roman"/>
        </w:rPr>
        <w:t xml:space="preserve"> financeiro</w:t>
      </w:r>
      <w:r>
        <w:rPr>
          <w:rFonts w:cs="Times New Roman"/>
        </w:rPr>
        <w:t>s</w:t>
      </w:r>
      <w:r w:rsidRPr="00B7301F">
        <w:rPr>
          <w:rFonts w:cs="Times New Roman"/>
        </w:rPr>
        <w:t>.</w:t>
      </w:r>
    </w:p>
    <w:p w:rsidR="00994BFD" w:rsidRDefault="00994BFD" w:rsidP="00994BFD">
      <w:pPr>
        <w:spacing w:line="360" w:lineRule="auto"/>
        <w:ind w:firstLine="709"/>
        <w:jc w:val="both"/>
        <w:rPr>
          <w:rFonts w:cs="Times New Roman"/>
        </w:rPr>
      </w:pPr>
      <w:r w:rsidRPr="00B7301F">
        <w:rPr>
          <w:rFonts w:cs="Times New Roman"/>
        </w:rPr>
        <w:t xml:space="preserve">Especificamente, </w:t>
      </w:r>
      <w:r>
        <w:rPr>
          <w:rFonts w:cs="Times New Roman"/>
        </w:rPr>
        <w:t xml:space="preserve">conforme esclarecido por </w:t>
      </w:r>
      <w:r w:rsidRPr="00B7301F">
        <w:rPr>
          <w:rFonts w:cs="Times New Roman"/>
        </w:rPr>
        <w:fldChar w:fldCharType="begin" w:fldLock="1"/>
      </w:r>
      <w:r w:rsidRPr="00B7301F">
        <w:rPr>
          <w:rFonts w:cs="Times New Roman"/>
        </w:rPr>
        <w:instrText>ADDIN CSL_CITATION { "citationItems" : [ { "id" : "ITEM-1", "itemData" : { "DOI" : "10.1016/j.jaccpubpol.2009.06.004", "ISSN" : "0278-4254", "author" : [ { "dropping-particle" : "", "family" : "Kanagaretnam", "given" : "Kiridaran", "non-dropping-particle" : "", "parse-names" : false, "suffix" : "" }, { "dropping-particle" : "", "family" : "Mathieu", "given" : "Robert", "non-dropping-particle" : "", "parse-names" : false, "suffix" : "" }, { "dropping-particle" : "", "family" : "Shehata", "given" : "Mohamed", "non-dropping-particle" : "", "parse-names" : false, "suffix" : "" } ], "container-title" : "Journal of Accounting and Public Policy", "id" : "ITEM-1", "issue" : "4", "issued" : { "date-parts" : [ [ "2009" ] ] }, "page" : "349-365", "publisher" : "Elsevier Inc.", "title" : "J . Account . Public Policy Usefulness of comprehensive income reporting in Canada", "type" : "article-journal", "volume" : "28" }, "uris" : [ "http://www.mendeley.com/documents/?uuid=cd304030-31c3-47ea-a9a3-dac29f0401c6" ] } ], "mendeley" : { "formattedCitation" : "(KANAGARETNAM; MATHIEU; SHEHATA, 2009)", "plainTextFormattedCitation" : "(KANAGARETNAM; MATHIEU; SHEHATA, 2009)", "previouslyFormattedCitation" : "(KANAGARETNAM; MATHIEU; SHEHATA, 2009)" }, "properties" : { "noteIndex" : 0 }, "schema" : "https://github.com/citation-style-language/schema/raw/master/csl-citation.json" }</w:instrText>
      </w:r>
      <w:r w:rsidRPr="00B7301F">
        <w:rPr>
          <w:rFonts w:cs="Times New Roman"/>
        </w:rPr>
        <w:fldChar w:fldCharType="separate"/>
      </w:r>
      <w:r>
        <w:rPr>
          <w:rFonts w:cs="Times New Roman"/>
          <w:noProof/>
        </w:rPr>
        <w:t>Kanagaretnam,</w:t>
      </w:r>
      <w:r w:rsidRPr="00B7301F">
        <w:rPr>
          <w:rFonts w:cs="Times New Roman"/>
          <w:noProof/>
        </w:rPr>
        <w:t xml:space="preserve"> Mathieu</w:t>
      </w:r>
      <w:r>
        <w:rPr>
          <w:rFonts w:cs="Times New Roman"/>
          <w:noProof/>
        </w:rPr>
        <w:t xml:space="preserve"> e</w:t>
      </w:r>
      <w:r w:rsidRPr="00B7301F">
        <w:rPr>
          <w:rFonts w:cs="Times New Roman"/>
          <w:noProof/>
        </w:rPr>
        <w:t xml:space="preserve"> Shehata</w:t>
      </w:r>
      <w:r>
        <w:rPr>
          <w:rFonts w:cs="Times New Roman"/>
          <w:noProof/>
        </w:rPr>
        <w:t xml:space="preserve"> (</w:t>
      </w:r>
      <w:r w:rsidRPr="00B7301F">
        <w:rPr>
          <w:rFonts w:cs="Times New Roman"/>
          <w:noProof/>
        </w:rPr>
        <w:t>2009)</w:t>
      </w:r>
      <w:r w:rsidRPr="00B7301F">
        <w:rPr>
          <w:rFonts w:cs="Times New Roman"/>
        </w:rPr>
        <w:fldChar w:fldCharType="end"/>
      </w:r>
      <w:r>
        <w:rPr>
          <w:rFonts w:cs="Times New Roman"/>
        </w:rPr>
        <w:t xml:space="preserve">, </w:t>
      </w:r>
      <w:r w:rsidRPr="00B7301F">
        <w:rPr>
          <w:rFonts w:cs="Times New Roman"/>
        </w:rPr>
        <w:t xml:space="preserve">os gestores podem exercer poder discricionário sobre a classificação, o tempo e a escolha dos métodos de avaliação ao determinarem as estimativas de valor justo dos componentes dos </w:t>
      </w:r>
      <w:r>
        <w:rPr>
          <w:rFonts w:cs="Times New Roman"/>
        </w:rPr>
        <w:t>outros resultados abrangentes</w:t>
      </w:r>
      <w:r w:rsidR="000F1727">
        <w:rPr>
          <w:rFonts w:cs="Times New Roman"/>
        </w:rPr>
        <w:t xml:space="preserve"> (ORA)</w:t>
      </w:r>
      <w:r w:rsidRPr="00B7301F">
        <w:rPr>
          <w:rFonts w:cs="Times New Roman"/>
        </w:rPr>
        <w:t>.</w:t>
      </w:r>
      <w:r w:rsidRPr="00F4423F">
        <w:rPr>
          <w:rFonts w:cs="Times New Roman"/>
        </w:rPr>
        <w:t xml:space="preserve"> </w:t>
      </w:r>
      <w:r w:rsidRPr="00B7301F">
        <w:rPr>
          <w:rFonts w:cs="Times New Roman"/>
        </w:rPr>
        <w:fldChar w:fldCharType="begin" w:fldLock="1"/>
      </w:r>
      <w:r w:rsidRPr="00B7301F">
        <w:rPr>
          <w:rFonts w:cs="Times New Roman"/>
        </w:rPr>
        <w:instrText>ADDIN CSL_CITATION { "citationItems" : [ { "id" : "ITEM-1", "itemData" : { "DOI" : "10.1016/j.adiac.2013.05.003", "ISSN" : "0882-6110", "author" : [ { "dropping-particle" : "", "family" : "Lee", "given" : "Cheol", "non-dropping-particle" : "", "parse-names" : false, "suffix" : "" }, { "dropping-particle" : "", "family" : "Park", "given" : "Myung S", "non-dropping-particle" : "", "parse-names" : false, "suffix" : "" } ], "container-title" : "Advances in Accounting, incorporating Advances in International Accounting", "id" : "ITEM-1", "issue" : "2", "issued" : { "date-parts" : [ [ "2013" ] ] }, "page" : "218-231", "publisher" : "Elsevier Ltd", "title" : "Subjectivity in fair-value estimates , audit quality , and informativeness of other comprehensive income", "type" : "article-journal", "volume" : "29" }, "uris" : [ "http://www.mendeley.com/documents/?uuid=be218cea-3ca2-4b28-96b3-0a0a2122e5c4" ] } ], "mendeley" : { "formattedCitation" : "(LEE; PARK, 2013)", "plainTextFormattedCitation" : "(LEE; PARK, 2013)", "previouslyFormattedCitation" : "(LEE; PARK, 2013)" }, "properties" : { "noteIndex" : 0 }, "schema" : "https://github.com/citation-style-language/schema/raw/master/csl-citation.json" }</w:instrText>
      </w:r>
      <w:r w:rsidRPr="00B7301F">
        <w:rPr>
          <w:rFonts w:cs="Times New Roman"/>
        </w:rPr>
        <w:fldChar w:fldCharType="separate"/>
      </w:r>
      <w:r w:rsidRPr="00B7301F">
        <w:rPr>
          <w:rFonts w:cs="Times New Roman"/>
          <w:noProof/>
        </w:rPr>
        <w:t>L</w:t>
      </w:r>
      <w:r>
        <w:rPr>
          <w:rFonts w:cs="Times New Roman"/>
          <w:noProof/>
        </w:rPr>
        <w:t>ee e</w:t>
      </w:r>
      <w:r w:rsidRPr="00B7301F">
        <w:rPr>
          <w:rFonts w:cs="Times New Roman"/>
          <w:noProof/>
        </w:rPr>
        <w:t xml:space="preserve"> </w:t>
      </w:r>
      <w:r w:rsidR="00855AF3" w:rsidRPr="00B7301F">
        <w:rPr>
          <w:rFonts w:cs="Times New Roman"/>
          <w:noProof/>
        </w:rPr>
        <w:t>P</w:t>
      </w:r>
      <w:r w:rsidR="00855AF3">
        <w:rPr>
          <w:rFonts w:cs="Times New Roman"/>
          <w:noProof/>
        </w:rPr>
        <w:t xml:space="preserve">ark </w:t>
      </w:r>
      <w:r>
        <w:rPr>
          <w:rFonts w:cs="Times New Roman"/>
          <w:noProof/>
        </w:rPr>
        <w:t>(</w:t>
      </w:r>
      <w:r w:rsidRPr="00B7301F">
        <w:rPr>
          <w:rFonts w:cs="Times New Roman"/>
          <w:noProof/>
        </w:rPr>
        <w:t>2013)</w:t>
      </w:r>
      <w:r w:rsidRPr="00B7301F">
        <w:rPr>
          <w:rFonts w:cs="Times New Roman"/>
        </w:rPr>
        <w:fldChar w:fldCharType="end"/>
      </w:r>
      <w:r>
        <w:rPr>
          <w:rFonts w:cs="Times New Roman"/>
        </w:rPr>
        <w:t xml:space="preserve"> corroboram que, o</w:t>
      </w:r>
      <w:r w:rsidRPr="00B7301F">
        <w:rPr>
          <w:rFonts w:cs="Times New Roman"/>
        </w:rPr>
        <w:t xml:space="preserve"> julgamento e a subjetividade das estimativas do valor justo afeta</w:t>
      </w:r>
      <w:r>
        <w:rPr>
          <w:rFonts w:cs="Times New Roman"/>
        </w:rPr>
        <w:t>riam</w:t>
      </w:r>
      <w:r w:rsidRPr="00B7301F">
        <w:rPr>
          <w:rFonts w:cs="Times New Roman"/>
        </w:rPr>
        <w:t xml:space="preserve"> significativamente a qualidade da </w:t>
      </w:r>
      <w:r w:rsidRPr="00B7301F">
        <w:rPr>
          <w:rFonts w:cs="Times New Roman"/>
        </w:rPr>
        <w:lastRenderedPageBreak/>
        <w:t>informação financeira, pois podem conter um alto grau de incerteza e, em decorrência, os resultados efetivos podem diferir materialmente das estimativas.</w:t>
      </w:r>
    </w:p>
    <w:p w:rsidR="00994BFD" w:rsidRDefault="00994BFD" w:rsidP="00994BFD">
      <w:pPr>
        <w:spacing w:line="360" w:lineRule="auto"/>
        <w:ind w:firstLine="709"/>
        <w:jc w:val="both"/>
        <w:rPr>
          <w:rFonts w:cs="Times New Roman"/>
        </w:rPr>
      </w:pPr>
      <w:r>
        <w:rPr>
          <w:rFonts w:cs="Times New Roman"/>
        </w:rPr>
        <w:t>Logo, c</w:t>
      </w:r>
      <w:r w:rsidRPr="00B7301F">
        <w:rPr>
          <w:rFonts w:cs="Times New Roman"/>
        </w:rPr>
        <w:t xml:space="preserve">onsiderando a natureza dos </w:t>
      </w:r>
      <w:r>
        <w:rPr>
          <w:rFonts w:cs="Times New Roman"/>
        </w:rPr>
        <w:t>outros resultados abrangentes</w:t>
      </w:r>
      <w:r w:rsidRPr="00B7301F">
        <w:rPr>
          <w:rFonts w:cs="Times New Roman"/>
        </w:rPr>
        <w:t xml:space="preserve"> </w:t>
      </w:r>
      <w:r>
        <w:rPr>
          <w:rFonts w:cs="Times New Roman"/>
        </w:rPr>
        <w:t xml:space="preserve">– </w:t>
      </w:r>
      <w:r w:rsidRPr="00B7301F">
        <w:rPr>
          <w:rFonts w:cs="Times New Roman"/>
        </w:rPr>
        <w:t>sujeitos a julgamento gerencial e discrição, as estimativas subjetivas do valor justo desses itens devem ter particular atenção dos auditores.</w:t>
      </w:r>
      <w:r>
        <w:rPr>
          <w:rFonts w:cs="Times New Roman"/>
        </w:rPr>
        <w:t xml:space="preserve"> S</w:t>
      </w:r>
      <w:r w:rsidRPr="00B7301F">
        <w:rPr>
          <w:rFonts w:cs="Times New Roman"/>
        </w:rPr>
        <w:t>eria necessário constatar se tais estimativas são determinadas utilizando métodos de avaliação adequados, bem como qual a razoabilidade dos pressupostos significativos de gestão utilizados para mensurar o valor justo.</w:t>
      </w:r>
    </w:p>
    <w:p w:rsidR="0055020A" w:rsidRDefault="0055020A" w:rsidP="0055020A">
      <w:pPr>
        <w:spacing w:line="360" w:lineRule="auto"/>
        <w:ind w:firstLine="709"/>
        <w:jc w:val="both"/>
        <w:rPr>
          <w:rFonts w:cs="Times New Roman"/>
        </w:rPr>
      </w:pPr>
      <w:r>
        <w:rPr>
          <w:rFonts w:cs="Times New Roman"/>
        </w:rPr>
        <w:t xml:space="preserve">Huang, </w:t>
      </w:r>
      <w:proofErr w:type="spellStart"/>
      <w:r>
        <w:rPr>
          <w:rFonts w:cs="Times New Roman"/>
        </w:rPr>
        <w:t>Lin</w:t>
      </w:r>
      <w:proofErr w:type="spellEnd"/>
      <w:r>
        <w:rPr>
          <w:rFonts w:cs="Times New Roman"/>
        </w:rPr>
        <w:t xml:space="preserve"> e </w:t>
      </w:r>
      <w:proofErr w:type="spellStart"/>
      <w:r>
        <w:t>Raghunandan</w:t>
      </w:r>
      <w:proofErr w:type="spellEnd"/>
      <w:r>
        <w:t xml:space="preserve"> (2016) complementam que, a</w:t>
      </w:r>
      <w:r w:rsidRPr="00565555">
        <w:rPr>
          <w:rFonts w:cs="Times New Roman"/>
        </w:rPr>
        <w:t xml:space="preserve"> volatilidade em </w:t>
      </w:r>
      <w:r w:rsidR="000F1727">
        <w:rPr>
          <w:rFonts w:cs="Times New Roman"/>
        </w:rPr>
        <w:t>ORA</w:t>
      </w:r>
      <w:r w:rsidRPr="00565555">
        <w:rPr>
          <w:rFonts w:cs="Times New Roman"/>
        </w:rPr>
        <w:t xml:space="preserve"> reflet</w:t>
      </w:r>
      <w:r>
        <w:rPr>
          <w:rFonts w:cs="Times New Roman"/>
        </w:rPr>
        <w:t>irá</w:t>
      </w:r>
      <w:r w:rsidRPr="00565555">
        <w:rPr>
          <w:rFonts w:cs="Times New Roman"/>
        </w:rPr>
        <w:t xml:space="preserve"> como os movimentos de preços relacionados com o mercado, tais como taxa de câmbio e variações de preços de ações, afeta</w:t>
      </w:r>
      <w:r>
        <w:rPr>
          <w:rFonts w:cs="Times New Roman"/>
        </w:rPr>
        <w:t>rão</w:t>
      </w:r>
      <w:r w:rsidRPr="00565555">
        <w:rPr>
          <w:rFonts w:cs="Times New Roman"/>
        </w:rPr>
        <w:t xml:space="preserve"> os lucros futuros de uma empresa. Por isso, as empresas com maior volatilidade </w:t>
      </w:r>
      <w:r>
        <w:rPr>
          <w:rFonts w:cs="Times New Roman"/>
        </w:rPr>
        <w:t>em</w:t>
      </w:r>
      <w:r w:rsidRPr="00565555">
        <w:rPr>
          <w:rFonts w:cs="Times New Roman"/>
        </w:rPr>
        <w:t xml:space="preserve"> </w:t>
      </w:r>
      <w:r>
        <w:rPr>
          <w:rFonts w:cs="Times New Roman"/>
        </w:rPr>
        <w:t>outros resultados abrangentes</w:t>
      </w:r>
      <w:r w:rsidRPr="00565555">
        <w:rPr>
          <w:rFonts w:cs="Times New Roman"/>
        </w:rPr>
        <w:t xml:space="preserve"> são susceptíveis </w:t>
      </w:r>
      <w:r>
        <w:rPr>
          <w:rFonts w:cs="Times New Roman"/>
        </w:rPr>
        <w:t>a</w:t>
      </w:r>
      <w:r w:rsidRPr="00565555">
        <w:rPr>
          <w:rFonts w:cs="Times New Roman"/>
        </w:rPr>
        <w:t xml:space="preserve"> ter</w:t>
      </w:r>
      <w:r>
        <w:rPr>
          <w:rFonts w:cs="Times New Roman"/>
        </w:rPr>
        <w:t>em</w:t>
      </w:r>
      <w:r w:rsidRPr="00565555">
        <w:rPr>
          <w:rFonts w:cs="Times New Roman"/>
        </w:rPr>
        <w:t xml:space="preserve"> maior risco inerente.</w:t>
      </w:r>
      <w:r>
        <w:rPr>
          <w:rFonts w:cs="Times New Roman"/>
        </w:rPr>
        <w:t xml:space="preserve"> Portanto, a</w:t>
      </w:r>
      <w:r w:rsidRPr="00B7301F">
        <w:rPr>
          <w:rFonts w:cs="Times New Roman"/>
        </w:rPr>
        <w:t xml:space="preserve">s informações contidas na DRA são desejáveis para que se possam identificar os componentes do resultado abrangente </w:t>
      </w:r>
      <w:r w:rsidR="000F1727">
        <w:rPr>
          <w:rFonts w:cs="Times New Roman"/>
        </w:rPr>
        <w:t xml:space="preserve">consolidado (RAC) </w:t>
      </w:r>
      <w:r w:rsidRPr="00B7301F">
        <w:rPr>
          <w:rFonts w:cs="Times New Roman"/>
        </w:rPr>
        <w:t>e permitir aos investidores uma melhor estimativa sobre o valor da empresa</w:t>
      </w:r>
      <w:r>
        <w:rPr>
          <w:rFonts w:cs="Times New Roman"/>
        </w:rPr>
        <w:t>.</w:t>
      </w:r>
    </w:p>
    <w:p w:rsidR="0055020A" w:rsidRDefault="0055020A" w:rsidP="0055020A">
      <w:pPr>
        <w:spacing w:line="360" w:lineRule="auto"/>
        <w:ind w:firstLine="709"/>
        <w:jc w:val="both"/>
        <w:rPr>
          <w:rFonts w:cs="Times New Roman"/>
        </w:rPr>
      </w:pPr>
      <w:r w:rsidRPr="00B7301F">
        <w:rPr>
          <w:rFonts w:cs="Times New Roman"/>
        </w:rPr>
        <w:t xml:space="preserve">Pesquisas similares já foram desenvolvidas </w:t>
      </w:r>
      <w:r>
        <w:rPr>
          <w:rFonts w:cs="Times New Roman"/>
        </w:rPr>
        <w:t>em</w:t>
      </w:r>
      <w:r w:rsidRPr="00B7301F">
        <w:rPr>
          <w:rFonts w:cs="Times New Roman"/>
        </w:rPr>
        <w:t xml:space="preserve"> contexto norte-americano </w:t>
      </w:r>
      <w:r w:rsidRPr="00B7301F">
        <w:rPr>
          <w:rFonts w:cs="Times New Roman"/>
        </w:rPr>
        <w:fldChar w:fldCharType="begin" w:fldLock="1"/>
      </w:r>
      <w:r w:rsidRPr="00B7301F">
        <w:rPr>
          <w:rFonts w:cs="Times New Roman"/>
        </w:rPr>
        <w:instrText>ADDIN CSL_CITATION { "citationItems" : [ { "id" : "ITEM-1", "itemData" : { "author" : [ { "dropping-particle" : "", "family" : "Hirst", "given" : "D Eric", "non-dropping-particle" : "", "parse-names" : false, "suffix" : "" }, { "dropping-particle" : "", "family" : "Hopkins", "given" : "Patrick E", "non-dropping-particle" : "", "parse-names" : false, "suffix" : "" }, { "dropping-particle" : "", "family" : "Bloomfield", "given" : "Rob", "non-dropping-particle" : "", "parse-names" : false, "suffix" : "" }, { "dropping-particle" : "", "family" : "Hackenbrack", "given" : "Karl", "non-dropping-particle" : "", "parse-names" : false, "suffix" : "" }, { "dropping-particle" : "", "family" : "Koch", "given" : "Adam", "non-dropping-particle" : "", "parse-names" : false, "suffix" : "" }, { "dropping-particle" : "", "family" : "Koonce", "given" : "Lisa", "non-dropping-particle" : "", "parse-names" : false, "suffix" : "" }, { "dropping-particle" : "", "family" : "Lee", "given" : "Charles", "non-dropping-particle" : "", "parse-names" : false, "suffix" : "" }, { "dropping-particle" : "", "family" : "Maines", "given" : "Laureen", "non-dropping-particle" : "", "parse-names" : false, "suffix" : "" }, { "dropping-particle" : "", "family" : "Messier", "given" : "Bill", "non-dropping-particle" : "", "parse-names" : false, "suffix" : "" }, { "dropping-particle" : "", "family" : "Pratt", "given" : "Jamie", "non-dropping-particle" : "", "parse-names" : false, "suffix" : "" }, { "dropping-particle" : "", "family" : "Salamon", "given" : "Jerry", "non-dropping-particle" : "", "parse-names" : false, "suffix" : "" }, { "dropping-particle" : "", "family" : "Wahlen", "given" : "Jim", "non-dropping-particle" : "", "parse-names" : false, "suffix" : "" } ], "id" : "ITEM-1", "issued" : { "date-parts" : [ [ "1998" ] ] }, "title" : "Comprehensive Income Disclosures and Analysts \u2019 Valuation Judgments", "type" : "article-journal" }, "uris" : [ "http://www.mendeley.com/documents/?uuid=fa769523-a07b-4235-b164-98e0672cefa1" ] }, { "id" : "ITEM-2", "itemData" : { "DOI" : "10.1016/S1815-5669(10)70015-1", "ISSN" : "1815-5669", "author" : [ { "dropping-particle" : "", "family" : "Biddle", "given" : "Gary C", "non-dropping-particle" : "", "parse-names" : false, "suffix" : "" }, { "dropping-particle" : "", "family" : "Choi", "given" : "Jong-hag", "non-dropping-particle" : "", "parse-names" : false, "suffix" : "" } ], "id" : "ITEM-2", "issue" : "1", "issued" : { "date-parts" : [ [ "2006" ] ] }, "page" : "1-32", "publisher" : "Elsevier Ltd", "title" : "Is Comprehensive Income Useful ?", "type" : "article-journal", "volume" : "2" }, "uris" : [ "http://www.mendeley.com/documents/?uuid=99da0a3c-bd63-4ecd-aa55-39977d8d4eaa" ] }, { "id" : "ITEM-3", "itemData" : { "author" : [ { "dropping-particle" : "", "family" : "Z\u00fclch", "given" : "Henning", "non-dropping-particle" : "", "parse-names" : false, "suffix" : "" }, { "dropping-particle" : "", "family" : "Pronobis", "given" : "Paul", "non-dropping-particle" : "", "parse-names" : false, "suffix" : "" } ], "id" : "ITEM-3", "issue" : "95", "issued" : { "date-parts" : [ [ "2010" ] ] }, "number" : "095", "number-of-pages" : "45", "publisher-place" : "Leipzig", "title" : "The Predictive Power of Comprehensive Income and Its Individual Components under IFRS", "type" : "report" }, "uris" : [ "http://www.mendeley.com/documents/?uuid=defd9389-1c23-4548-a6a5-42ea6e2499b8" ] } ], "mendeley" : { "formattedCitation" : "(BIDDLE; CHOI, 2006; HIRST et al., 1998; Z\u00dcLCH; PRONOBIS, 2010)", "plainTextFormattedCitation" : "(BIDDLE; CHOI, 2006; HIRST et al., 1998; Z\u00dcLCH; PRONOBIS, 2010)", "previouslyFormattedCitation" : "(BIDDLE; CHOI, 2006; HIRST et al., 1998; Z\u00dcLCH; PRONOBIS, 2010)" }, "properties" : { "noteIndex" : 0 }, "schema" : "https://github.com/citation-style-language/schema/raw/master/csl-citation.json" }</w:instrText>
      </w:r>
      <w:r w:rsidRPr="00B7301F">
        <w:rPr>
          <w:rFonts w:cs="Times New Roman"/>
        </w:rPr>
        <w:fldChar w:fldCharType="separate"/>
      </w:r>
      <w:r w:rsidRPr="00B7301F">
        <w:rPr>
          <w:rFonts w:cs="Times New Roman"/>
          <w:noProof/>
        </w:rPr>
        <w:t>(HIRST et al., 1998; BIDDLE; CHOI, 2006; ZÜLCH; PRONOBIS, 2010)</w:t>
      </w:r>
      <w:r w:rsidRPr="00B7301F">
        <w:rPr>
          <w:rFonts w:cs="Times New Roman"/>
        </w:rPr>
        <w:fldChar w:fldCharType="end"/>
      </w:r>
      <w:r w:rsidRPr="00B7301F">
        <w:rPr>
          <w:rFonts w:cs="Times New Roman"/>
        </w:rPr>
        <w:t xml:space="preserve"> explorando individualmente os objetivos propostos. No Brasil</w:t>
      </w:r>
      <w:r w:rsidR="000631C0">
        <w:rPr>
          <w:rFonts w:cs="Times New Roman"/>
        </w:rPr>
        <w:t>,</w:t>
      </w:r>
      <w:r w:rsidRPr="00B7301F">
        <w:rPr>
          <w:rFonts w:cs="Times New Roman"/>
        </w:rPr>
        <w:t xml:space="preserve"> </w:t>
      </w:r>
      <w:r w:rsidR="000631C0">
        <w:rPr>
          <w:rFonts w:cs="Times New Roman"/>
        </w:rPr>
        <w:t xml:space="preserve">foram efetuados alguns </w:t>
      </w:r>
      <w:r w:rsidRPr="00B7301F">
        <w:rPr>
          <w:rFonts w:cs="Times New Roman"/>
        </w:rPr>
        <w:t xml:space="preserve">estudos sobre </w:t>
      </w:r>
      <w:r w:rsidR="007E4D51">
        <w:rPr>
          <w:rFonts w:cs="Times New Roman"/>
        </w:rPr>
        <w:t>a Demonstração do R</w:t>
      </w:r>
      <w:r w:rsidRPr="00B7301F">
        <w:rPr>
          <w:rFonts w:cs="Times New Roman"/>
        </w:rPr>
        <w:t xml:space="preserve">esultado </w:t>
      </w:r>
      <w:proofErr w:type="gramStart"/>
      <w:r w:rsidR="007E4D51">
        <w:rPr>
          <w:rFonts w:cs="Times New Roman"/>
        </w:rPr>
        <w:t>A</w:t>
      </w:r>
      <w:r w:rsidRPr="00B7301F">
        <w:rPr>
          <w:rFonts w:cs="Times New Roman"/>
        </w:rPr>
        <w:t>brangente</w:t>
      </w:r>
      <w:proofErr w:type="gramEnd"/>
      <w:r w:rsidRPr="00B7301F">
        <w:rPr>
          <w:rFonts w:cs="Times New Roman"/>
        </w:rPr>
        <w:t xml:space="preserve"> </w:t>
      </w:r>
      <w:r w:rsidRPr="00B7301F">
        <w:rPr>
          <w:rFonts w:cs="Times New Roman"/>
        </w:rPr>
        <w:fldChar w:fldCharType="begin" w:fldLock="1"/>
      </w:r>
      <w:r w:rsidRPr="00B7301F">
        <w:rPr>
          <w:rFonts w:cs="Times New Roman"/>
        </w:rPr>
        <w:instrText>ADDIN CSL_CITATION { "citationItems" : [ { "id" : "ITEM-1", "itemData" : { "author" : [ { "dropping-particle" : "", "family" : "Durso", "given" : "Samuel de Oliveira", "non-dropping-particle" : "", "parse-names" : false, "suffix" : "" }, { "dropping-particle" : "", "family" : "M\u00e1rio", "given" : "Poueri do Carmo", "non-dropping-particle" : "", "parse-names" : false, "suffix" : "" } ], "id" : "ITEM-1", "issued" : { "date-parts" : [ [ "2014" ] ] }, "page" : "1-16", "publisher" : "AdCont 2014", "publisher-place" : "Rio de Janeiro", "title" : "Obrigatoriedade da Demonstra\u00e7\u00e3o do Resultado Abrangente: Melhoria ou Excesso de Informa\u00e7\u00e3o?", "type" : "paper-conference" }, "uris" : [ "http://www.mendeley.com/documents/?uuid=632cb2ee-88c3-4d7c-8439-103bc4b7285b" ] }, { "id" : "ITEM-2", "itemData" : { "DOI" : "10.4270/ruc.2012428", "ISSN" : "18093337", "author" : [ { "dropping-particle" : "", "family" : "Pinheiro", "given" : "Laura Edith Taboada", "non-dropping-particle" : "", "parse-names" : false, "suffix" : "" }, { "dropping-particle" : "De", "family" : "Macedo", "given" : "Rodney Pereira", "non-dropping-particle" : "", "parse-names" : false, "suffix" : "" }, { "dropping-particle" : "", "family" : "Vilamaior", "given" : "Adriana Giarola", "non-dropping-particle" : "", "parse-names" : false, "suffix" : "" } ], "container-title" : "Revista Universo Cont\u00e1bil", "id" : "ITEM-2", "issued" : { "date-parts" : [ [ "2012" ] ] }, "page" : "06-18", "title" : "LUCRO L\u00cdQUIDO VERSUS LUCRO ABRANGENTE: UMA AN\u00c1LISE EMP\u00cdRICA DA VOLATILIDADE", "type" : "article-journal" }, "uris" : [ "http://www.mendeley.com/documents/?uuid=fdcddffe-af99-4692-90d4-8f28d092ff52" ] }, { "id" : "ITEM-3", "itemData" : { "author" : [ { "dropping-particle" : "", "family" : "Checon", "given" : "Bianca Quirantes", "non-dropping-particle" : "", "parse-names" : false, "suffix" : "" } ], "id" : "ITEM-3", "issued" : { "date-parts" : [ [ "2013" ] ] }, "number-of-pages" : "130", "publisher" : "Universidade de S\u00e3o Paulo", "title" : "Resultado Abrangente: formato de apresenta\u00e7\u00e3o, matura\u00e7\u00e3o e os impactos nas decis\u00f5es de investimento", "type" : "thesis" }, "uris" : [ "http://www.mendeley.com/documents/?uuid=af020dd6-8645-4137-8b6a-5a03d80fa8a0" ] }, { "id" : "ITEM-4", "itemData" : { "abstract" : "This study examined the information content of the Comprehensive Income Statement published by 62 companies of \u201cNew Market\u201d of BM &amp; FBovespa. The statistical analysis consisted of the application of the mean difference paired test (T test and Wilcoxon test). In addition, a qualitative analysis was performed. The results indicated that: (a) approximately 50% of companies reported gains and losses in Comprehensive Income Statement; (b) the effects of gains and losses were positive in 2012 and 2011 and negative in 2010; (c) the CPC 2 (Effects of changes in exchange rates and translation of financial statements) and CPC 38 (Financial Instruments) were the most frequent; and d) there are differences between metrics Net Income and Comprehensive Income for the companies analyzed in years 2011 and 2010. The results indicate that the items of the DRA have the potential to generate volatility in the income statement if they were recognized in the Income Statement", "author" : [ { "dropping-particle" : "", "family" : "Coutinho", "given" : "Adolfo Henrique", "non-dropping-particle" : "", "parse-names" : false, "suffix" : "" }, { "dropping-particle" : "da", "family" : "Silva", "given" : "\u00c9rica Gomes Rocha", "non-dropping-particle" : "", "parse-names" : false, "suffix" : "" } ], "container-title" : "Contextus", "id" : "ITEM-4", "issue" : "1", "issued" : { "date-parts" : [ [ "2015" ] ] }, "page" : "27", "title" : "AN\u00c1LISE DAS DEMONSTRA\u00c7\u00d5ES DE RESULTADO ABRANGENTE AP\u00d3S A IMPLEMENTA\u00c7\u00c3O DO IFRS NO BRASIL", "type" : "article-journal", "volume" : "13" }, "uris" : [ "http://www.mendeley.com/documents/?uuid=e6296d60-5d26-47d4-abe1-d86cce3f8b26" ] } ], "mendeley" : { "formattedCitation" : "(CHECON, 2013; COUTINHO; SILVA, 2015; DURSO; M\u00c1RIO, 2014; PINHEIRO; MACEDO; VILAMAIOR, 2012)", "plainTextFormattedCitation" : "(CHECON, 2013; COUTINHO; SILVA, 2015; DURSO; M\u00c1RIO, 2014; PINHEIRO; MACEDO; VILAMAIOR, 2012)", "previouslyFormattedCitation" : "(CHECON, 2013; COUTINHO; SILVA, 2015; DURSO; M\u00c1RIO, 2014; PINHEIRO; MACEDO; VILAMAIOR, 2012)" }, "properties" : { "noteIndex" : 0 }, "schema" : "https://github.com/citation-style-language/schema/raw/master/csl-citation.json" }</w:instrText>
      </w:r>
      <w:r w:rsidRPr="00B7301F">
        <w:rPr>
          <w:rFonts w:cs="Times New Roman"/>
        </w:rPr>
        <w:fldChar w:fldCharType="separate"/>
      </w:r>
      <w:r w:rsidRPr="00B7301F">
        <w:rPr>
          <w:rFonts w:cs="Times New Roman"/>
          <w:noProof/>
        </w:rPr>
        <w:t>(PINHEIRO; MACEDO;</w:t>
      </w:r>
      <w:r>
        <w:rPr>
          <w:rFonts w:cs="Times New Roman"/>
          <w:noProof/>
        </w:rPr>
        <w:t xml:space="preserve"> </w:t>
      </w:r>
      <w:r w:rsidRPr="00B7301F">
        <w:rPr>
          <w:rFonts w:cs="Times New Roman"/>
          <w:noProof/>
        </w:rPr>
        <w:t>VILAMAIOR, 2012</w:t>
      </w:r>
      <w:r>
        <w:rPr>
          <w:rFonts w:cs="Times New Roman"/>
          <w:noProof/>
        </w:rPr>
        <w:t xml:space="preserve">; </w:t>
      </w:r>
      <w:r w:rsidRPr="00B7301F">
        <w:rPr>
          <w:rFonts w:cs="Times New Roman"/>
          <w:noProof/>
        </w:rPr>
        <w:t>CHECON, 2013;</w:t>
      </w:r>
      <w:r w:rsidRPr="00EC44FF">
        <w:rPr>
          <w:rFonts w:cs="Times New Roman"/>
          <w:noProof/>
        </w:rPr>
        <w:t xml:space="preserve"> </w:t>
      </w:r>
      <w:r w:rsidRPr="00B7301F">
        <w:rPr>
          <w:rFonts w:cs="Times New Roman"/>
          <w:noProof/>
        </w:rPr>
        <w:t>DURSO; MÁRIO, 2014; COUTINHO; SILVA, 2015)</w:t>
      </w:r>
      <w:r w:rsidRPr="00B7301F">
        <w:rPr>
          <w:rFonts w:cs="Times New Roman"/>
        </w:rPr>
        <w:fldChar w:fldCharType="end"/>
      </w:r>
      <w:r w:rsidRPr="00B7301F">
        <w:rPr>
          <w:rFonts w:cs="Times New Roman"/>
        </w:rPr>
        <w:t>, seja pela recente obrigatoriedade da demonstração, ou pela ausência de informações detalhadas para desenvolvimento das pesquisas, ressaltando a necessidade de maior discussão a respeito da DRA</w:t>
      </w:r>
      <w:r>
        <w:rPr>
          <w:rFonts w:cs="Times New Roman"/>
        </w:rPr>
        <w:t>, que por si só já justifica o presente estudo.</w:t>
      </w:r>
    </w:p>
    <w:p w:rsidR="0055020A" w:rsidRPr="003E67D6" w:rsidRDefault="0055020A" w:rsidP="0055020A">
      <w:pPr>
        <w:spacing w:line="360" w:lineRule="auto"/>
        <w:ind w:firstLine="709"/>
        <w:jc w:val="both"/>
        <w:rPr>
          <w:rFonts w:cs="Times New Roman"/>
        </w:rPr>
      </w:pPr>
      <w:r>
        <w:rPr>
          <w:rFonts w:cs="Times New Roman"/>
        </w:rPr>
        <w:t>No entanto, a</w:t>
      </w:r>
      <w:r w:rsidRPr="00B7301F">
        <w:rPr>
          <w:rFonts w:cs="Times New Roman"/>
        </w:rPr>
        <w:t>pesar da obrigatoriedade da apuração e divulgação de outros resultados abrangentes, diversos são os debates inerentes à informatividade desses itens. Estudos anteriores</w:t>
      </w:r>
      <w:r>
        <w:rPr>
          <w:rFonts w:cs="Times New Roman"/>
        </w:rPr>
        <w:t xml:space="preserve"> </w:t>
      </w:r>
      <w:r w:rsidRPr="00B7301F">
        <w:rPr>
          <w:rFonts w:cs="Times New Roman"/>
        </w:rPr>
        <w:fldChar w:fldCharType="begin" w:fldLock="1"/>
      </w:r>
      <w:r w:rsidRPr="00B7301F">
        <w:rPr>
          <w:rFonts w:cs="Times New Roman"/>
        </w:rPr>
        <w:instrText>ADDIN CSL_CITATION { "citationItems" : [ { "id" : "ITEM-1", "itemData" : { "author" : [ { "dropping-particle" : "", "family" : "Cahan", "given" : "Steven F", "non-dropping-particle" : "", "parse-names" : false, "suffix" : "" }, { "dropping-particle" : "", "family" : "Courtenay", "given" : "Stephen M", "non-dropping-particle" : "", "parse-names" : false, "suffix" : "" } ], "id" : "ITEM-1", "issue" : "9", "issued" : { "date-parts" : [ [ "2000" ] ] }, "page" : "1273-1302", "title" : "Value Relevance of Mandated Comprehensive Income Disclosures", "type" : "article-journal", "volume" : "27" }, "uris" : [ "http://www.mendeley.com/documents/?uuid=6ae1664a-2d45-4901-8f99-7e40e2fe367a" ] }, { "id" : "ITEM-2", "itemData" : { "author" : [ { "dropping-particle" : "", "family" : "Hirst", "given" : "D Eric", "non-dropping-particle" : "", "parse-names" : false, "suffix" : "" }, { "dropping-particle" : "", "family" : "Hopkins", "given" : "Patrick E", "non-dropping-particle" : "", "parse-names" : false, "suffix" : "" }, { "dropping-particle" : "", "family" : "Wahlen", "given" : "James M", "non-dropping-particle" : "", "parse-names" : false, "suffix" : "" } ], "id" : "ITEM-2", "issued" : { "date-parts" : [ [ "2001" ] ] }, "title" : "Fair Values , Comprehensive Income Reporting , and Bank Analysts \u2019 Risk and Valuation Judgments Fair Values , Comprehensive Income Reporting , and Bank Analysts \u2019 Risk and Valuation Judgments", "type" : "article-journal" }, "uris" : [ "http://www.mendeley.com/documents/?uuid=28a7d4d4-85b6-4cdc-b5ce-6c995cfe2539" ] }, { "id" : "ITEM-3", "itemData" : { "DOI" : "10.1016/S1815-5669(10)70015-1", "ISSN" : "1815-5669", "author" : [ { "dropping-particle" : "", "family" : "Biddle", "given" : "Gary C", "non-dropping-particle" : "", "parse-names" : false, "suffix" : "" }, { "dropping-particle" : "", "family" : "Choi", "given" : "Jong-hag", "non-dropping-particle" : "", "parse-names" : false, "suffix" : "" } ], "id" : "ITEM-3", "issue" : "1", "issued" : { "date-parts" : [ [ "2006" ] ] }, "page" : "1-32", "publisher" : "Elsevier Ltd", "title" : "Is Comprehensive Income Useful ?", "type" : "article-journal", "volume" : "2" }, "uris" : [ "http://www.mendeley.com/documents/?uuid=99da0a3c-bd63-4ecd-aa55-39977d8d4eaa" ] } ], "mendeley" : { "formattedCitation" : "(BIDDLE; CHOI, 2006; CAHAN; COURTENAY, 2000; HIRST; HOPKINS; WAHLEN, 2001)", "plainTextFormattedCitation" : "(BIDDLE; CHOI, 2006; CAHAN; COURTENAY, 2000; HIRST; HOPKINS; WAHLEN, 2001)", "previouslyFormattedCitation" : "(BIDDLE; CHOI, 2006; CAHAN; COURTENAY, 2000; HIRST; HOPKINS; WAHLEN, 2001)" }, "properties" : { "noteIndex" : 0 }, "schema" : "https://github.com/citation-style-language/schema/raw/master/csl-citation.json" }</w:instrText>
      </w:r>
      <w:r w:rsidRPr="00B7301F">
        <w:rPr>
          <w:rFonts w:cs="Times New Roman"/>
        </w:rPr>
        <w:fldChar w:fldCharType="separate"/>
      </w:r>
      <w:r w:rsidRPr="00B7301F">
        <w:rPr>
          <w:rFonts w:cs="Times New Roman"/>
          <w:noProof/>
        </w:rPr>
        <w:t>(CAHAN; COURTENAY, 2000; HIRST; HOPKINS; WAHLEN, 2001</w:t>
      </w:r>
      <w:r>
        <w:rPr>
          <w:rFonts w:cs="Times New Roman"/>
          <w:noProof/>
        </w:rPr>
        <w:t xml:space="preserve">; </w:t>
      </w:r>
      <w:r w:rsidRPr="00B7301F">
        <w:rPr>
          <w:rFonts w:cs="Times New Roman"/>
          <w:noProof/>
        </w:rPr>
        <w:t>BIDDLE; CHOI, 2006)</w:t>
      </w:r>
      <w:r w:rsidRPr="00B7301F">
        <w:rPr>
          <w:rFonts w:cs="Times New Roman"/>
        </w:rPr>
        <w:fldChar w:fldCharType="end"/>
      </w:r>
      <w:r w:rsidRPr="00B7301F">
        <w:rPr>
          <w:rFonts w:cs="Times New Roman"/>
        </w:rPr>
        <w:t xml:space="preserve"> documenta</w:t>
      </w:r>
      <w:r>
        <w:rPr>
          <w:rFonts w:cs="Times New Roman"/>
        </w:rPr>
        <w:t>ra</w:t>
      </w:r>
      <w:r w:rsidRPr="00B7301F">
        <w:rPr>
          <w:rFonts w:cs="Times New Roman"/>
        </w:rPr>
        <w:t xml:space="preserve">m evidências conflitantes sobre a relevância dos </w:t>
      </w:r>
      <w:r>
        <w:rPr>
          <w:rFonts w:cs="Times New Roman"/>
        </w:rPr>
        <w:t>outros resultados abrangentes</w:t>
      </w:r>
      <w:r w:rsidRPr="00B7301F">
        <w:rPr>
          <w:rFonts w:cs="Times New Roman"/>
        </w:rPr>
        <w:t xml:space="preserve"> de forma incremental ao lucro líquido ou fluxo de caixa para os </w:t>
      </w:r>
      <w:r w:rsidRPr="00B7301F">
        <w:rPr>
          <w:rFonts w:cs="Times New Roman"/>
          <w:i/>
        </w:rPr>
        <w:t>stakeholders</w:t>
      </w:r>
      <w:r w:rsidRPr="004E664E">
        <w:rPr>
          <w:rFonts w:cs="Times New Roman"/>
        </w:rPr>
        <w:t>.</w:t>
      </w:r>
    </w:p>
    <w:p w:rsidR="001849DA" w:rsidRDefault="001849DA" w:rsidP="001849DA">
      <w:pPr>
        <w:spacing w:line="360" w:lineRule="auto"/>
        <w:ind w:firstLine="709"/>
        <w:jc w:val="both"/>
        <w:rPr>
          <w:rFonts w:cs="Times New Roman"/>
        </w:rPr>
      </w:pPr>
      <w:r w:rsidRPr="00B7301F">
        <w:rPr>
          <w:rFonts w:cs="Times New Roman"/>
        </w:rPr>
        <w:t xml:space="preserve">Nesse sentido, </w:t>
      </w:r>
      <w:r>
        <w:rPr>
          <w:rFonts w:cs="Times New Roman"/>
        </w:rPr>
        <w:t>o objetivo do presente estudo é</w:t>
      </w:r>
      <w:r w:rsidRPr="00B7301F">
        <w:rPr>
          <w:rFonts w:cs="Times New Roman"/>
        </w:rPr>
        <w:t xml:space="preserve"> analisar se as informações sobre </w:t>
      </w:r>
      <w:r w:rsidR="005F4E94">
        <w:rPr>
          <w:rFonts w:cs="Times New Roman"/>
        </w:rPr>
        <w:t xml:space="preserve">o resultado abrangente consolidado, </w:t>
      </w:r>
      <w:r w:rsidRPr="00B7301F">
        <w:rPr>
          <w:rFonts w:cs="Times New Roman"/>
        </w:rPr>
        <w:t>o</w:t>
      </w:r>
      <w:r w:rsidR="006E7443">
        <w:rPr>
          <w:rFonts w:cs="Times New Roman"/>
        </w:rPr>
        <w:t xml:space="preserve">s </w:t>
      </w:r>
      <w:r w:rsidR="005E5696">
        <w:rPr>
          <w:rFonts w:cs="Times New Roman"/>
        </w:rPr>
        <w:t>o</w:t>
      </w:r>
      <w:r w:rsidR="006E7443">
        <w:rPr>
          <w:rFonts w:cs="Times New Roman"/>
        </w:rPr>
        <w:t>utros</w:t>
      </w:r>
      <w:r w:rsidRPr="00B7301F">
        <w:rPr>
          <w:rFonts w:cs="Times New Roman"/>
        </w:rPr>
        <w:t xml:space="preserve"> </w:t>
      </w:r>
      <w:r w:rsidR="005E5696">
        <w:rPr>
          <w:rFonts w:cs="Times New Roman"/>
        </w:rPr>
        <w:t>r</w:t>
      </w:r>
      <w:r w:rsidRPr="00B7301F">
        <w:rPr>
          <w:rFonts w:cs="Times New Roman"/>
        </w:rPr>
        <w:t>esultado</w:t>
      </w:r>
      <w:r w:rsidR="006E7443">
        <w:rPr>
          <w:rFonts w:cs="Times New Roman"/>
        </w:rPr>
        <w:t>s</w:t>
      </w:r>
      <w:r w:rsidRPr="00B7301F">
        <w:rPr>
          <w:rFonts w:cs="Times New Roman"/>
        </w:rPr>
        <w:t xml:space="preserve"> </w:t>
      </w:r>
      <w:r w:rsidR="005E5696">
        <w:rPr>
          <w:rFonts w:cs="Times New Roman"/>
        </w:rPr>
        <w:t>a</w:t>
      </w:r>
      <w:r w:rsidRPr="00B7301F">
        <w:rPr>
          <w:rFonts w:cs="Times New Roman"/>
        </w:rPr>
        <w:t>brangente</w:t>
      </w:r>
      <w:r w:rsidR="006E7443">
        <w:rPr>
          <w:rFonts w:cs="Times New Roman"/>
        </w:rPr>
        <w:t xml:space="preserve">s </w:t>
      </w:r>
      <w:r w:rsidRPr="00B7301F">
        <w:rPr>
          <w:rFonts w:cs="Times New Roman"/>
        </w:rPr>
        <w:t>e os seus componentes individuais têm poder preditivo para determinar o fluxo de caixa operacional futuro, visto que tais componentes podem alterar os fluxos de caixa na medida em que se realizam. Ademais, se</w:t>
      </w:r>
      <w:proofErr w:type="gramStart"/>
      <w:r w:rsidRPr="00B7301F">
        <w:rPr>
          <w:rFonts w:cs="Times New Roman"/>
        </w:rPr>
        <w:t xml:space="preserve"> </w:t>
      </w:r>
      <w:r w:rsidR="005F4E94">
        <w:rPr>
          <w:rFonts w:cs="Times New Roman"/>
        </w:rPr>
        <w:t xml:space="preserve"> </w:t>
      </w:r>
      <w:proofErr w:type="gramEnd"/>
      <w:r w:rsidR="005F4E94">
        <w:rPr>
          <w:rFonts w:cs="Times New Roman"/>
        </w:rPr>
        <w:t>os ORA</w:t>
      </w:r>
      <w:r w:rsidRPr="00B7301F">
        <w:rPr>
          <w:rFonts w:cs="Times New Roman"/>
        </w:rPr>
        <w:t xml:space="preserve"> e seus ajustes são úteis para determinação do caixa seguinte, questiona-se</w:t>
      </w:r>
      <w:r>
        <w:rPr>
          <w:rFonts w:cs="Times New Roman"/>
        </w:rPr>
        <w:t>:</w:t>
      </w:r>
      <w:r w:rsidRPr="00B7301F">
        <w:rPr>
          <w:rFonts w:cs="Times New Roman"/>
        </w:rPr>
        <w:t xml:space="preserve"> </w:t>
      </w:r>
      <w:r>
        <w:rPr>
          <w:rFonts w:cs="Times New Roman"/>
          <w:b/>
        </w:rPr>
        <w:t>o</w:t>
      </w:r>
      <w:r w:rsidR="005E5696">
        <w:rPr>
          <w:rFonts w:cs="Times New Roman"/>
          <w:b/>
        </w:rPr>
        <w:t>s</w:t>
      </w:r>
      <w:r>
        <w:rPr>
          <w:rFonts w:cs="Times New Roman"/>
          <w:b/>
        </w:rPr>
        <w:t xml:space="preserve"> </w:t>
      </w:r>
      <w:r w:rsidR="005E5696">
        <w:rPr>
          <w:rFonts w:cs="Times New Roman"/>
          <w:b/>
        </w:rPr>
        <w:t xml:space="preserve">outros </w:t>
      </w:r>
      <w:r>
        <w:rPr>
          <w:rFonts w:cs="Times New Roman"/>
          <w:b/>
        </w:rPr>
        <w:t>resultado</w:t>
      </w:r>
      <w:r w:rsidR="005E5696">
        <w:rPr>
          <w:rFonts w:cs="Times New Roman"/>
          <w:b/>
        </w:rPr>
        <w:t>s</w:t>
      </w:r>
      <w:r>
        <w:rPr>
          <w:rFonts w:cs="Times New Roman"/>
          <w:b/>
        </w:rPr>
        <w:t xml:space="preserve"> abrangente</w:t>
      </w:r>
      <w:r w:rsidR="005E5696">
        <w:rPr>
          <w:rFonts w:cs="Times New Roman"/>
          <w:b/>
        </w:rPr>
        <w:t>s</w:t>
      </w:r>
      <w:r>
        <w:rPr>
          <w:rFonts w:cs="Times New Roman"/>
          <w:b/>
        </w:rPr>
        <w:t xml:space="preserve"> e seus componentes</w:t>
      </w:r>
      <w:r w:rsidRPr="004E664E">
        <w:rPr>
          <w:rFonts w:cs="Times New Roman"/>
          <w:b/>
        </w:rPr>
        <w:t xml:space="preserve"> mensurados a valor justo possuem</w:t>
      </w:r>
      <w:r w:rsidRPr="00C065F2">
        <w:rPr>
          <w:rFonts w:cs="Times New Roman"/>
          <w:b/>
        </w:rPr>
        <w:t xml:space="preserve"> </w:t>
      </w:r>
      <w:r w:rsidRPr="00070E4B">
        <w:rPr>
          <w:rFonts w:cs="Times New Roman"/>
          <w:b/>
        </w:rPr>
        <w:t>poder preditivo</w:t>
      </w:r>
      <w:r>
        <w:rPr>
          <w:rFonts w:cs="Times New Roman"/>
          <w:b/>
        </w:rPr>
        <w:t xml:space="preserve"> e</w:t>
      </w:r>
      <w:r w:rsidRPr="004E664E">
        <w:rPr>
          <w:rFonts w:cs="Times New Roman"/>
          <w:b/>
        </w:rPr>
        <w:t xml:space="preserve"> </w:t>
      </w:r>
      <w:proofErr w:type="spellStart"/>
      <w:r w:rsidRPr="004E664E">
        <w:rPr>
          <w:rFonts w:cs="Times New Roman"/>
          <w:b/>
          <w:i/>
        </w:rPr>
        <w:t>value</w:t>
      </w:r>
      <w:proofErr w:type="spellEnd"/>
      <w:r w:rsidRPr="004E664E">
        <w:rPr>
          <w:rFonts w:cs="Times New Roman"/>
          <w:b/>
          <w:i/>
        </w:rPr>
        <w:t xml:space="preserve"> </w:t>
      </w:r>
      <w:proofErr w:type="spellStart"/>
      <w:r w:rsidRPr="004E664E">
        <w:rPr>
          <w:rFonts w:cs="Times New Roman"/>
          <w:b/>
          <w:i/>
        </w:rPr>
        <w:t>relevance</w:t>
      </w:r>
      <w:proofErr w:type="spellEnd"/>
      <w:r w:rsidRPr="004E664E">
        <w:rPr>
          <w:rFonts w:cs="Times New Roman"/>
          <w:b/>
        </w:rPr>
        <w:t xml:space="preserve"> para o mercado de capitais no Brasil?</w:t>
      </w:r>
    </w:p>
    <w:p w:rsidR="006B44B2" w:rsidRDefault="001849DA" w:rsidP="006B44B2">
      <w:pPr>
        <w:spacing w:line="360" w:lineRule="auto"/>
        <w:ind w:firstLine="709"/>
        <w:jc w:val="both"/>
        <w:rPr>
          <w:rFonts w:cs="Times New Roman"/>
        </w:rPr>
      </w:pPr>
      <w:r>
        <w:rPr>
          <w:rFonts w:cs="Times New Roman"/>
          <w:szCs w:val="24"/>
        </w:rPr>
        <w:lastRenderedPageBreak/>
        <w:t>O</w:t>
      </w:r>
      <w:r w:rsidRPr="004F61D4">
        <w:rPr>
          <w:rFonts w:cs="Times New Roman"/>
          <w:szCs w:val="24"/>
        </w:rPr>
        <w:t xml:space="preserve"> estudo se</w:t>
      </w:r>
      <w:r w:rsidRPr="00FB1893">
        <w:rPr>
          <w:rFonts w:cs="Times New Roman"/>
          <w:szCs w:val="24"/>
        </w:rPr>
        <w:t xml:space="preserve"> justificativa </w:t>
      </w:r>
      <w:r w:rsidRPr="001E13F8">
        <w:rPr>
          <w:rFonts w:cs="Times New Roman"/>
          <w:szCs w:val="24"/>
        </w:rPr>
        <w:t>pelo fato de que “a informação é peça chave para o processo de comunicaç</w:t>
      </w:r>
      <w:r w:rsidRPr="00F836D3">
        <w:rPr>
          <w:rFonts w:cs="Times New Roman"/>
          <w:szCs w:val="24"/>
        </w:rPr>
        <w:t xml:space="preserve">ão e para o desenvolvimento das relações, seja entre pessoas, entidade ou </w:t>
      </w:r>
      <w:r w:rsidRPr="00070E4B">
        <w:rPr>
          <w:szCs w:val="24"/>
        </w:rPr>
        <w:t>pessoas e entidades” (BARBOSA; SILVA, 2014</w:t>
      </w:r>
      <w:r>
        <w:rPr>
          <w:szCs w:val="24"/>
        </w:rPr>
        <w:t>, p.172</w:t>
      </w:r>
      <w:r w:rsidRPr="00070E4B">
        <w:rPr>
          <w:szCs w:val="24"/>
        </w:rPr>
        <w:t>). Azevedo (2016) coloca que, no contexto de mercado, por exemplo, a informação contábil constitui-se como importante instrumento para avaliação de empresas e possíveis investimentos</w:t>
      </w:r>
      <w:r w:rsidR="00F31ED1">
        <w:rPr>
          <w:szCs w:val="24"/>
        </w:rPr>
        <w:t>;</w:t>
      </w:r>
      <w:r w:rsidR="00F31ED1" w:rsidRPr="00F31ED1">
        <w:rPr>
          <w:rFonts w:cs="Times New Roman"/>
          <w:szCs w:val="24"/>
        </w:rPr>
        <w:t xml:space="preserve"> ademais, </w:t>
      </w:r>
      <w:r w:rsidR="00F31ED1" w:rsidRPr="0081564A">
        <w:rPr>
          <w:rFonts w:cs="Times New Roman"/>
          <w:szCs w:val="24"/>
        </w:rPr>
        <w:t>“a</w:t>
      </w:r>
      <w:r w:rsidR="00F31ED1" w:rsidRPr="0081564A">
        <w:rPr>
          <w:rFonts w:eastAsia="Times New Roman" w:cs="Times New Roman"/>
          <w:szCs w:val="24"/>
          <w:lang w:eastAsia="pt-BR"/>
        </w:rPr>
        <w:t xml:space="preserve"> contabilidade tem como objetivo fornecer a seus usuários informações úteis para a avaliação econômica e financeira da entidade” (GONÇALVES, </w:t>
      </w:r>
      <w:proofErr w:type="gramStart"/>
      <w:r w:rsidR="00F31ED1" w:rsidRPr="0081564A">
        <w:rPr>
          <w:rFonts w:eastAsia="Times New Roman" w:cs="Times New Roman"/>
          <w:szCs w:val="24"/>
          <w:lang w:eastAsia="pt-BR"/>
        </w:rPr>
        <w:t>et</w:t>
      </w:r>
      <w:proofErr w:type="gramEnd"/>
      <w:r w:rsidR="00F31ED1" w:rsidRPr="0081564A">
        <w:rPr>
          <w:rFonts w:eastAsia="Times New Roman" w:cs="Times New Roman"/>
          <w:szCs w:val="24"/>
          <w:lang w:eastAsia="pt-BR"/>
        </w:rPr>
        <w:t xml:space="preserve"> al. 2014, p.28).</w:t>
      </w:r>
      <w:r w:rsidR="007A51F9">
        <w:rPr>
          <w:rFonts w:eastAsia="Times New Roman" w:cs="Times New Roman"/>
          <w:szCs w:val="24"/>
          <w:lang w:eastAsia="pt-BR"/>
        </w:rPr>
        <w:t xml:space="preserve"> </w:t>
      </w:r>
      <w:proofErr w:type="spellStart"/>
      <w:r w:rsidR="006B44B2" w:rsidRPr="00B7301F">
        <w:rPr>
          <w:rFonts w:cs="Times New Roman"/>
        </w:rPr>
        <w:t>Ohlson</w:t>
      </w:r>
      <w:proofErr w:type="spellEnd"/>
      <w:r w:rsidR="006B44B2" w:rsidRPr="00B7301F">
        <w:rPr>
          <w:rFonts w:cs="Times New Roman"/>
        </w:rPr>
        <w:t xml:space="preserve"> (</w:t>
      </w:r>
      <w:r w:rsidR="006B44B2" w:rsidRPr="00B7301F">
        <w:rPr>
          <w:rFonts w:cs="Times New Roman"/>
        </w:rPr>
        <w:fldChar w:fldCharType="begin" w:fldLock="1"/>
      </w:r>
      <w:r w:rsidR="006B44B2" w:rsidRPr="00B7301F">
        <w:rPr>
          <w:rFonts w:cs="Times New Roman"/>
        </w:rPr>
        <w:instrText>ADDIN CSL_CITATION { "citationItems" : [ { "id" : "ITEM-1", "itemData" : { "DOI" : "10.1111/j.1911-3846.1995.tb00461.x", "ISBN" : "08239150", "ISSN" : "08239150", "abstract" : "A study develops and analyzes a model of a firm's market value as it relates to contemporaneous and future earnings, book values, and dividends. Two owners' equity accounting constructs provide the underpinnings of the model: the clean surplus relation applies, and dividends reduce current book value but do not affect current earnings. The model satisfies many appealing properties, and it provides a useful benchmark when one conceptualizes how market value relates to accounting data and other information.", "author" : [ { "dropping-particle" : "", "family" : "Ohlson", "given" : "James a.", "non-dropping-particle" : "", "parse-names" : false, "suffix" : "" } ], "container-title" : "Contemporary Accounting Research", "id" : "ITEM-1", "issue" : "2", "issued" : { "date-parts" : [ [ "1995" ] ] }, "page" : "661", "title" : "Earnings, book values, and dividends in equity valuation", "type" : "article-journal", "volume" : "11" }, "uris" : [ "http://www.mendeley.com/documents/?uuid=24950e5a-eebe-4bc9-a792-8d2034c30b01" ] } ], "mendeley" : { "formattedCitation" : "(OHLSON, 1995)", "manualFormatting" : "1995)", "plainTextFormattedCitation" : "(OHLSON, 1995)", "previouslyFormattedCitation" : "(OHLSON, 1995)" }, "properties" : { "noteIndex" : 0 }, "schema" : "https://github.com/citation-style-language/schema/raw/master/csl-citation.json" }</w:instrText>
      </w:r>
      <w:r w:rsidR="006B44B2" w:rsidRPr="00B7301F">
        <w:rPr>
          <w:rFonts w:cs="Times New Roman"/>
        </w:rPr>
        <w:fldChar w:fldCharType="separate"/>
      </w:r>
      <w:r w:rsidR="006B44B2" w:rsidRPr="00B7301F">
        <w:rPr>
          <w:rFonts w:cs="Times New Roman"/>
          <w:noProof/>
        </w:rPr>
        <w:t>1995)</w:t>
      </w:r>
      <w:r w:rsidR="006B44B2" w:rsidRPr="00B7301F">
        <w:rPr>
          <w:rFonts w:cs="Times New Roman"/>
        </w:rPr>
        <w:fldChar w:fldCharType="end"/>
      </w:r>
      <w:r w:rsidR="006B44B2" w:rsidRPr="00B7301F">
        <w:rPr>
          <w:rFonts w:cs="Times New Roman"/>
        </w:rPr>
        <w:t xml:space="preserve"> mostra que</w:t>
      </w:r>
      <w:r w:rsidR="00E04AE5">
        <w:rPr>
          <w:rFonts w:cs="Times New Roman"/>
        </w:rPr>
        <w:t>,</w:t>
      </w:r>
      <w:r w:rsidR="006B44B2" w:rsidRPr="00B7301F">
        <w:rPr>
          <w:rFonts w:cs="Times New Roman"/>
        </w:rPr>
        <w:t xml:space="preserve"> no âmbito da contabilidade, o valor da empresa pode ser obtido em função do valor contábil líquido e do lucro residual</w:t>
      </w:r>
      <w:r w:rsidR="00E04AE5">
        <w:rPr>
          <w:rFonts w:cs="Times New Roman"/>
        </w:rPr>
        <w:t xml:space="preserve"> e,</w:t>
      </w:r>
      <w:r w:rsidR="006B44B2" w:rsidRPr="00B7301F">
        <w:rPr>
          <w:rFonts w:cs="Times New Roman"/>
        </w:rPr>
        <w:t xml:space="preserve"> </w:t>
      </w:r>
      <w:r w:rsidR="00E04AE5">
        <w:rPr>
          <w:rFonts w:cs="Times New Roman"/>
        </w:rPr>
        <w:t>a</w:t>
      </w:r>
      <w:r w:rsidR="006B44B2" w:rsidRPr="00B7301F">
        <w:rPr>
          <w:rFonts w:cs="Times New Roman"/>
        </w:rPr>
        <w:t xml:space="preserve"> partir dessa relação algumas evidências já foram destacadas na literatura sobre a utilidade do</w:t>
      </w:r>
      <w:r w:rsidR="005E5696">
        <w:rPr>
          <w:rFonts w:cs="Times New Roman"/>
        </w:rPr>
        <w:t>s outros</w:t>
      </w:r>
      <w:r w:rsidR="006B44B2" w:rsidRPr="00B7301F">
        <w:rPr>
          <w:rFonts w:cs="Times New Roman"/>
        </w:rPr>
        <w:t xml:space="preserve"> </w:t>
      </w:r>
      <w:r w:rsidR="005E5696">
        <w:rPr>
          <w:rFonts w:cs="Times New Roman"/>
        </w:rPr>
        <w:t>r</w:t>
      </w:r>
      <w:r w:rsidR="006B44B2" w:rsidRPr="00B7301F">
        <w:rPr>
          <w:rFonts w:cs="Times New Roman"/>
        </w:rPr>
        <w:t>esultado</w:t>
      </w:r>
      <w:r w:rsidR="005E5696">
        <w:rPr>
          <w:rFonts w:cs="Times New Roman"/>
        </w:rPr>
        <w:t>s</w:t>
      </w:r>
      <w:r w:rsidR="006B44B2" w:rsidRPr="00B7301F">
        <w:rPr>
          <w:rFonts w:cs="Times New Roman"/>
        </w:rPr>
        <w:t xml:space="preserve"> </w:t>
      </w:r>
      <w:r w:rsidR="005E5696">
        <w:rPr>
          <w:rFonts w:cs="Times New Roman"/>
        </w:rPr>
        <w:t>a</w:t>
      </w:r>
      <w:r w:rsidR="006B44B2" w:rsidRPr="00B7301F">
        <w:rPr>
          <w:rFonts w:cs="Times New Roman"/>
        </w:rPr>
        <w:t>brangente para se determinar o valor de uma firma</w:t>
      </w:r>
      <w:r w:rsidR="00E04AE5">
        <w:rPr>
          <w:rFonts w:cs="Times New Roman"/>
        </w:rPr>
        <w:t xml:space="preserve">, conforme complementa </w:t>
      </w:r>
      <w:proofErr w:type="spellStart"/>
      <w:r w:rsidR="00E04AE5">
        <w:rPr>
          <w:rFonts w:cs="Times New Roman"/>
        </w:rPr>
        <w:t>Cahan</w:t>
      </w:r>
      <w:proofErr w:type="spellEnd"/>
      <w:r w:rsidR="00E04AE5">
        <w:rPr>
          <w:rFonts w:cs="Times New Roman"/>
        </w:rPr>
        <w:t xml:space="preserve"> e </w:t>
      </w:r>
      <w:proofErr w:type="spellStart"/>
      <w:r w:rsidR="00E04AE5">
        <w:rPr>
          <w:rFonts w:cs="Times New Roman"/>
        </w:rPr>
        <w:t>Courtenay</w:t>
      </w:r>
      <w:proofErr w:type="spellEnd"/>
      <w:r w:rsidR="00E04AE5">
        <w:rPr>
          <w:rFonts w:cs="Times New Roman"/>
        </w:rPr>
        <w:t xml:space="preserve"> (2000</w:t>
      </w:r>
      <w:r w:rsidR="007B1A61">
        <w:rPr>
          <w:rFonts w:cs="Times New Roman"/>
        </w:rPr>
        <w:t>)</w:t>
      </w:r>
      <w:r w:rsidR="006B44B2" w:rsidRPr="00B7301F">
        <w:rPr>
          <w:rFonts w:cs="Times New Roman"/>
        </w:rPr>
        <w:t>.</w:t>
      </w:r>
    </w:p>
    <w:p w:rsidR="006B44B2" w:rsidRPr="00E71DFF" w:rsidRDefault="006B44B2" w:rsidP="006B44B2">
      <w:pPr>
        <w:spacing w:line="360" w:lineRule="auto"/>
        <w:ind w:firstLine="709"/>
        <w:jc w:val="both"/>
        <w:rPr>
          <w:rStyle w:val="Forte"/>
          <w:b w:val="0"/>
        </w:rPr>
      </w:pPr>
      <w:r>
        <w:rPr>
          <w:rStyle w:val="Forte"/>
          <w:b w:val="0"/>
        </w:rPr>
        <w:t>A</w:t>
      </w:r>
      <w:r w:rsidRPr="00123C30">
        <w:rPr>
          <w:rStyle w:val="Forte"/>
          <w:b w:val="0"/>
        </w:rPr>
        <w:t xml:space="preserve">pós </w:t>
      </w:r>
      <w:r>
        <w:rPr>
          <w:rStyle w:val="Forte"/>
          <w:b w:val="0"/>
        </w:rPr>
        <w:t>ess</w:t>
      </w:r>
      <w:r w:rsidRPr="00123C30">
        <w:rPr>
          <w:rStyle w:val="Forte"/>
          <w:b w:val="0"/>
        </w:rPr>
        <w:t xml:space="preserve">a </w:t>
      </w:r>
      <w:r>
        <w:rPr>
          <w:rStyle w:val="Forte"/>
          <w:b w:val="0"/>
        </w:rPr>
        <w:t>breve introdução sobre</w:t>
      </w:r>
      <w:r w:rsidRPr="00123C30">
        <w:rPr>
          <w:rStyle w:val="Forte"/>
          <w:b w:val="0"/>
        </w:rPr>
        <w:t xml:space="preserve"> </w:t>
      </w:r>
      <w:r>
        <w:rPr>
          <w:rStyle w:val="Forte"/>
          <w:b w:val="0"/>
        </w:rPr>
        <w:t xml:space="preserve">o </w:t>
      </w:r>
      <w:r w:rsidRPr="00123C30">
        <w:rPr>
          <w:rStyle w:val="Forte"/>
          <w:b w:val="0"/>
        </w:rPr>
        <w:t xml:space="preserve">tema, problema e objetivos de pesquisa, este artigo foi estruturado da seguinte maneira: </w:t>
      </w:r>
      <w:r>
        <w:rPr>
          <w:rStyle w:val="Forte"/>
          <w:b w:val="0"/>
        </w:rPr>
        <w:t xml:space="preserve">no tópico seguinte tem-se </w:t>
      </w:r>
      <w:r w:rsidRPr="00123C30">
        <w:rPr>
          <w:rStyle w:val="Forte"/>
          <w:b w:val="0"/>
        </w:rPr>
        <w:t>a plataforma teórica do estudo traz</w:t>
      </w:r>
      <w:r>
        <w:rPr>
          <w:rStyle w:val="Forte"/>
          <w:b w:val="0"/>
        </w:rPr>
        <w:t xml:space="preserve">endo conceitos sobre </w:t>
      </w:r>
      <w:r w:rsidR="003F1405">
        <w:rPr>
          <w:rStyle w:val="Forte"/>
          <w:b w:val="0"/>
        </w:rPr>
        <w:t>a relevância</w:t>
      </w:r>
      <w:r w:rsidR="007936C1">
        <w:rPr>
          <w:rStyle w:val="Forte"/>
          <w:b w:val="0"/>
        </w:rPr>
        <w:t xml:space="preserve"> </w:t>
      </w:r>
      <w:r>
        <w:rPr>
          <w:rStyle w:val="Forte"/>
          <w:b w:val="0"/>
        </w:rPr>
        <w:t>das informações contábil-financeiras</w:t>
      </w:r>
      <w:r w:rsidR="007936C1">
        <w:rPr>
          <w:rStyle w:val="Forte"/>
          <w:b w:val="0"/>
        </w:rPr>
        <w:t xml:space="preserve"> e a importância do</w:t>
      </w:r>
      <w:r w:rsidR="005E5696">
        <w:rPr>
          <w:rStyle w:val="Forte"/>
          <w:b w:val="0"/>
        </w:rPr>
        <w:t>s</w:t>
      </w:r>
      <w:r w:rsidR="007936C1">
        <w:rPr>
          <w:rStyle w:val="Forte"/>
          <w:b w:val="0"/>
        </w:rPr>
        <w:t xml:space="preserve"> </w:t>
      </w:r>
      <w:r w:rsidR="005E5696">
        <w:rPr>
          <w:rStyle w:val="Forte"/>
          <w:b w:val="0"/>
        </w:rPr>
        <w:t xml:space="preserve">outros </w:t>
      </w:r>
      <w:r w:rsidR="007936C1">
        <w:rPr>
          <w:rStyle w:val="Forte"/>
          <w:b w:val="0"/>
        </w:rPr>
        <w:t>resultado</w:t>
      </w:r>
      <w:r w:rsidR="005E5696">
        <w:rPr>
          <w:rStyle w:val="Forte"/>
          <w:b w:val="0"/>
        </w:rPr>
        <w:t>s</w:t>
      </w:r>
      <w:r w:rsidR="007936C1">
        <w:rPr>
          <w:rStyle w:val="Forte"/>
          <w:b w:val="0"/>
        </w:rPr>
        <w:t xml:space="preserve"> abrangente</w:t>
      </w:r>
      <w:r w:rsidR="005E5696">
        <w:rPr>
          <w:rStyle w:val="Forte"/>
          <w:b w:val="0"/>
        </w:rPr>
        <w:t>s</w:t>
      </w:r>
      <w:r w:rsidR="007936C1">
        <w:rPr>
          <w:rStyle w:val="Forte"/>
          <w:b w:val="0"/>
        </w:rPr>
        <w:t xml:space="preserve"> </w:t>
      </w:r>
      <w:r w:rsidR="003F1405">
        <w:rPr>
          <w:rStyle w:val="Forte"/>
          <w:b w:val="0"/>
        </w:rPr>
        <w:t xml:space="preserve">como fonte de valor </w:t>
      </w:r>
      <w:r w:rsidR="007936C1">
        <w:rPr>
          <w:rStyle w:val="Forte"/>
          <w:b w:val="0"/>
        </w:rPr>
        <w:t xml:space="preserve">para a </w:t>
      </w:r>
      <w:r w:rsidR="003F1405">
        <w:rPr>
          <w:rStyle w:val="Forte"/>
          <w:b w:val="0"/>
        </w:rPr>
        <w:t>tomada de decisão</w:t>
      </w:r>
      <w:r w:rsidRPr="00123C30">
        <w:rPr>
          <w:rStyle w:val="Forte"/>
          <w:b w:val="0"/>
        </w:rPr>
        <w:t xml:space="preserve">; </w:t>
      </w:r>
      <w:r>
        <w:rPr>
          <w:rStyle w:val="Forte"/>
          <w:b w:val="0"/>
        </w:rPr>
        <w:t xml:space="preserve">após, </w:t>
      </w:r>
      <w:r w:rsidR="0039407F">
        <w:rPr>
          <w:rStyle w:val="Forte"/>
          <w:b w:val="0"/>
        </w:rPr>
        <w:t xml:space="preserve">a metodologia </w:t>
      </w:r>
      <w:r>
        <w:rPr>
          <w:rStyle w:val="Forte"/>
          <w:b w:val="0"/>
        </w:rPr>
        <w:t>d</w:t>
      </w:r>
      <w:r w:rsidRPr="00123C30">
        <w:rPr>
          <w:rStyle w:val="Forte"/>
          <w:b w:val="0"/>
        </w:rPr>
        <w:t xml:space="preserve">a </w:t>
      </w:r>
      <w:r>
        <w:rPr>
          <w:rStyle w:val="Forte"/>
          <w:b w:val="0"/>
        </w:rPr>
        <w:t>pesquisa esclarece como se deu a seleção da amostra e a coleta dos dados, além de expor os modelos empíricos estimados;</w:t>
      </w:r>
      <w:r w:rsidRPr="00123C30">
        <w:rPr>
          <w:rStyle w:val="Forte"/>
          <w:b w:val="0"/>
        </w:rPr>
        <w:t xml:space="preserve"> </w:t>
      </w:r>
      <w:r>
        <w:rPr>
          <w:rStyle w:val="Forte"/>
          <w:b w:val="0"/>
        </w:rPr>
        <w:t xml:space="preserve">no tópico de resultados e discussão, </w:t>
      </w:r>
      <w:r w:rsidRPr="00123C30">
        <w:rPr>
          <w:rStyle w:val="Forte"/>
          <w:b w:val="0"/>
        </w:rPr>
        <w:t>são debatidos os principais achados do estudo</w:t>
      </w:r>
      <w:r>
        <w:rPr>
          <w:rStyle w:val="Forte"/>
          <w:b w:val="0"/>
        </w:rPr>
        <w:t>;</w:t>
      </w:r>
      <w:r w:rsidRPr="00123C30">
        <w:rPr>
          <w:rStyle w:val="Forte"/>
          <w:b w:val="0"/>
        </w:rPr>
        <w:t xml:space="preserve"> </w:t>
      </w:r>
      <w:r>
        <w:rPr>
          <w:rStyle w:val="Forte"/>
          <w:b w:val="0"/>
        </w:rPr>
        <w:t>p</w:t>
      </w:r>
      <w:r w:rsidRPr="00123C30">
        <w:rPr>
          <w:rStyle w:val="Forte"/>
          <w:b w:val="0"/>
        </w:rPr>
        <w:t>or fim, são sugeridas</w:t>
      </w:r>
      <w:r>
        <w:rPr>
          <w:rStyle w:val="Forte"/>
          <w:b w:val="0"/>
        </w:rPr>
        <w:t xml:space="preserve"> contribuições para </w:t>
      </w:r>
      <w:r w:rsidRPr="00123C30">
        <w:rPr>
          <w:rStyle w:val="Forte"/>
          <w:b w:val="0"/>
        </w:rPr>
        <w:t>o est</w:t>
      </w:r>
      <w:r>
        <w:rPr>
          <w:rStyle w:val="Forte"/>
          <w:b w:val="0"/>
        </w:rPr>
        <w:t>a</w:t>
      </w:r>
      <w:r w:rsidRPr="00123C30">
        <w:rPr>
          <w:rStyle w:val="Forte"/>
          <w:b w:val="0"/>
        </w:rPr>
        <w:t xml:space="preserve">do </w:t>
      </w:r>
      <w:r>
        <w:rPr>
          <w:rStyle w:val="Forte"/>
          <w:b w:val="0"/>
        </w:rPr>
        <w:t xml:space="preserve">da arte sobre o tema e </w:t>
      </w:r>
      <w:r w:rsidRPr="005F1DAE">
        <w:rPr>
          <w:rStyle w:val="Forte"/>
          <w:b w:val="0"/>
        </w:rPr>
        <w:t xml:space="preserve">considerações </w:t>
      </w:r>
      <w:r>
        <w:rPr>
          <w:rStyle w:val="Forte"/>
          <w:b w:val="0"/>
        </w:rPr>
        <w:t>voltadas a</w:t>
      </w:r>
      <w:r w:rsidRPr="00123C30">
        <w:rPr>
          <w:rStyle w:val="Forte"/>
          <w:b w:val="0"/>
        </w:rPr>
        <w:t xml:space="preserve"> pesquisas futuras.</w:t>
      </w:r>
    </w:p>
    <w:p w:rsidR="00980BE6" w:rsidRDefault="00980BE6" w:rsidP="00E80DB7">
      <w:pPr>
        <w:spacing w:line="360" w:lineRule="auto"/>
        <w:rPr>
          <w:rFonts w:cs="Times New Roman"/>
        </w:rPr>
      </w:pPr>
    </w:p>
    <w:p w:rsidR="00B51E9D" w:rsidRDefault="006F308E" w:rsidP="00B51E9D">
      <w:pPr>
        <w:spacing w:line="360" w:lineRule="auto"/>
        <w:rPr>
          <w:rFonts w:cs="Times New Roman"/>
          <w:b/>
        </w:rPr>
      </w:pPr>
      <w:r>
        <w:rPr>
          <w:rFonts w:cs="Times New Roman"/>
          <w:b/>
        </w:rPr>
        <w:t xml:space="preserve">2. </w:t>
      </w:r>
      <w:r w:rsidRPr="00C17976">
        <w:rPr>
          <w:rFonts w:cs="Times New Roman"/>
          <w:b/>
        </w:rPr>
        <w:t>REFERENCIAL TEÓRICO</w:t>
      </w:r>
    </w:p>
    <w:p w:rsidR="00B51E9D" w:rsidRPr="00070E4B" w:rsidRDefault="00B51E9D" w:rsidP="00B51E9D">
      <w:pPr>
        <w:spacing w:line="360" w:lineRule="auto"/>
        <w:jc w:val="both"/>
        <w:rPr>
          <w:b/>
        </w:rPr>
      </w:pPr>
      <w:r w:rsidRPr="00A56A9D">
        <w:rPr>
          <w:b/>
        </w:rPr>
        <w:t>2.1</w:t>
      </w:r>
      <w:r w:rsidRPr="000746BC">
        <w:rPr>
          <w:b/>
        </w:rPr>
        <w:t xml:space="preserve"> </w:t>
      </w:r>
      <w:r>
        <w:rPr>
          <w:b/>
        </w:rPr>
        <w:t>A relevância da</w:t>
      </w:r>
      <w:r w:rsidRPr="00070E4B">
        <w:rPr>
          <w:b/>
        </w:rPr>
        <w:t>s informações contábil-financeiras</w:t>
      </w:r>
    </w:p>
    <w:p w:rsidR="00B51E9D" w:rsidRDefault="00B51E9D" w:rsidP="00B51E9D">
      <w:pPr>
        <w:autoSpaceDE w:val="0"/>
        <w:autoSpaceDN w:val="0"/>
        <w:adjustRightInd w:val="0"/>
        <w:spacing w:line="360" w:lineRule="auto"/>
        <w:ind w:firstLine="709"/>
        <w:jc w:val="both"/>
        <w:rPr>
          <w:szCs w:val="24"/>
        </w:rPr>
      </w:pPr>
      <w:proofErr w:type="spellStart"/>
      <w:r w:rsidRPr="00E833F3">
        <w:rPr>
          <w:szCs w:val="24"/>
          <w:lang w:eastAsia="pt-BR"/>
        </w:rPr>
        <w:t>Trapp</w:t>
      </w:r>
      <w:proofErr w:type="spellEnd"/>
      <w:r w:rsidRPr="00E833F3">
        <w:rPr>
          <w:szCs w:val="24"/>
          <w:lang w:eastAsia="pt-BR"/>
        </w:rPr>
        <w:t xml:space="preserve"> (2009) afirma que a contabilidade </w:t>
      </w:r>
      <w:r w:rsidRPr="008F04FD">
        <w:rPr>
          <w:szCs w:val="24"/>
          <w:lang w:eastAsia="pt-BR"/>
        </w:rPr>
        <w:t>tem como propósito principal fornecer informações úteis para os diversos agentes econômicos</w:t>
      </w:r>
      <w:r w:rsidRPr="00060D20">
        <w:rPr>
          <w:szCs w:val="24"/>
          <w:lang w:eastAsia="pt-BR"/>
        </w:rPr>
        <w:t>, e muitos destes possuem interesse sobre a situação financeira das empresas.</w:t>
      </w:r>
      <w:r w:rsidRPr="00014EAB">
        <w:rPr>
          <w:szCs w:val="24"/>
          <w:lang w:eastAsia="pt-BR"/>
        </w:rPr>
        <w:t xml:space="preserve"> Para Barbosa e Silva (2014, p.172), “é</w:t>
      </w:r>
      <w:r w:rsidRPr="00014EAB">
        <w:rPr>
          <w:szCs w:val="24"/>
        </w:rPr>
        <w:t xml:space="preserve"> com base nas informações disponíveis que todas as decisões são tomadas. Nesse contexto, quando se quer tomar decisões financeiras, como avaliar uma empresa para um possível investimento, a informação contábil deve servi</w:t>
      </w:r>
      <w:r w:rsidRPr="00647A38">
        <w:rPr>
          <w:szCs w:val="24"/>
        </w:rPr>
        <w:t>r de espelho da situação atual de uma organização [...]”</w:t>
      </w:r>
      <w:r w:rsidRPr="00A1295D">
        <w:rPr>
          <w:szCs w:val="24"/>
        </w:rPr>
        <w:t>.</w:t>
      </w:r>
      <w:r w:rsidR="007A51F9">
        <w:rPr>
          <w:szCs w:val="24"/>
        </w:rPr>
        <w:t xml:space="preserve"> </w:t>
      </w:r>
    </w:p>
    <w:p w:rsidR="00B51E9D" w:rsidRDefault="007D5393" w:rsidP="00B51E9D">
      <w:pPr>
        <w:autoSpaceDE w:val="0"/>
        <w:autoSpaceDN w:val="0"/>
        <w:adjustRightInd w:val="0"/>
        <w:spacing w:line="360" w:lineRule="auto"/>
        <w:ind w:firstLine="709"/>
        <w:jc w:val="both"/>
        <w:rPr>
          <w:rFonts w:cs="Times New Roman"/>
          <w:szCs w:val="24"/>
        </w:rPr>
      </w:pPr>
      <w:r>
        <w:rPr>
          <w:rFonts w:cs="Times New Roman"/>
          <w:szCs w:val="24"/>
        </w:rPr>
        <w:t>U</w:t>
      </w:r>
      <w:r w:rsidR="00B51E9D" w:rsidRPr="00AA6E10">
        <w:rPr>
          <w:rFonts w:cs="Times New Roman"/>
          <w:szCs w:val="24"/>
        </w:rPr>
        <w:t xml:space="preserve">ma das formas de envio de </w:t>
      </w:r>
      <w:r w:rsidR="00B459A9">
        <w:rPr>
          <w:rFonts w:cs="Times New Roman"/>
          <w:szCs w:val="24"/>
        </w:rPr>
        <w:t>informações financeiras</w:t>
      </w:r>
      <w:r w:rsidR="00B51E9D" w:rsidRPr="00AA6E10">
        <w:rPr>
          <w:rFonts w:cs="Times New Roman"/>
          <w:szCs w:val="24"/>
        </w:rPr>
        <w:t xml:space="preserve"> à sociedade é por meio da divulgação (</w:t>
      </w:r>
      <w:r w:rsidR="00B51E9D" w:rsidRPr="00AA6E10">
        <w:rPr>
          <w:rFonts w:cs="Times New Roman"/>
          <w:i/>
          <w:szCs w:val="24"/>
        </w:rPr>
        <w:t>disclosure</w:t>
      </w:r>
      <w:r w:rsidR="00B51E9D" w:rsidRPr="00AA6E10">
        <w:rPr>
          <w:rFonts w:cs="Times New Roman"/>
          <w:szCs w:val="24"/>
        </w:rPr>
        <w:t>) d</w:t>
      </w:r>
      <w:r w:rsidR="00F0794E">
        <w:rPr>
          <w:rFonts w:cs="Times New Roman"/>
          <w:szCs w:val="24"/>
        </w:rPr>
        <w:t>a</w:t>
      </w:r>
      <w:r w:rsidR="00B51E9D" w:rsidRPr="00AA6E10">
        <w:rPr>
          <w:rFonts w:cs="Times New Roman"/>
          <w:szCs w:val="24"/>
        </w:rPr>
        <w:t xml:space="preserve">s </w:t>
      </w:r>
      <w:r w:rsidR="00F0794E">
        <w:rPr>
          <w:rFonts w:cs="Times New Roman"/>
          <w:szCs w:val="24"/>
        </w:rPr>
        <w:t xml:space="preserve">demonstrações </w:t>
      </w:r>
      <w:r w:rsidR="00B51E9D" w:rsidRPr="00AA6E10">
        <w:rPr>
          <w:rFonts w:cs="Times New Roman"/>
          <w:szCs w:val="24"/>
        </w:rPr>
        <w:t xml:space="preserve">contábeis das </w:t>
      </w:r>
      <w:r w:rsidR="001F13FA">
        <w:rPr>
          <w:rFonts w:cs="Times New Roman"/>
          <w:szCs w:val="24"/>
        </w:rPr>
        <w:t>empresas</w:t>
      </w:r>
      <w:r w:rsidR="00B51E9D" w:rsidRPr="00AA6E10">
        <w:rPr>
          <w:rFonts w:cs="Times New Roman"/>
          <w:szCs w:val="24"/>
        </w:rPr>
        <w:t xml:space="preserve">. Esse </w:t>
      </w:r>
      <w:r w:rsidR="00B51E9D" w:rsidRPr="00AA6E10">
        <w:rPr>
          <w:rFonts w:cs="Times New Roman"/>
          <w:i/>
          <w:szCs w:val="24"/>
        </w:rPr>
        <w:t>disclosure</w:t>
      </w:r>
      <w:r w:rsidR="00B51E9D" w:rsidRPr="00AA6E10">
        <w:rPr>
          <w:rFonts w:cs="Times New Roman"/>
          <w:szCs w:val="24"/>
        </w:rPr>
        <w:t xml:space="preserve"> tem despertado o interesse de analistas, reguladores, investidores e outros profissionais ligados às </w:t>
      </w:r>
      <w:r w:rsidR="00F64128">
        <w:rPr>
          <w:rFonts w:cs="Times New Roman"/>
          <w:szCs w:val="24"/>
        </w:rPr>
        <w:t>empresas</w:t>
      </w:r>
      <w:r w:rsidR="00B51E9D" w:rsidRPr="00AA6E10">
        <w:rPr>
          <w:rFonts w:cs="Times New Roman"/>
          <w:szCs w:val="24"/>
        </w:rPr>
        <w:t xml:space="preserve"> inseridas no mercado de capitais, haja vista o qu</w:t>
      </w:r>
      <w:r w:rsidR="00B51E9D">
        <w:rPr>
          <w:rFonts w:cs="Times New Roman"/>
          <w:szCs w:val="24"/>
        </w:rPr>
        <w:t xml:space="preserve">ão relevante são </w:t>
      </w:r>
      <w:r w:rsidR="00B51E9D" w:rsidRPr="00AA6E10">
        <w:rPr>
          <w:rFonts w:cs="Times New Roman"/>
          <w:szCs w:val="24"/>
        </w:rPr>
        <w:t>os resultados contábeis destas.</w:t>
      </w:r>
    </w:p>
    <w:p w:rsidR="00B51E9D" w:rsidRDefault="00B51E9D" w:rsidP="00B51E9D">
      <w:pPr>
        <w:autoSpaceDE w:val="0"/>
        <w:autoSpaceDN w:val="0"/>
        <w:adjustRightInd w:val="0"/>
        <w:spacing w:line="360" w:lineRule="auto"/>
        <w:ind w:firstLine="709"/>
        <w:jc w:val="both"/>
        <w:rPr>
          <w:rFonts w:cs="Times New Roman"/>
          <w:szCs w:val="24"/>
        </w:rPr>
      </w:pPr>
      <w:r w:rsidRPr="00AA6E10">
        <w:rPr>
          <w:rFonts w:cs="Times New Roman"/>
          <w:szCs w:val="24"/>
        </w:rPr>
        <w:lastRenderedPageBreak/>
        <w:t xml:space="preserve">Nesse contexto, </w:t>
      </w:r>
      <w:proofErr w:type="spellStart"/>
      <w:r w:rsidRPr="00AA6E10">
        <w:rPr>
          <w:rFonts w:cs="Times New Roman"/>
          <w:szCs w:val="24"/>
        </w:rPr>
        <w:t>Raffaelliet</w:t>
      </w:r>
      <w:proofErr w:type="spellEnd"/>
      <w:r w:rsidRPr="00AA6E10">
        <w:rPr>
          <w:rFonts w:cs="Times New Roman"/>
          <w:szCs w:val="24"/>
        </w:rPr>
        <w:t xml:space="preserve"> </w:t>
      </w:r>
      <w:proofErr w:type="gramStart"/>
      <w:r w:rsidRPr="00850179">
        <w:rPr>
          <w:rFonts w:cs="Times New Roman"/>
          <w:i/>
          <w:szCs w:val="24"/>
        </w:rPr>
        <w:t>et</w:t>
      </w:r>
      <w:proofErr w:type="gramEnd"/>
      <w:r w:rsidRPr="00850179">
        <w:rPr>
          <w:rFonts w:cs="Times New Roman"/>
          <w:i/>
          <w:szCs w:val="24"/>
        </w:rPr>
        <w:t xml:space="preserve"> al</w:t>
      </w:r>
      <w:r w:rsidRPr="00AA6E10">
        <w:rPr>
          <w:rFonts w:cs="Times New Roman"/>
          <w:szCs w:val="24"/>
        </w:rPr>
        <w:t xml:space="preserve">. (2015) ressaltam que os relatórios contábeis </w:t>
      </w:r>
      <w:r w:rsidR="00F0794E">
        <w:rPr>
          <w:rFonts w:cs="Times New Roman"/>
          <w:szCs w:val="24"/>
        </w:rPr>
        <w:t xml:space="preserve">das empresas </w:t>
      </w:r>
      <w:r w:rsidRPr="00AA6E10">
        <w:rPr>
          <w:rFonts w:cs="Times New Roman"/>
          <w:szCs w:val="24"/>
        </w:rPr>
        <w:t xml:space="preserve">são gêneros de discurso com conteúdos informacionais que permitem a comunicação entre </w:t>
      </w:r>
      <w:r w:rsidR="00F0794E">
        <w:rPr>
          <w:rFonts w:cs="Times New Roman"/>
          <w:szCs w:val="24"/>
        </w:rPr>
        <w:t xml:space="preserve">a </w:t>
      </w:r>
      <w:r w:rsidRPr="00AA6E10">
        <w:rPr>
          <w:rFonts w:cs="Times New Roman"/>
          <w:szCs w:val="24"/>
        </w:rPr>
        <w:t>organização e as partes interessadas nos seus resultados socioeconômicos. Dessa maneira, os conteúdos dos relatórios contábeis podem ser utilizados como estratégia discursiva de legitimação organizacional, uma vez que por meio deles a organização descreve como suas ações econômic</w:t>
      </w:r>
      <w:r>
        <w:rPr>
          <w:rFonts w:cs="Times New Roman"/>
          <w:szCs w:val="24"/>
        </w:rPr>
        <w:t>o-financeiras</w:t>
      </w:r>
      <w:r w:rsidRPr="00AA6E10">
        <w:rPr>
          <w:rFonts w:cs="Times New Roman"/>
          <w:szCs w:val="24"/>
        </w:rPr>
        <w:t xml:space="preserve"> estão ligadas aos valores da sociedade (RICHARDSON, 1987; LINDBLOM, 1994; GRAHAM, 2013).</w:t>
      </w:r>
    </w:p>
    <w:p w:rsidR="00B51E9D" w:rsidRPr="008256CC" w:rsidRDefault="00B51E9D" w:rsidP="00B51E9D">
      <w:pPr>
        <w:autoSpaceDE w:val="0"/>
        <w:autoSpaceDN w:val="0"/>
        <w:adjustRightInd w:val="0"/>
        <w:spacing w:line="360" w:lineRule="auto"/>
        <w:ind w:firstLine="709"/>
        <w:jc w:val="both"/>
        <w:rPr>
          <w:rFonts w:cs="Times New Roman"/>
          <w:szCs w:val="24"/>
        </w:rPr>
      </w:pPr>
      <w:r w:rsidRPr="00AA6E10">
        <w:rPr>
          <w:rFonts w:cs="Times New Roman"/>
          <w:szCs w:val="24"/>
        </w:rPr>
        <w:t xml:space="preserve">Pires (2008) salienta </w:t>
      </w:r>
      <w:r>
        <w:rPr>
          <w:rFonts w:cs="Times New Roman"/>
          <w:szCs w:val="24"/>
        </w:rPr>
        <w:t>o</w:t>
      </w:r>
      <w:r w:rsidRPr="00AA6E10">
        <w:rPr>
          <w:rFonts w:cs="Times New Roman"/>
          <w:szCs w:val="24"/>
        </w:rPr>
        <w:t xml:space="preserve"> importante papel das informações contidas nas demonstrações contábeis, as quais podem se tornar valiosos instrumentos de avaliação da situação econômico-financeira de uma organização, </w:t>
      </w:r>
      <w:r w:rsidR="00167891">
        <w:rPr>
          <w:rFonts w:cs="Times New Roman"/>
          <w:szCs w:val="24"/>
        </w:rPr>
        <w:t xml:space="preserve">consoante </w:t>
      </w:r>
      <w:r w:rsidRPr="00AA6E10">
        <w:rPr>
          <w:rFonts w:cs="Times New Roman"/>
          <w:szCs w:val="24"/>
        </w:rPr>
        <w:t xml:space="preserve">os interesses dos diversos usuários dessas informações. Ou seja, cada um dos usuários dá enfoque diferente </w:t>
      </w:r>
      <w:r w:rsidR="00DC0C57">
        <w:rPr>
          <w:rFonts w:cs="Times New Roman"/>
          <w:szCs w:val="24"/>
        </w:rPr>
        <w:t>à</w:t>
      </w:r>
      <w:r w:rsidRPr="00AA6E10">
        <w:rPr>
          <w:rFonts w:cs="Times New Roman"/>
          <w:szCs w:val="24"/>
        </w:rPr>
        <w:t>s informações</w:t>
      </w:r>
      <w:r w:rsidR="00DC0C57">
        <w:rPr>
          <w:rFonts w:cs="Times New Roman"/>
          <w:szCs w:val="24"/>
        </w:rPr>
        <w:t xml:space="preserve"> </w:t>
      </w:r>
      <w:r w:rsidR="00273DAE">
        <w:rPr>
          <w:rFonts w:cs="Times New Roman"/>
          <w:szCs w:val="24"/>
        </w:rPr>
        <w:t>financeiras</w:t>
      </w:r>
      <w:r w:rsidRPr="00AA6E10">
        <w:rPr>
          <w:rFonts w:cs="Times New Roman"/>
          <w:szCs w:val="24"/>
        </w:rPr>
        <w:t>, dependendo do seu interesse e do tipo de relação com a empresa.</w:t>
      </w:r>
    </w:p>
    <w:p w:rsidR="00B51E9D" w:rsidRPr="00BF174F" w:rsidRDefault="00B51E9D" w:rsidP="00B51E9D">
      <w:pPr>
        <w:autoSpaceDE w:val="0"/>
        <w:autoSpaceDN w:val="0"/>
        <w:adjustRightInd w:val="0"/>
        <w:spacing w:line="360" w:lineRule="auto"/>
        <w:ind w:firstLine="709"/>
        <w:jc w:val="both"/>
        <w:rPr>
          <w:szCs w:val="24"/>
          <w:lang w:eastAsia="pt-BR"/>
        </w:rPr>
      </w:pPr>
      <w:r w:rsidRPr="00A1295D">
        <w:rPr>
          <w:szCs w:val="24"/>
          <w:lang w:eastAsia="pt-BR"/>
        </w:rPr>
        <w:t>Ponte, Oliveira e Moura (2007) informam que diversos estudos científicos têm revelado a preocupação com a divulgação de informações financeiras convergentes e amplas, envolvendo aspectos econômicos,</w:t>
      </w:r>
      <w:r w:rsidRPr="0018383E">
        <w:rPr>
          <w:szCs w:val="24"/>
          <w:lang w:eastAsia="pt-BR"/>
        </w:rPr>
        <w:t xml:space="preserve"> financeiros, sociais, ambientais, de produtividade e de gestão, entre outros. </w:t>
      </w:r>
      <w:r w:rsidR="00D23B98" w:rsidRPr="0018383E">
        <w:rPr>
          <w:szCs w:val="24"/>
          <w:lang w:eastAsia="pt-BR"/>
        </w:rPr>
        <w:t xml:space="preserve">A </w:t>
      </w:r>
      <w:r w:rsidR="00D23B98">
        <w:rPr>
          <w:szCs w:val="24"/>
          <w:lang w:eastAsia="pt-BR"/>
        </w:rPr>
        <w:t>relevância</w:t>
      </w:r>
      <w:r w:rsidR="00D23B98" w:rsidRPr="0018383E">
        <w:rPr>
          <w:szCs w:val="24"/>
          <w:lang w:eastAsia="pt-BR"/>
        </w:rPr>
        <w:t xml:space="preserve"> da evidenciação dessas informações e o acompanhamento de sua evolução estão</w:t>
      </w:r>
      <w:r w:rsidRPr="0018383E">
        <w:rPr>
          <w:szCs w:val="24"/>
          <w:lang w:eastAsia="pt-BR"/>
        </w:rPr>
        <w:t xml:space="preserve"> cada vez mais presente</w:t>
      </w:r>
      <w:r w:rsidR="00D23B98">
        <w:rPr>
          <w:szCs w:val="24"/>
          <w:lang w:eastAsia="pt-BR"/>
        </w:rPr>
        <w:t>s</w:t>
      </w:r>
      <w:r w:rsidRPr="0018383E">
        <w:rPr>
          <w:szCs w:val="24"/>
          <w:lang w:eastAsia="pt-BR"/>
        </w:rPr>
        <w:t xml:space="preserve"> nas discussões, tanto acadêmicas quanto empresariais e de órgãos, sej</w:t>
      </w:r>
      <w:r w:rsidRPr="00BF174F">
        <w:rPr>
          <w:szCs w:val="24"/>
          <w:lang w:eastAsia="pt-BR"/>
        </w:rPr>
        <w:t>am públicos ou privados, ligados ao mercado de capitais e aos profissionais que interagem direta ou indiretamente com esse mercado.</w:t>
      </w:r>
    </w:p>
    <w:p w:rsidR="00B51E9D" w:rsidRDefault="00B51E9D" w:rsidP="00B51E9D">
      <w:pPr>
        <w:autoSpaceDE w:val="0"/>
        <w:autoSpaceDN w:val="0"/>
        <w:adjustRightInd w:val="0"/>
        <w:spacing w:line="360" w:lineRule="auto"/>
        <w:ind w:firstLine="709"/>
        <w:jc w:val="both"/>
        <w:rPr>
          <w:rFonts w:cs="Times New Roman"/>
          <w:szCs w:val="24"/>
          <w:lang w:eastAsia="pt-BR"/>
        </w:rPr>
      </w:pPr>
      <w:r w:rsidRPr="0018383E">
        <w:rPr>
          <w:szCs w:val="24"/>
          <w:lang w:eastAsia="pt-BR"/>
        </w:rPr>
        <w:t xml:space="preserve">Conforme Bueno (1999), a </w:t>
      </w:r>
      <w:r>
        <w:rPr>
          <w:szCs w:val="24"/>
          <w:lang w:eastAsia="pt-BR"/>
        </w:rPr>
        <w:t xml:space="preserve">evidenciação </w:t>
      </w:r>
      <w:r w:rsidRPr="0018383E">
        <w:rPr>
          <w:szCs w:val="24"/>
          <w:lang w:eastAsia="pt-BR"/>
        </w:rPr>
        <w:t>de informações financeiras não precisa ser necessariamente legal ou formal, pode ser vol</w:t>
      </w:r>
      <w:r w:rsidRPr="002D2DBC">
        <w:rPr>
          <w:szCs w:val="24"/>
          <w:lang w:eastAsia="pt-BR"/>
        </w:rPr>
        <w:t>untária ou informal, isto é, “que excedam o requerido”. Para o autor, o fundamental é que as informações sejam as mesmas para todos, a fim de que sejam evitadas práticas condenáveis de acesso a informações privilegiadas.</w:t>
      </w:r>
      <w:r>
        <w:rPr>
          <w:szCs w:val="24"/>
          <w:lang w:eastAsia="pt-BR"/>
        </w:rPr>
        <w:t xml:space="preserve"> </w:t>
      </w:r>
      <w:r w:rsidR="00D23B98">
        <w:rPr>
          <w:szCs w:val="24"/>
          <w:lang w:eastAsia="pt-BR"/>
        </w:rPr>
        <w:t xml:space="preserve">Nesse ponto nota-se </w:t>
      </w:r>
      <w:r w:rsidRPr="005E65AB">
        <w:rPr>
          <w:rFonts w:cs="Times New Roman"/>
          <w:szCs w:val="24"/>
        </w:rPr>
        <w:t>que o</w:t>
      </w:r>
      <w:r w:rsidRPr="005E65AB">
        <w:rPr>
          <w:rFonts w:cs="Times New Roman"/>
          <w:szCs w:val="24"/>
          <w:lang w:eastAsia="pt-BR"/>
        </w:rPr>
        <w:t xml:space="preserve"> poder informacional contido nas demonstrações contábeis das </w:t>
      </w:r>
      <w:r w:rsidR="00D23B98">
        <w:rPr>
          <w:rFonts w:cs="Times New Roman"/>
          <w:szCs w:val="24"/>
          <w:lang w:eastAsia="pt-BR"/>
        </w:rPr>
        <w:t xml:space="preserve">empresas </w:t>
      </w:r>
      <w:r w:rsidRPr="00095BC9">
        <w:rPr>
          <w:rFonts w:cs="Times New Roman"/>
          <w:szCs w:val="24"/>
          <w:lang w:eastAsia="pt-BR"/>
        </w:rPr>
        <w:t>é de elevada importância para os tomadores de decisões inser</w:t>
      </w:r>
      <w:r w:rsidRPr="000F76E2">
        <w:rPr>
          <w:rFonts w:cs="Times New Roman"/>
          <w:szCs w:val="24"/>
          <w:lang w:eastAsia="pt-BR"/>
        </w:rPr>
        <w:t>idos nos mercado</w:t>
      </w:r>
      <w:r w:rsidRPr="00D92E7A">
        <w:rPr>
          <w:rFonts w:cs="Times New Roman"/>
          <w:szCs w:val="24"/>
          <w:lang w:eastAsia="pt-BR"/>
        </w:rPr>
        <w:t>s financeiros</w:t>
      </w:r>
      <w:r>
        <w:rPr>
          <w:rFonts w:cs="Times New Roman"/>
          <w:szCs w:val="24"/>
          <w:lang w:eastAsia="pt-BR"/>
        </w:rPr>
        <w:t>.</w:t>
      </w:r>
    </w:p>
    <w:p w:rsidR="00B51E9D" w:rsidRPr="00070E4B" w:rsidRDefault="00B51E9D" w:rsidP="00B51E9D">
      <w:pPr>
        <w:autoSpaceDE w:val="0"/>
        <w:autoSpaceDN w:val="0"/>
        <w:adjustRightInd w:val="0"/>
        <w:spacing w:line="360" w:lineRule="auto"/>
        <w:ind w:firstLine="709"/>
        <w:jc w:val="both"/>
        <w:rPr>
          <w:rFonts w:eastAsia="Times New Roman" w:cs="Times New Roman"/>
          <w:szCs w:val="24"/>
          <w:lang w:eastAsia="pt-BR"/>
        </w:rPr>
      </w:pPr>
      <w:r w:rsidRPr="00095BC9">
        <w:rPr>
          <w:rFonts w:cs="Times New Roman"/>
          <w:szCs w:val="24"/>
          <w:lang w:eastAsia="pt-BR"/>
        </w:rPr>
        <w:t>Tendo em vista a importância do provimento de subsídios</w:t>
      </w:r>
      <w:r w:rsidR="00495A2B">
        <w:rPr>
          <w:rFonts w:cs="Times New Roman"/>
          <w:szCs w:val="24"/>
          <w:lang w:eastAsia="pt-BR"/>
        </w:rPr>
        <w:t xml:space="preserve"> à tomada de decisões econômico-financeiras</w:t>
      </w:r>
      <w:r w:rsidRPr="00095BC9">
        <w:rPr>
          <w:rFonts w:cs="Times New Roman"/>
          <w:szCs w:val="24"/>
          <w:lang w:eastAsia="pt-BR"/>
        </w:rPr>
        <w:t xml:space="preserve"> </w:t>
      </w:r>
      <w:r w:rsidR="00495A2B">
        <w:rPr>
          <w:rFonts w:cs="Times New Roman"/>
          <w:szCs w:val="24"/>
          <w:lang w:eastAsia="pt-BR"/>
        </w:rPr>
        <w:t xml:space="preserve">pelos </w:t>
      </w:r>
      <w:r w:rsidRPr="00095BC9">
        <w:rPr>
          <w:rFonts w:cs="Times New Roman"/>
          <w:szCs w:val="24"/>
          <w:lang w:eastAsia="pt-BR"/>
        </w:rPr>
        <w:t xml:space="preserve">usuários dessas </w:t>
      </w:r>
      <w:r w:rsidRPr="007E6C6F">
        <w:rPr>
          <w:rFonts w:cs="Times New Roman"/>
          <w:szCs w:val="24"/>
          <w:lang w:eastAsia="pt-BR"/>
        </w:rPr>
        <w:t>demonstrações</w:t>
      </w:r>
      <w:r w:rsidRPr="000373BA">
        <w:rPr>
          <w:rFonts w:cs="Times New Roman"/>
          <w:szCs w:val="24"/>
          <w:lang w:eastAsia="pt-BR"/>
        </w:rPr>
        <w:t xml:space="preserve">, torna-se </w:t>
      </w:r>
      <w:r w:rsidRPr="007D5FA3">
        <w:rPr>
          <w:rFonts w:cs="Times New Roman"/>
          <w:szCs w:val="24"/>
          <w:lang w:eastAsia="pt-BR"/>
        </w:rPr>
        <w:t xml:space="preserve">latente aprofundar os estudos </w:t>
      </w:r>
      <w:r w:rsidRPr="007E2E0B">
        <w:rPr>
          <w:rFonts w:cs="Times New Roman"/>
          <w:szCs w:val="24"/>
          <w:lang w:eastAsia="pt-BR"/>
        </w:rPr>
        <w:t>que tange</w:t>
      </w:r>
      <w:r w:rsidR="00F51A0C">
        <w:rPr>
          <w:rFonts w:cs="Times New Roman"/>
          <w:szCs w:val="24"/>
          <w:lang w:eastAsia="pt-BR"/>
        </w:rPr>
        <w:t>nciam a</w:t>
      </w:r>
      <w:r w:rsidRPr="00070E4B">
        <w:rPr>
          <w:rFonts w:cs="Times New Roman"/>
          <w:szCs w:val="24"/>
          <w:lang w:eastAsia="pt-BR"/>
        </w:rPr>
        <w:t xml:space="preserve"> relevância e utilidade das informações financeiras</w:t>
      </w:r>
      <w:r w:rsidR="00F51A0C">
        <w:rPr>
          <w:rFonts w:cs="Times New Roman"/>
          <w:szCs w:val="24"/>
          <w:lang w:eastAsia="pt-BR"/>
        </w:rPr>
        <w:t xml:space="preserve"> das empresas no mercado de capitais brasileiro</w:t>
      </w:r>
      <w:r w:rsidRPr="00070E4B">
        <w:rPr>
          <w:rFonts w:cs="Times New Roman"/>
          <w:szCs w:val="24"/>
          <w:lang w:eastAsia="pt-BR"/>
        </w:rPr>
        <w:t xml:space="preserve">. Além disso, o CPC (2011) </w:t>
      </w:r>
      <w:r w:rsidR="007257A0">
        <w:rPr>
          <w:rFonts w:cs="Times New Roman"/>
          <w:szCs w:val="24"/>
          <w:lang w:eastAsia="pt-BR"/>
        </w:rPr>
        <w:t xml:space="preserve">veio </w:t>
      </w:r>
      <w:r w:rsidRPr="00070E4B">
        <w:rPr>
          <w:rFonts w:cs="Times New Roman"/>
          <w:szCs w:val="24"/>
          <w:lang w:eastAsia="pt-BR"/>
        </w:rPr>
        <w:t>corrobora</w:t>
      </w:r>
      <w:r w:rsidR="007257A0">
        <w:rPr>
          <w:rFonts w:cs="Times New Roman"/>
          <w:szCs w:val="24"/>
          <w:lang w:eastAsia="pt-BR"/>
        </w:rPr>
        <w:t>r</w:t>
      </w:r>
      <w:r w:rsidRPr="00070E4B">
        <w:rPr>
          <w:rFonts w:cs="Times New Roman"/>
          <w:szCs w:val="24"/>
          <w:lang w:eastAsia="pt-BR"/>
        </w:rPr>
        <w:t xml:space="preserve"> que </w:t>
      </w:r>
      <w:r w:rsidR="007257A0">
        <w:rPr>
          <w:rFonts w:cs="Times New Roman"/>
          <w:szCs w:val="24"/>
          <w:lang w:eastAsia="pt-BR"/>
        </w:rPr>
        <w:t xml:space="preserve">a </w:t>
      </w:r>
      <w:r w:rsidRPr="00070E4B">
        <w:rPr>
          <w:rFonts w:cs="Times New Roman"/>
          <w:szCs w:val="24"/>
          <w:lang w:eastAsia="pt-BR"/>
        </w:rPr>
        <w:t>i</w:t>
      </w:r>
      <w:r w:rsidRPr="00070E4B">
        <w:rPr>
          <w:rFonts w:eastAsia="Times New Roman" w:cs="Times New Roman"/>
          <w:szCs w:val="24"/>
          <w:lang w:eastAsia="pt-BR"/>
        </w:rPr>
        <w:t xml:space="preserve">nformação contábil-financeira relevante seria aquela capaz de fazer diferença nas decisões </w:t>
      </w:r>
      <w:r w:rsidR="007257A0">
        <w:rPr>
          <w:rFonts w:eastAsia="Times New Roman" w:cs="Times New Roman"/>
          <w:szCs w:val="24"/>
          <w:lang w:eastAsia="pt-BR"/>
        </w:rPr>
        <w:t xml:space="preserve">a serem </w:t>
      </w:r>
      <w:r w:rsidRPr="00070E4B">
        <w:rPr>
          <w:rFonts w:eastAsia="Times New Roman" w:cs="Times New Roman"/>
          <w:szCs w:val="24"/>
          <w:lang w:eastAsia="pt-BR"/>
        </w:rPr>
        <w:t xml:space="preserve">tomadas pelos </w:t>
      </w:r>
      <w:r w:rsidR="007257A0">
        <w:rPr>
          <w:rFonts w:eastAsia="Times New Roman" w:cs="Times New Roman"/>
          <w:szCs w:val="24"/>
          <w:lang w:eastAsia="pt-BR"/>
        </w:rPr>
        <w:t xml:space="preserve">diversos </w:t>
      </w:r>
      <w:r w:rsidRPr="00070E4B">
        <w:rPr>
          <w:rFonts w:eastAsia="Times New Roman" w:cs="Times New Roman"/>
          <w:szCs w:val="24"/>
          <w:lang w:eastAsia="pt-BR"/>
        </w:rPr>
        <w:t>usuários</w:t>
      </w:r>
      <w:r w:rsidR="007257A0">
        <w:rPr>
          <w:rFonts w:eastAsia="Times New Roman" w:cs="Times New Roman"/>
          <w:szCs w:val="24"/>
          <w:lang w:eastAsia="pt-BR"/>
        </w:rPr>
        <w:t xml:space="preserve"> inseridos no mercado</w:t>
      </w:r>
      <w:r w:rsidRPr="00070E4B">
        <w:rPr>
          <w:rFonts w:eastAsia="Times New Roman" w:cs="Times New Roman"/>
          <w:szCs w:val="24"/>
          <w:lang w:eastAsia="pt-BR"/>
        </w:rPr>
        <w:t>.</w:t>
      </w:r>
      <w:r w:rsidR="00D627F5">
        <w:rPr>
          <w:rFonts w:eastAsia="Times New Roman" w:cs="Times New Roman"/>
          <w:szCs w:val="24"/>
          <w:lang w:eastAsia="pt-BR"/>
        </w:rPr>
        <w:t xml:space="preserve"> </w:t>
      </w:r>
      <w:r w:rsidR="00DC3007">
        <w:rPr>
          <w:rFonts w:eastAsia="Times New Roman" w:cs="Times New Roman"/>
          <w:szCs w:val="24"/>
          <w:lang w:eastAsia="pt-BR"/>
        </w:rPr>
        <w:t>P</w:t>
      </w:r>
      <w:r w:rsidRPr="005E65AB">
        <w:rPr>
          <w:rFonts w:eastAsia="Times New Roman" w:cs="Times New Roman"/>
          <w:szCs w:val="24"/>
          <w:lang w:eastAsia="pt-BR"/>
        </w:rPr>
        <w:t xml:space="preserve">ara Barth, </w:t>
      </w:r>
      <w:proofErr w:type="spellStart"/>
      <w:r w:rsidRPr="005E65AB">
        <w:rPr>
          <w:rFonts w:eastAsia="Times New Roman" w:cs="Times New Roman"/>
          <w:szCs w:val="24"/>
          <w:lang w:eastAsia="pt-BR"/>
        </w:rPr>
        <w:t>Beaver</w:t>
      </w:r>
      <w:proofErr w:type="spellEnd"/>
      <w:r w:rsidRPr="005E65AB">
        <w:rPr>
          <w:rFonts w:eastAsia="Times New Roman" w:cs="Times New Roman"/>
          <w:szCs w:val="24"/>
          <w:lang w:eastAsia="pt-BR"/>
        </w:rPr>
        <w:t xml:space="preserve"> e </w:t>
      </w:r>
      <w:proofErr w:type="spellStart"/>
      <w:r w:rsidRPr="005E65AB">
        <w:rPr>
          <w:rFonts w:eastAsia="Times New Roman" w:cs="Times New Roman"/>
          <w:szCs w:val="24"/>
          <w:lang w:eastAsia="pt-BR"/>
        </w:rPr>
        <w:t>Landsman</w:t>
      </w:r>
      <w:proofErr w:type="spellEnd"/>
      <w:r w:rsidRPr="005E65AB">
        <w:rPr>
          <w:rFonts w:eastAsia="Times New Roman" w:cs="Times New Roman"/>
          <w:szCs w:val="24"/>
          <w:lang w:eastAsia="pt-BR"/>
        </w:rPr>
        <w:t xml:space="preserve"> (2001), os</w:t>
      </w:r>
      <w:r w:rsidRPr="00070E4B">
        <w:rPr>
          <w:rFonts w:eastAsia="Times New Roman" w:cs="Times New Roman"/>
          <w:szCs w:val="24"/>
          <w:lang w:eastAsia="pt-BR"/>
        </w:rPr>
        <w:t xml:space="preserve"> números contábeis serão considerados relevantes caso tenham sido utilizados pelos investidores, influenciando estes em suas tomadas de decisões. </w:t>
      </w:r>
      <w:r w:rsidRPr="001B23CE">
        <w:rPr>
          <w:rFonts w:eastAsia="Times New Roman" w:cs="Times New Roman"/>
          <w:szCs w:val="24"/>
          <w:lang w:eastAsia="pt-BR"/>
        </w:rPr>
        <w:t>Por isso, esse foi o</w:t>
      </w:r>
      <w:r w:rsidRPr="005E65AB">
        <w:rPr>
          <w:rFonts w:eastAsia="Times New Roman" w:cs="Times New Roman"/>
          <w:szCs w:val="24"/>
          <w:lang w:eastAsia="pt-BR"/>
        </w:rPr>
        <w:t xml:space="preserve"> </w:t>
      </w:r>
      <w:r w:rsidRPr="00070E4B">
        <w:rPr>
          <w:rFonts w:eastAsia="Times New Roman" w:cs="Times New Roman"/>
          <w:szCs w:val="24"/>
          <w:lang w:eastAsia="pt-BR"/>
        </w:rPr>
        <w:t xml:space="preserve">foco do </w:t>
      </w:r>
      <w:r w:rsidRPr="00070E4B">
        <w:rPr>
          <w:rFonts w:eastAsia="Times New Roman" w:cs="Times New Roman"/>
          <w:szCs w:val="24"/>
          <w:lang w:eastAsia="pt-BR"/>
        </w:rPr>
        <w:lastRenderedPageBreak/>
        <w:t>presente estudo</w:t>
      </w:r>
      <w:r w:rsidRPr="001B23CE">
        <w:rPr>
          <w:rFonts w:eastAsia="Times New Roman" w:cs="Times New Roman"/>
          <w:szCs w:val="24"/>
          <w:lang w:eastAsia="pt-BR"/>
        </w:rPr>
        <w:t xml:space="preserve"> </w:t>
      </w:r>
      <w:r w:rsidRPr="005E65AB">
        <w:rPr>
          <w:rFonts w:eastAsia="Times New Roman" w:cs="Times New Roman"/>
          <w:szCs w:val="24"/>
          <w:lang w:eastAsia="pt-BR"/>
        </w:rPr>
        <w:t>–</w:t>
      </w:r>
      <w:r w:rsidRPr="00070E4B">
        <w:rPr>
          <w:rFonts w:eastAsia="Times New Roman" w:cs="Times New Roman"/>
          <w:szCs w:val="24"/>
          <w:lang w:eastAsia="pt-BR"/>
        </w:rPr>
        <w:t xml:space="preserve"> averiguar se as informações contidas </w:t>
      </w:r>
      <w:r w:rsidR="006B3B37" w:rsidRPr="00070E4B">
        <w:rPr>
          <w:rFonts w:eastAsia="Times New Roman" w:cs="Times New Roman"/>
          <w:szCs w:val="24"/>
          <w:lang w:eastAsia="pt-BR"/>
        </w:rPr>
        <w:t>n</w:t>
      </w:r>
      <w:r w:rsidR="006B3B37">
        <w:rPr>
          <w:rFonts w:eastAsia="Times New Roman" w:cs="Times New Roman"/>
          <w:szCs w:val="24"/>
          <w:lang w:eastAsia="pt-BR"/>
        </w:rPr>
        <w:t>a Demonstração do</w:t>
      </w:r>
      <w:r w:rsidR="006B3B37" w:rsidRPr="00070E4B">
        <w:rPr>
          <w:rFonts w:eastAsia="Times New Roman" w:cs="Times New Roman"/>
          <w:szCs w:val="24"/>
          <w:lang w:eastAsia="pt-BR"/>
        </w:rPr>
        <w:t xml:space="preserve"> </w:t>
      </w:r>
      <w:r w:rsidR="006B3B37">
        <w:rPr>
          <w:rFonts w:eastAsia="Times New Roman" w:cs="Times New Roman"/>
          <w:szCs w:val="24"/>
          <w:lang w:eastAsia="pt-BR"/>
        </w:rPr>
        <w:t>R</w:t>
      </w:r>
      <w:r w:rsidR="006B3B37" w:rsidRPr="00070E4B">
        <w:rPr>
          <w:rFonts w:eastAsia="Times New Roman" w:cs="Times New Roman"/>
          <w:szCs w:val="24"/>
          <w:lang w:eastAsia="pt-BR"/>
        </w:rPr>
        <w:t xml:space="preserve">esultado </w:t>
      </w:r>
      <w:r w:rsidR="006B3B37">
        <w:rPr>
          <w:rFonts w:eastAsia="Times New Roman" w:cs="Times New Roman"/>
          <w:szCs w:val="24"/>
          <w:lang w:eastAsia="pt-BR"/>
        </w:rPr>
        <w:t>A</w:t>
      </w:r>
      <w:r w:rsidR="006B3B37" w:rsidRPr="00070E4B">
        <w:rPr>
          <w:rFonts w:eastAsia="Times New Roman" w:cs="Times New Roman"/>
          <w:szCs w:val="24"/>
          <w:lang w:eastAsia="pt-BR"/>
        </w:rPr>
        <w:t xml:space="preserve">brangente </w:t>
      </w:r>
      <w:r w:rsidRPr="00070E4B">
        <w:rPr>
          <w:rFonts w:eastAsia="Times New Roman" w:cs="Times New Roman"/>
          <w:szCs w:val="24"/>
          <w:lang w:eastAsia="pt-BR"/>
        </w:rPr>
        <w:t xml:space="preserve">são relevantes para a tomada de decisão no mercado de capitais do Brasil. </w:t>
      </w:r>
    </w:p>
    <w:p w:rsidR="00B51E9D" w:rsidRPr="00070E4B" w:rsidRDefault="00B51E9D" w:rsidP="00B51E9D">
      <w:pPr>
        <w:autoSpaceDE w:val="0"/>
        <w:autoSpaceDN w:val="0"/>
        <w:adjustRightInd w:val="0"/>
        <w:spacing w:line="360" w:lineRule="auto"/>
        <w:jc w:val="both"/>
        <w:rPr>
          <w:lang w:val="pt-PT"/>
        </w:rPr>
      </w:pPr>
    </w:p>
    <w:p w:rsidR="00B51E9D" w:rsidRPr="00070E4B" w:rsidRDefault="00B51E9D" w:rsidP="00B51E9D">
      <w:pPr>
        <w:autoSpaceDE w:val="0"/>
        <w:autoSpaceDN w:val="0"/>
        <w:adjustRightInd w:val="0"/>
        <w:spacing w:line="360" w:lineRule="auto"/>
        <w:jc w:val="both"/>
        <w:rPr>
          <w:rFonts w:cs="Times New Roman"/>
          <w:b/>
          <w:szCs w:val="24"/>
        </w:rPr>
      </w:pPr>
      <w:r w:rsidRPr="00070E4B">
        <w:rPr>
          <w:rFonts w:cs="Times New Roman"/>
          <w:b/>
          <w:szCs w:val="24"/>
        </w:rPr>
        <w:t xml:space="preserve">2.2 A </w:t>
      </w:r>
      <w:r>
        <w:rPr>
          <w:rFonts w:cs="Times New Roman"/>
          <w:b/>
          <w:szCs w:val="24"/>
        </w:rPr>
        <w:t>Relevância</w:t>
      </w:r>
      <w:r w:rsidRPr="00070E4B">
        <w:rPr>
          <w:rFonts w:cs="Times New Roman"/>
          <w:b/>
          <w:szCs w:val="24"/>
        </w:rPr>
        <w:t xml:space="preserve"> d</w:t>
      </w:r>
      <w:r>
        <w:rPr>
          <w:rFonts w:cs="Times New Roman"/>
          <w:b/>
          <w:szCs w:val="24"/>
        </w:rPr>
        <w:t>o</w:t>
      </w:r>
      <w:r w:rsidR="006B3B37">
        <w:rPr>
          <w:rFonts w:cs="Times New Roman"/>
          <w:b/>
          <w:szCs w:val="24"/>
        </w:rPr>
        <w:t>s Outros</w:t>
      </w:r>
      <w:r w:rsidRPr="00070E4B">
        <w:rPr>
          <w:rFonts w:cs="Times New Roman"/>
          <w:b/>
          <w:szCs w:val="24"/>
        </w:rPr>
        <w:t xml:space="preserve"> Resultado</w:t>
      </w:r>
      <w:r w:rsidR="006B3B37">
        <w:rPr>
          <w:rFonts w:cs="Times New Roman"/>
          <w:b/>
          <w:szCs w:val="24"/>
        </w:rPr>
        <w:t>s</w:t>
      </w:r>
      <w:r w:rsidRPr="00070E4B">
        <w:rPr>
          <w:rFonts w:cs="Times New Roman"/>
          <w:b/>
          <w:szCs w:val="24"/>
        </w:rPr>
        <w:t xml:space="preserve"> Abrangente</w:t>
      </w:r>
      <w:r w:rsidR="006B3B37">
        <w:rPr>
          <w:rFonts w:cs="Times New Roman"/>
          <w:b/>
          <w:szCs w:val="24"/>
        </w:rPr>
        <w:t>s</w:t>
      </w:r>
    </w:p>
    <w:p w:rsidR="00B51E9D" w:rsidRDefault="00B51E9D" w:rsidP="00B51E9D">
      <w:pPr>
        <w:autoSpaceDE w:val="0"/>
        <w:autoSpaceDN w:val="0"/>
        <w:adjustRightInd w:val="0"/>
        <w:spacing w:line="360" w:lineRule="auto"/>
        <w:ind w:firstLine="709"/>
        <w:jc w:val="both"/>
        <w:rPr>
          <w:rFonts w:eastAsia="Times New Roman" w:cs="Times New Roman"/>
          <w:szCs w:val="24"/>
          <w:lang w:eastAsia="pt-BR"/>
        </w:rPr>
      </w:pPr>
      <w:r w:rsidRPr="003906A2">
        <w:rPr>
          <w:rFonts w:cs="Times New Roman"/>
          <w:szCs w:val="24"/>
        </w:rPr>
        <w:t>Diante d</w:t>
      </w:r>
      <w:r>
        <w:rPr>
          <w:rFonts w:cs="Times New Roman"/>
          <w:szCs w:val="24"/>
        </w:rPr>
        <w:t>o</w:t>
      </w:r>
      <w:r w:rsidRPr="0045153A">
        <w:rPr>
          <w:rFonts w:cs="Times New Roman"/>
          <w:szCs w:val="24"/>
        </w:rPr>
        <w:t xml:space="preserve"> contexto</w:t>
      </w:r>
      <w:r>
        <w:rPr>
          <w:rFonts w:cs="Times New Roman"/>
          <w:szCs w:val="24"/>
        </w:rPr>
        <w:t xml:space="preserve"> de relevância das informações contábil-financeiras</w:t>
      </w:r>
      <w:r w:rsidRPr="0045153A">
        <w:rPr>
          <w:rFonts w:cs="Times New Roman"/>
          <w:szCs w:val="24"/>
        </w:rPr>
        <w:t>, Lourenço, Santos e Silva (2016, p.4) ressaltam que “a</w:t>
      </w:r>
      <w:r w:rsidRPr="00070E4B">
        <w:rPr>
          <w:rFonts w:eastAsia="Times New Roman" w:cs="Times New Roman"/>
          <w:szCs w:val="24"/>
          <w:lang w:eastAsia="pt-BR"/>
        </w:rPr>
        <w:t>s práticas contábeis adotadas no Brasil sofreram profunda reformulação após a aprovação da Lei 11.638/2007”. De acordo com estes autores (p.4), “além da introdução de novas sistemáticas de reconhecimento, mensuração e evidenciação foram introduzidas novas demonstrações contábeis obrigatórias, tais como a Demonstração de Resultado Abrangente”.</w:t>
      </w:r>
    </w:p>
    <w:p w:rsidR="00B51E9D" w:rsidRDefault="00B51E9D" w:rsidP="00B51E9D">
      <w:pPr>
        <w:autoSpaceDE w:val="0"/>
        <w:autoSpaceDN w:val="0"/>
        <w:adjustRightInd w:val="0"/>
        <w:spacing w:line="360" w:lineRule="auto"/>
        <w:ind w:firstLine="709"/>
        <w:jc w:val="both"/>
      </w:pPr>
      <w:r>
        <w:rPr>
          <w:szCs w:val="24"/>
          <w:lang w:eastAsia="pt-BR"/>
        </w:rPr>
        <w:t xml:space="preserve">No entanto, </w:t>
      </w:r>
      <w:r>
        <w:t>e</w:t>
      </w:r>
      <w:r w:rsidRPr="00B7301F">
        <w:t>m virtude do período de tempo no qual a DRA passou a se tornar obrigatória no Brasil, poucos estudos foram publicados a respeito</w:t>
      </w:r>
      <w:r>
        <w:t>.</w:t>
      </w:r>
      <w:r w:rsidRPr="00B7301F">
        <w:t xml:space="preserve"> </w:t>
      </w:r>
      <w:r>
        <w:t>E</w:t>
      </w:r>
      <w:r w:rsidRPr="00B7301F">
        <w:t>m geral,</w:t>
      </w:r>
      <w:r>
        <w:t xml:space="preserve"> estes estudos </w:t>
      </w:r>
      <w:r w:rsidRPr="00B7301F">
        <w:t xml:space="preserve">assemelham-se às </w:t>
      </w:r>
      <w:proofErr w:type="gramStart"/>
      <w:r w:rsidRPr="00B7301F">
        <w:t>publicações internacionais incluindo</w:t>
      </w:r>
      <w:r>
        <w:t>,</w:t>
      </w:r>
      <w:r w:rsidRPr="00B7301F">
        <w:t xml:space="preserve"> principalmente</w:t>
      </w:r>
      <w:r>
        <w:t>,</w:t>
      </w:r>
      <w:r w:rsidRPr="00B7301F">
        <w:t xml:space="preserve"> análise do mercado norte americano</w:t>
      </w:r>
      <w:proofErr w:type="gramEnd"/>
      <w:r w:rsidRPr="00B7301F">
        <w:t xml:space="preserve">. Esses trabalhos (internacionais) no geral fizeram um apanhado considerando a relevância das informações contábeis de forma comparativa, entre o Lucro Líquido (LL) e </w:t>
      </w:r>
      <w:r>
        <w:t>Outros</w:t>
      </w:r>
      <w:r w:rsidRPr="00B7301F">
        <w:t xml:space="preserve"> Resultado</w:t>
      </w:r>
      <w:r>
        <w:t>s</w:t>
      </w:r>
      <w:r w:rsidRPr="00B7301F">
        <w:t xml:space="preserve"> Abrangente</w:t>
      </w:r>
      <w:r>
        <w:t>s</w:t>
      </w:r>
      <w:r w:rsidRPr="00B7301F">
        <w:t xml:space="preserve"> (</w:t>
      </w:r>
      <w:r>
        <w:t>O</w:t>
      </w:r>
      <w:r w:rsidRPr="00B7301F">
        <w:t>RA)</w:t>
      </w:r>
      <w:r>
        <w:t xml:space="preserve">, apresentando </w:t>
      </w:r>
      <w:r w:rsidRPr="00B7301F">
        <w:t>resultados conflitantes a depender de diversos fatores conjunturais para a modelagem dos dados coletados.</w:t>
      </w:r>
    </w:p>
    <w:p w:rsidR="00B51E9D" w:rsidRPr="00070E4B" w:rsidRDefault="00B51E9D" w:rsidP="00B51E9D">
      <w:pPr>
        <w:autoSpaceDE w:val="0"/>
        <w:autoSpaceDN w:val="0"/>
        <w:adjustRightInd w:val="0"/>
        <w:spacing w:line="360" w:lineRule="auto"/>
        <w:ind w:firstLine="709"/>
        <w:jc w:val="both"/>
        <w:rPr>
          <w:rFonts w:eastAsia="Times New Roman" w:cs="Times New Roman"/>
          <w:szCs w:val="24"/>
          <w:lang w:eastAsia="pt-BR"/>
        </w:rPr>
      </w:pPr>
      <w:r w:rsidRPr="009D1EE3">
        <w:rPr>
          <w:rFonts w:cs="Times New Roman"/>
          <w:szCs w:val="24"/>
        </w:rPr>
        <w:t xml:space="preserve">Cabe salientar que </w:t>
      </w:r>
      <w:r w:rsidRPr="00B067D9">
        <w:rPr>
          <w:rFonts w:cs="Times New Roman"/>
          <w:szCs w:val="24"/>
        </w:rPr>
        <w:t>os ORA são</w:t>
      </w:r>
      <w:r w:rsidRPr="00191DDF">
        <w:rPr>
          <w:rFonts w:cs="Times New Roman"/>
          <w:szCs w:val="24"/>
        </w:rPr>
        <w:t xml:space="preserve"> “</w:t>
      </w:r>
      <w:r w:rsidRPr="00070E4B">
        <w:rPr>
          <w:rFonts w:eastAsia="Times New Roman" w:cs="Times New Roman"/>
          <w:szCs w:val="24"/>
          <w:lang w:eastAsia="pt-BR"/>
        </w:rPr>
        <w:t xml:space="preserve">itens de receita e despesa (incluindo ajustes de reclassificação) que não são reconhecidos na demonstração do resultado como requerido ou permitido pelos Pronunciamentos, Interpretações e Orientações emitidos pelo CPC” (CPC, 2011). Complementa-se que, consoante ao </w:t>
      </w:r>
      <w:r w:rsidRPr="009D1EE3">
        <w:rPr>
          <w:rFonts w:eastAsia="Times New Roman" w:cs="Times New Roman"/>
          <w:szCs w:val="24"/>
          <w:lang w:eastAsia="pt-BR"/>
        </w:rPr>
        <w:t xml:space="preserve">Pronunciamento Técnico CPC 26 </w:t>
      </w:r>
      <w:r w:rsidRPr="005D6D25">
        <w:rPr>
          <w:rFonts w:eastAsia="Times New Roman" w:cs="Times New Roman"/>
          <w:szCs w:val="24"/>
          <w:lang w:eastAsia="pt-BR"/>
        </w:rPr>
        <w:t xml:space="preserve">– </w:t>
      </w:r>
      <w:r w:rsidRPr="00B067D9">
        <w:rPr>
          <w:rFonts w:eastAsia="Times New Roman" w:cs="Times New Roman"/>
          <w:szCs w:val="24"/>
          <w:lang w:eastAsia="pt-BR"/>
        </w:rPr>
        <w:t xml:space="preserve">R1 (CPC, 2011), </w:t>
      </w:r>
      <w:r w:rsidRPr="00070E4B">
        <w:rPr>
          <w:rFonts w:eastAsia="Times New Roman" w:cs="Times New Roman"/>
          <w:szCs w:val="24"/>
          <w:lang w:eastAsia="pt-BR"/>
        </w:rPr>
        <w:t xml:space="preserve">os componentes dos outros resultados abrangentes incluem: (a) variações na reserva de reavaliação, quando permitidas legalmente; (b) ganhos e perdas atuariais em planos de pensão com benefício definido; (c) ganhos e perdas derivados de conversão de demonstrações contábeis de operações no exterior; (d) ganhos e perdas na </w:t>
      </w:r>
      <w:proofErr w:type="spellStart"/>
      <w:r w:rsidRPr="00070E4B">
        <w:rPr>
          <w:rFonts w:eastAsia="Times New Roman" w:cs="Times New Roman"/>
          <w:szCs w:val="24"/>
          <w:lang w:eastAsia="pt-BR"/>
        </w:rPr>
        <w:t>remensuração</w:t>
      </w:r>
      <w:proofErr w:type="spellEnd"/>
      <w:r w:rsidRPr="00070E4B">
        <w:rPr>
          <w:rFonts w:eastAsia="Times New Roman" w:cs="Times New Roman"/>
          <w:szCs w:val="24"/>
          <w:lang w:eastAsia="pt-BR"/>
        </w:rPr>
        <w:t xml:space="preserve"> de ativos financeiros disponíveis para venda; (e) parcela efetiva de ganhos ou perdas advindos de instrumentos de hedge em opera</w:t>
      </w:r>
      <w:r w:rsidR="000C766D">
        <w:rPr>
          <w:rFonts w:eastAsia="Times New Roman" w:cs="Times New Roman"/>
          <w:szCs w:val="24"/>
          <w:lang w:eastAsia="pt-BR"/>
        </w:rPr>
        <w:t>ção de hedge de fluxo de caixa.</w:t>
      </w:r>
    </w:p>
    <w:p w:rsidR="00B51E9D" w:rsidRPr="000161EF" w:rsidRDefault="00B51E9D" w:rsidP="00B51E9D">
      <w:pPr>
        <w:autoSpaceDE w:val="0"/>
        <w:autoSpaceDN w:val="0"/>
        <w:adjustRightInd w:val="0"/>
        <w:spacing w:line="360" w:lineRule="auto"/>
        <w:ind w:firstLine="709"/>
        <w:jc w:val="both"/>
        <w:rPr>
          <w:rFonts w:eastAsia="Times New Roman" w:cs="Times New Roman"/>
          <w:sz w:val="36"/>
          <w:szCs w:val="36"/>
          <w:lang w:eastAsia="pt-BR"/>
        </w:rPr>
      </w:pPr>
      <w:r>
        <w:t xml:space="preserve">Apesar do CPC 26 – R1 dispor sobre os ORA, para Black (2016), os outros resultados abrangentes têm sido um item </w:t>
      </w:r>
      <w:r w:rsidR="00293656">
        <w:t xml:space="preserve">que tem gerado </w:t>
      </w:r>
      <w:r>
        <w:t>duvid</w:t>
      </w:r>
      <w:r w:rsidR="00293656">
        <w:t>a</w:t>
      </w:r>
      <w:r>
        <w:t xml:space="preserve">s no </w:t>
      </w:r>
      <w:r w:rsidR="000C766D" w:rsidRPr="000C766D">
        <w:rPr>
          <w:i/>
        </w:rPr>
        <w:t>disclosure</w:t>
      </w:r>
      <w:r w:rsidR="00F206FA">
        <w:t xml:space="preserve"> de informações financeiras.</w:t>
      </w:r>
      <w:r>
        <w:t xml:space="preserve"> Oponentes da inclusão de outros resultados abrangentes no lucro líquido ou </w:t>
      </w:r>
      <w:r w:rsidR="00890BB1">
        <w:t xml:space="preserve">como </w:t>
      </w:r>
      <w:r>
        <w:t xml:space="preserve">uma medida </w:t>
      </w:r>
      <w:r w:rsidR="00890BB1">
        <w:t xml:space="preserve">que </w:t>
      </w:r>
      <w:r>
        <w:t>resum</w:t>
      </w:r>
      <w:r w:rsidR="00890BB1">
        <w:t>e</w:t>
      </w:r>
      <w:r>
        <w:t xml:space="preserve"> </w:t>
      </w:r>
      <w:r w:rsidR="00890BB1">
        <w:t>o</w:t>
      </w:r>
      <w:r>
        <w:t xml:space="preserve"> desempenho </w:t>
      </w:r>
      <w:proofErr w:type="gramStart"/>
      <w:r>
        <w:t>notam</w:t>
      </w:r>
      <w:proofErr w:type="gramEnd"/>
      <w:r>
        <w:t xml:space="preserve"> sua volatilidade e falta de previsibilidade. No entanto, Black (2016) destaca que, os contra argumentos</w:t>
      </w:r>
      <w:r w:rsidRPr="00641953">
        <w:t xml:space="preserve"> para a exclusão de componentes </w:t>
      </w:r>
      <w:r>
        <w:t xml:space="preserve">dos ORA </w:t>
      </w:r>
      <w:r w:rsidRPr="00641953">
        <w:t>é que, apesar de os gestores não s</w:t>
      </w:r>
      <w:r>
        <w:t xml:space="preserve">erem </w:t>
      </w:r>
      <w:r w:rsidRPr="00641953">
        <w:t xml:space="preserve">susceptíveis </w:t>
      </w:r>
      <w:r>
        <w:t>de</w:t>
      </w:r>
      <w:r w:rsidRPr="00641953">
        <w:t xml:space="preserve"> controlar diretamente os movimentos d</w:t>
      </w:r>
      <w:r>
        <w:t>os</w:t>
      </w:r>
      <w:r w:rsidRPr="00641953">
        <w:t xml:space="preserve"> preços </w:t>
      </w:r>
      <w:r>
        <w:t>de</w:t>
      </w:r>
      <w:r w:rsidRPr="00641953">
        <w:t xml:space="preserve"> mercado que afetam componentes </w:t>
      </w:r>
      <w:r>
        <w:t>dos ORA</w:t>
      </w:r>
      <w:r w:rsidRPr="00641953">
        <w:t xml:space="preserve">, os gestores se </w:t>
      </w:r>
      <w:r w:rsidRPr="00641953">
        <w:lastRenderedPageBreak/>
        <w:t>envolve</w:t>
      </w:r>
      <w:r>
        <w:t>m</w:t>
      </w:r>
      <w:r w:rsidRPr="00641953">
        <w:t xml:space="preserve"> em transações econômicas que afetam</w:t>
      </w:r>
      <w:r>
        <w:t xml:space="preserve"> diretamente</w:t>
      </w:r>
      <w:r w:rsidRPr="00641953">
        <w:t xml:space="preserve"> </w:t>
      </w:r>
      <w:r>
        <w:t xml:space="preserve">os </w:t>
      </w:r>
      <w:r w:rsidRPr="00641953">
        <w:t xml:space="preserve">valores reconhecidos em </w:t>
      </w:r>
      <w:r>
        <w:t>outros resultados abrangentes</w:t>
      </w:r>
      <w:r w:rsidRPr="00641953">
        <w:t>.</w:t>
      </w:r>
      <w:r>
        <w:t xml:space="preserve"> Assim, </w:t>
      </w:r>
      <w:r w:rsidR="00FE6546">
        <w:t xml:space="preserve">os </w:t>
      </w:r>
      <w:r>
        <w:t xml:space="preserve">outros </w:t>
      </w:r>
      <w:r w:rsidRPr="008D1D2E">
        <w:rPr>
          <w:szCs w:val="24"/>
        </w:rPr>
        <w:t xml:space="preserve">resultados abrangentes </w:t>
      </w:r>
      <w:r w:rsidRPr="006E188B">
        <w:rPr>
          <w:szCs w:val="24"/>
        </w:rPr>
        <w:t xml:space="preserve">e seus componentes </w:t>
      </w:r>
      <w:r w:rsidRPr="00070E4B">
        <w:rPr>
          <w:rFonts w:eastAsia="Times New Roman" w:cs="Times New Roman"/>
          <w:szCs w:val="24"/>
          <w:lang w:eastAsia="pt-BR"/>
        </w:rPr>
        <w:t>podem informar investidores, credores e outros usuários das demonstrações financeiras sobre condições micro e macroeconômicas</w:t>
      </w:r>
      <w:r w:rsidR="006A634E">
        <w:rPr>
          <w:rFonts w:eastAsia="Times New Roman" w:cs="Times New Roman"/>
          <w:szCs w:val="24"/>
          <w:lang w:eastAsia="pt-BR"/>
        </w:rPr>
        <w:t xml:space="preserve"> </w:t>
      </w:r>
      <w:r w:rsidR="009F1A3F">
        <w:rPr>
          <w:rFonts w:eastAsia="Times New Roman" w:cs="Times New Roman"/>
          <w:szCs w:val="24"/>
          <w:lang w:eastAsia="pt-BR"/>
        </w:rPr>
        <w:t xml:space="preserve">em </w:t>
      </w:r>
      <w:r w:rsidR="006A634E">
        <w:rPr>
          <w:rFonts w:eastAsia="Times New Roman" w:cs="Times New Roman"/>
          <w:szCs w:val="24"/>
          <w:lang w:eastAsia="pt-BR"/>
        </w:rPr>
        <w:t>que as empresas estão inseridas</w:t>
      </w:r>
      <w:r w:rsidRPr="00070E4B">
        <w:rPr>
          <w:rFonts w:eastAsia="Times New Roman" w:cs="Times New Roman"/>
          <w:szCs w:val="24"/>
          <w:lang w:eastAsia="pt-BR"/>
        </w:rPr>
        <w:t>.</w:t>
      </w:r>
    </w:p>
    <w:p w:rsidR="00B51E9D" w:rsidRDefault="00B51E9D" w:rsidP="00B51E9D">
      <w:pPr>
        <w:spacing w:line="360" w:lineRule="auto"/>
        <w:ind w:firstLine="708"/>
        <w:jc w:val="both"/>
      </w:pPr>
      <w:r w:rsidRPr="00B7301F">
        <w:t xml:space="preserve">Em relação ao cenário brasileiro, algumas pesquisas podem ser citadas no </w:t>
      </w:r>
      <w:r>
        <w:t>rol</w:t>
      </w:r>
      <w:r w:rsidRPr="00B7301F">
        <w:t xml:space="preserve"> das publicações recentes</w:t>
      </w:r>
      <w:r>
        <w:t xml:space="preserve"> </w:t>
      </w:r>
      <w:r w:rsidRPr="00B7301F">
        <w:t>em relação à relevância da</w:t>
      </w:r>
      <w:r>
        <w:t>da ao</w:t>
      </w:r>
      <w:r w:rsidR="000E17CF">
        <w:t>s outros</w:t>
      </w:r>
      <w:r>
        <w:t xml:space="preserve"> resultado</w:t>
      </w:r>
      <w:r w:rsidR="000E17CF">
        <w:t>s</w:t>
      </w:r>
      <w:r w:rsidRPr="00B7301F">
        <w:t xml:space="preserve"> </w:t>
      </w:r>
      <w:r>
        <w:t>abrangente</w:t>
      </w:r>
      <w:r w:rsidR="000E17CF">
        <w:t>s</w:t>
      </w:r>
      <w:r>
        <w:t xml:space="preserve"> contido</w:t>
      </w:r>
      <w:r w:rsidR="000E17CF">
        <w:t>s</w:t>
      </w:r>
      <w:r>
        <w:t xml:space="preserve"> na </w:t>
      </w:r>
      <w:r w:rsidRPr="00B7301F">
        <w:t>DRA</w:t>
      </w:r>
      <w:r>
        <w:t>. Estas pesquisas</w:t>
      </w:r>
      <w:r w:rsidRPr="00B7301F">
        <w:t xml:space="preserve"> trazem </w:t>
      </w:r>
      <w:r>
        <w:t xml:space="preserve">resultados </w:t>
      </w:r>
      <w:r w:rsidRPr="00B7301F">
        <w:t>semelhante</w:t>
      </w:r>
      <w:r>
        <w:t>s</w:t>
      </w:r>
      <w:r w:rsidRPr="00B7301F">
        <w:t>, encontrando evidências empíricas que indicam que os itens que compõem a DRA geram volatilidade no resultado do exercício, bem como evidências em contrário</w:t>
      </w:r>
      <w:r>
        <w:t>.</w:t>
      </w:r>
      <w:r w:rsidR="00AE6BE6">
        <w:t xml:space="preserve"> </w:t>
      </w:r>
      <w:r>
        <w:t xml:space="preserve">O Quadro </w:t>
      </w:r>
      <w:proofErr w:type="gramStart"/>
      <w:r>
        <w:t>1</w:t>
      </w:r>
      <w:proofErr w:type="gramEnd"/>
      <w:r>
        <w:t>, apresenta um conjunto de pesquisas que suportam o estado da arte do tema e sugerindo novas lacunas para pesquisas sobre a relevância da DRA.</w:t>
      </w:r>
    </w:p>
    <w:p w:rsidR="00E4628C" w:rsidRPr="00E80DB7" w:rsidRDefault="00E4628C" w:rsidP="00E4628C">
      <w:pPr>
        <w:jc w:val="center"/>
        <w:rPr>
          <w:rFonts w:cs="Times New Roman"/>
          <w:sz w:val="20"/>
          <w:szCs w:val="20"/>
        </w:rPr>
      </w:pPr>
      <w:r w:rsidRPr="00E80DB7">
        <w:rPr>
          <w:rFonts w:cs="Times New Roman"/>
          <w:sz w:val="20"/>
          <w:szCs w:val="20"/>
        </w:rPr>
        <w:t xml:space="preserve">Quadro </w:t>
      </w:r>
      <w:proofErr w:type="gramStart"/>
      <w:r w:rsidRPr="00E80DB7">
        <w:rPr>
          <w:rFonts w:cs="Times New Roman"/>
          <w:sz w:val="20"/>
          <w:szCs w:val="20"/>
        </w:rPr>
        <w:t>1</w:t>
      </w:r>
      <w:proofErr w:type="gramEnd"/>
      <w:r>
        <w:rPr>
          <w:rFonts w:cs="Times New Roman"/>
          <w:sz w:val="20"/>
          <w:szCs w:val="20"/>
        </w:rPr>
        <w:t>.</w:t>
      </w:r>
      <w:r w:rsidRPr="00E80DB7">
        <w:rPr>
          <w:rFonts w:cs="Times New Roman"/>
          <w:sz w:val="20"/>
          <w:szCs w:val="20"/>
        </w:rPr>
        <w:t xml:space="preserve"> Pesquisas empíricas Internacionais e Nacionais</w:t>
      </w:r>
    </w:p>
    <w:tbl>
      <w:tblPr>
        <w:tblStyle w:val="TabelaSimples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1276"/>
        <w:gridCol w:w="1417"/>
        <w:gridCol w:w="3652"/>
      </w:tblGrid>
      <w:tr w:rsidR="00E4628C" w:rsidRPr="00070E4B" w:rsidTr="00DB6277">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584" w:type="pct"/>
            <w:shd w:val="clear" w:color="auto" w:fill="auto"/>
            <w:vAlign w:val="center"/>
          </w:tcPr>
          <w:p w:rsidR="00E4628C" w:rsidRPr="008E6E74" w:rsidRDefault="00E4628C" w:rsidP="00DB6277">
            <w:pPr>
              <w:pStyle w:val="NormalWeb"/>
              <w:spacing w:before="0" w:beforeAutospacing="0" w:after="0" w:afterAutospacing="0"/>
              <w:jc w:val="center"/>
              <w:rPr>
                <w:sz w:val="20"/>
                <w:szCs w:val="20"/>
              </w:rPr>
            </w:pPr>
            <w:r w:rsidRPr="008E6E74">
              <w:rPr>
                <w:sz w:val="20"/>
                <w:szCs w:val="20"/>
              </w:rPr>
              <w:t>Estudo (Ano de Publicação)</w:t>
            </w:r>
          </w:p>
        </w:tc>
        <w:tc>
          <w:tcPr>
            <w:tcW w:w="687" w:type="pct"/>
            <w:shd w:val="clear" w:color="auto" w:fill="auto"/>
            <w:vAlign w:val="center"/>
          </w:tcPr>
          <w:p w:rsidR="00E4628C" w:rsidRPr="008E6E74" w:rsidRDefault="00E4628C" w:rsidP="00DB6277">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sz w:val="20"/>
                <w:szCs w:val="20"/>
              </w:rPr>
            </w:pPr>
            <w:r w:rsidRPr="008E6E74">
              <w:rPr>
                <w:sz w:val="20"/>
                <w:szCs w:val="20"/>
              </w:rPr>
              <w:t>País</w:t>
            </w:r>
          </w:p>
        </w:tc>
        <w:tc>
          <w:tcPr>
            <w:tcW w:w="763" w:type="pct"/>
            <w:shd w:val="clear" w:color="auto" w:fill="auto"/>
            <w:vAlign w:val="center"/>
          </w:tcPr>
          <w:p w:rsidR="00E4628C" w:rsidRPr="008E6E74" w:rsidRDefault="00E4628C" w:rsidP="00DB6277">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sz w:val="20"/>
                <w:szCs w:val="20"/>
              </w:rPr>
            </w:pPr>
            <w:r w:rsidRPr="008E6E74">
              <w:rPr>
                <w:sz w:val="20"/>
                <w:szCs w:val="20"/>
              </w:rPr>
              <w:t>Período da Amostra</w:t>
            </w:r>
          </w:p>
        </w:tc>
        <w:tc>
          <w:tcPr>
            <w:tcW w:w="1966" w:type="pct"/>
            <w:shd w:val="clear" w:color="auto" w:fill="auto"/>
            <w:vAlign w:val="center"/>
          </w:tcPr>
          <w:p w:rsidR="00E4628C" w:rsidRPr="0064778B" w:rsidRDefault="00E4628C" w:rsidP="00DB6277">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sz w:val="20"/>
                <w:szCs w:val="20"/>
              </w:rPr>
            </w:pPr>
            <w:r w:rsidRPr="0064778B">
              <w:rPr>
                <w:sz w:val="20"/>
                <w:szCs w:val="20"/>
              </w:rPr>
              <w:t>Conclusões</w:t>
            </w:r>
          </w:p>
        </w:tc>
      </w:tr>
      <w:tr w:rsidR="00E4628C" w:rsidRPr="00070E4B" w:rsidTr="00DB627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rsidR="00E4628C" w:rsidRPr="008E6E74" w:rsidRDefault="00E4628C" w:rsidP="00DB6277">
            <w:pPr>
              <w:pStyle w:val="NormalWeb"/>
              <w:spacing w:before="0" w:beforeAutospacing="0" w:after="0" w:afterAutospacing="0"/>
              <w:jc w:val="center"/>
              <w:rPr>
                <w:sz w:val="20"/>
                <w:szCs w:val="20"/>
              </w:rPr>
            </w:pPr>
            <w:r w:rsidRPr="008E6E74">
              <w:rPr>
                <w:sz w:val="20"/>
                <w:szCs w:val="20"/>
              </w:rPr>
              <w:t>Estudos Internacionais</w:t>
            </w:r>
          </w:p>
        </w:tc>
      </w:tr>
      <w:tr w:rsidR="00E4628C" w:rsidRPr="00070E4B" w:rsidTr="00DB6277">
        <w:trPr>
          <w:trHeight w:val="219"/>
        </w:trPr>
        <w:tc>
          <w:tcPr>
            <w:cnfStyle w:val="001000000000" w:firstRow="0" w:lastRow="0" w:firstColumn="1" w:lastColumn="0" w:oddVBand="0" w:evenVBand="0" w:oddHBand="0" w:evenHBand="0" w:firstRowFirstColumn="0" w:firstRowLastColumn="0" w:lastRowFirstColumn="0" w:lastRowLastColumn="0"/>
            <w:tcW w:w="1584" w:type="pct"/>
            <w:shd w:val="clear" w:color="auto" w:fill="auto"/>
            <w:vAlign w:val="center"/>
          </w:tcPr>
          <w:p w:rsidR="00E4628C" w:rsidRPr="008E6E74" w:rsidRDefault="00E4628C" w:rsidP="00DB6277">
            <w:pPr>
              <w:pStyle w:val="NormalWeb"/>
              <w:spacing w:before="0" w:beforeAutospacing="0" w:after="0" w:afterAutospacing="0"/>
              <w:rPr>
                <w:b w:val="0"/>
                <w:sz w:val="20"/>
                <w:szCs w:val="20"/>
              </w:rPr>
            </w:pPr>
            <w:proofErr w:type="spellStart"/>
            <w:r w:rsidRPr="008E6E74">
              <w:rPr>
                <w:sz w:val="20"/>
                <w:szCs w:val="20"/>
              </w:rPr>
              <w:t>Dhaliwal</w:t>
            </w:r>
            <w:proofErr w:type="spellEnd"/>
            <w:r w:rsidRPr="008E6E74">
              <w:rPr>
                <w:sz w:val="20"/>
                <w:szCs w:val="20"/>
              </w:rPr>
              <w:t xml:space="preserve">, Subramanyan, e </w:t>
            </w:r>
            <w:proofErr w:type="spellStart"/>
            <w:r w:rsidRPr="008E6E74">
              <w:rPr>
                <w:sz w:val="20"/>
                <w:szCs w:val="20"/>
              </w:rPr>
              <w:t>Trezevant</w:t>
            </w:r>
            <w:proofErr w:type="spellEnd"/>
            <w:r w:rsidRPr="008E6E74">
              <w:rPr>
                <w:sz w:val="20"/>
                <w:szCs w:val="20"/>
              </w:rPr>
              <w:t xml:space="preserve"> (1999</w:t>
            </w:r>
            <w:proofErr w:type="gramStart"/>
            <w:r w:rsidRPr="008E6E74">
              <w:rPr>
                <w:sz w:val="20"/>
                <w:szCs w:val="20"/>
              </w:rPr>
              <w:t>)</w:t>
            </w:r>
            <w:proofErr w:type="gramEnd"/>
          </w:p>
        </w:tc>
        <w:tc>
          <w:tcPr>
            <w:tcW w:w="687" w:type="pct"/>
            <w:shd w:val="clear" w:color="auto" w:fill="auto"/>
            <w:vAlign w:val="center"/>
          </w:tcPr>
          <w:p w:rsidR="00E4628C" w:rsidRPr="008E6E74" w:rsidRDefault="00E4628C" w:rsidP="00DB627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8E6E74">
              <w:rPr>
                <w:sz w:val="20"/>
                <w:szCs w:val="20"/>
              </w:rPr>
              <w:t>EUA</w:t>
            </w:r>
          </w:p>
        </w:tc>
        <w:tc>
          <w:tcPr>
            <w:tcW w:w="763" w:type="pct"/>
            <w:shd w:val="clear" w:color="auto" w:fill="auto"/>
            <w:vAlign w:val="center"/>
          </w:tcPr>
          <w:p w:rsidR="00E4628C" w:rsidRPr="008E6E74" w:rsidRDefault="00E4628C" w:rsidP="00DB627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8E6E74">
              <w:rPr>
                <w:sz w:val="20"/>
                <w:szCs w:val="20"/>
              </w:rPr>
              <w:t>1994 – 1995</w:t>
            </w:r>
          </w:p>
        </w:tc>
        <w:tc>
          <w:tcPr>
            <w:tcW w:w="1966" w:type="pct"/>
            <w:shd w:val="clear" w:color="auto" w:fill="auto"/>
            <w:vAlign w:val="center"/>
          </w:tcPr>
          <w:p w:rsidR="00E4628C" w:rsidRPr="0064778B" w:rsidRDefault="00E4628C" w:rsidP="00DB627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64778B">
              <w:rPr>
                <w:sz w:val="20"/>
                <w:szCs w:val="20"/>
              </w:rPr>
              <w:t>LL prevê FCO e Receitas melhor que RA</w:t>
            </w:r>
          </w:p>
        </w:tc>
      </w:tr>
      <w:tr w:rsidR="00E4628C" w:rsidRPr="00070E4B" w:rsidTr="00DB6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4" w:type="pct"/>
            <w:shd w:val="clear" w:color="auto" w:fill="auto"/>
            <w:vAlign w:val="center"/>
          </w:tcPr>
          <w:p w:rsidR="00E4628C" w:rsidRPr="008E6E74" w:rsidRDefault="00E4628C" w:rsidP="00DB6277">
            <w:pPr>
              <w:pStyle w:val="NormalWeb"/>
              <w:spacing w:before="0" w:beforeAutospacing="0" w:after="0" w:afterAutospacing="0"/>
              <w:rPr>
                <w:b w:val="0"/>
                <w:sz w:val="20"/>
                <w:szCs w:val="20"/>
              </w:rPr>
            </w:pPr>
            <w:proofErr w:type="spellStart"/>
            <w:r w:rsidRPr="008E6E74">
              <w:rPr>
                <w:sz w:val="20"/>
                <w:szCs w:val="20"/>
              </w:rPr>
              <w:t>Biddle</w:t>
            </w:r>
            <w:proofErr w:type="spellEnd"/>
            <w:r w:rsidRPr="008E6E74">
              <w:rPr>
                <w:sz w:val="20"/>
                <w:szCs w:val="20"/>
              </w:rPr>
              <w:t xml:space="preserve"> e </w:t>
            </w:r>
            <w:proofErr w:type="spellStart"/>
            <w:r w:rsidRPr="008E6E74">
              <w:rPr>
                <w:sz w:val="20"/>
                <w:szCs w:val="20"/>
              </w:rPr>
              <w:t>Choi</w:t>
            </w:r>
            <w:proofErr w:type="spellEnd"/>
            <w:r w:rsidRPr="008E6E74">
              <w:rPr>
                <w:sz w:val="20"/>
                <w:szCs w:val="20"/>
              </w:rPr>
              <w:t xml:space="preserve"> (2006)</w:t>
            </w:r>
          </w:p>
        </w:tc>
        <w:tc>
          <w:tcPr>
            <w:tcW w:w="687" w:type="pct"/>
            <w:shd w:val="clear" w:color="auto" w:fill="auto"/>
            <w:vAlign w:val="center"/>
          </w:tcPr>
          <w:p w:rsidR="00E4628C" w:rsidRPr="008E6E74" w:rsidRDefault="00E4628C" w:rsidP="00DB627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8E6E74">
              <w:rPr>
                <w:sz w:val="20"/>
                <w:szCs w:val="20"/>
              </w:rPr>
              <w:t>EUA</w:t>
            </w:r>
          </w:p>
        </w:tc>
        <w:tc>
          <w:tcPr>
            <w:tcW w:w="763" w:type="pct"/>
            <w:shd w:val="clear" w:color="auto" w:fill="auto"/>
            <w:vAlign w:val="center"/>
          </w:tcPr>
          <w:p w:rsidR="00E4628C" w:rsidRPr="0064778B" w:rsidRDefault="00E4628C" w:rsidP="00DB627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8E6E74">
              <w:rPr>
                <w:sz w:val="20"/>
                <w:szCs w:val="20"/>
              </w:rPr>
              <w:t>1994 –</w:t>
            </w:r>
            <w:r w:rsidRPr="00C23B83">
              <w:rPr>
                <w:sz w:val="20"/>
                <w:szCs w:val="20"/>
              </w:rPr>
              <w:t xml:space="preserve"> 1998</w:t>
            </w:r>
          </w:p>
        </w:tc>
        <w:tc>
          <w:tcPr>
            <w:tcW w:w="1966" w:type="pct"/>
            <w:shd w:val="clear" w:color="auto" w:fill="auto"/>
            <w:vAlign w:val="center"/>
          </w:tcPr>
          <w:p w:rsidR="00E4628C" w:rsidRPr="00D37D90" w:rsidRDefault="00E4628C" w:rsidP="00DB627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64778B">
              <w:rPr>
                <w:sz w:val="20"/>
                <w:szCs w:val="20"/>
              </w:rPr>
              <w:t>Não definição sobre que tipo de resultado prevê operações futuras</w:t>
            </w:r>
          </w:p>
        </w:tc>
      </w:tr>
      <w:tr w:rsidR="00E4628C" w:rsidRPr="00070E4B" w:rsidTr="00DB6277">
        <w:tc>
          <w:tcPr>
            <w:cnfStyle w:val="001000000000" w:firstRow="0" w:lastRow="0" w:firstColumn="1" w:lastColumn="0" w:oddVBand="0" w:evenVBand="0" w:oddHBand="0" w:evenHBand="0" w:firstRowFirstColumn="0" w:firstRowLastColumn="0" w:lastRowFirstColumn="0" w:lastRowLastColumn="0"/>
            <w:tcW w:w="1584" w:type="pct"/>
            <w:shd w:val="clear" w:color="auto" w:fill="auto"/>
            <w:vAlign w:val="center"/>
          </w:tcPr>
          <w:p w:rsidR="00E4628C" w:rsidRPr="008E6E74" w:rsidRDefault="00E4628C" w:rsidP="00DB6277">
            <w:pPr>
              <w:pStyle w:val="NormalWeb"/>
              <w:spacing w:before="0" w:beforeAutospacing="0" w:after="0" w:afterAutospacing="0"/>
              <w:rPr>
                <w:b w:val="0"/>
                <w:sz w:val="20"/>
                <w:szCs w:val="20"/>
              </w:rPr>
            </w:pPr>
            <w:proofErr w:type="spellStart"/>
            <w:r w:rsidRPr="008E6E74">
              <w:rPr>
                <w:sz w:val="20"/>
                <w:szCs w:val="20"/>
              </w:rPr>
              <w:t>Kanagaretnam</w:t>
            </w:r>
            <w:proofErr w:type="spellEnd"/>
            <w:r w:rsidRPr="008E6E74">
              <w:rPr>
                <w:sz w:val="20"/>
                <w:szCs w:val="20"/>
              </w:rPr>
              <w:t xml:space="preserve">, </w:t>
            </w:r>
            <w:proofErr w:type="spellStart"/>
            <w:r w:rsidRPr="008E6E74">
              <w:rPr>
                <w:sz w:val="20"/>
                <w:szCs w:val="20"/>
              </w:rPr>
              <w:t>Mathieu</w:t>
            </w:r>
            <w:proofErr w:type="spellEnd"/>
            <w:r w:rsidRPr="008E6E74">
              <w:rPr>
                <w:sz w:val="20"/>
                <w:szCs w:val="20"/>
              </w:rPr>
              <w:t xml:space="preserve">, e </w:t>
            </w:r>
            <w:proofErr w:type="spellStart"/>
            <w:r w:rsidRPr="008E6E74">
              <w:rPr>
                <w:sz w:val="20"/>
                <w:szCs w:val="20"/>
              </w:rPr>
              <w:t>Shehata</w:t>
            </w:r>
            <w:proofErr w:type="spellEnd"/>
            <w:r w:rsidRPr="008E6E74">
              <w:rPr>
                <w:sz w:val="20"/>
                <w:szCs w:val="20"/>
              </w:rPr>
              <w:t xml:space="preserve"> (2009</w:t>
            </w:r>
            <w:proofErr w:type="gramStart"/>
            <w:r w:rsidRPr="008E6E74">
              <w:rPr>
                <w:sz w:val="20"/>
                <w:szCs w:val="20"/>
              </w:rPr>
              <w:t>)</w:t>
            </w:r>
            <w:proofErr w:type="gramEnd"/>
          </w:p>
        </w:tc>
        <w:tc>
          <w:tcPr>
            <w:tcW w:w="687" w:type="pct"/>
            <w:shd w:val="clear" w:color="auto" w:fill="auto"/>
            <w:vAlign w:val="center"/>
          </w:tcPr>
          <w:p w:rsidR="00E4628C" w:rsidRPr="008E6E74" w:rsidRDefault="00E4628C" w:rsidP="00DB627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8E6E74">
              <w:rPr>
                <w:sz w:val="20"/>
                <w:szCs w:val="20"/>
              </w:rPr>
              <w:t>Canadá</w:t>
            </w:r>
          </w:p>
        </w:tc>
        <w:tc>
          <w:tcPr>
            <w:tcW w:w="763" w:type="pct"/>
            <w:shd w:val="clear" w:color="auto" w:fill="auto"/>
            <w:vAlign w:val="center"/>
          </w:tcPr>
          <w:p w:rsidR="00E4628C" w:rsidRPr="008E6E74" w:rsidRDefault="00E4628C" w:rsidP="00DB627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8E6E74">
              <w:rPr>
                <w:sz w:val="20"/>
                <w:szCs w:val="20"/>
              </w:rPr>
              <w:t>1998 - 2003</w:t>
            </w:r>
          </w:p>
        </w:tc>
        <w:tc>
          <w:tcPr>
            <w:tcW w:w="1966" w:type="pct"/>
            <w:shd w:val="clear" w:color="auto" w:fill="auto"/>
            <w:vAlign w:val="center"/>
          </w:tcPr>
          <w:p w:rsidR="00E4628C" w:rsidRPr="0064778B" w:rsidRDefault="00E4628C" w:rsidP="00DB627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64778B">
              <w:rPr>
                <w:sz w:val="20"/>
                <w:szCs w:val="20"/>
              </w:rPr>
              <w:t>LL prevê LL/RA/FC melhor que RA</w:t>
            </w:r>
          </w:p>
        </w:tc>
      </w:tr>
      <w:tr w:rsidR="00E4628C" w:rsidRPr="00070E4B" w:rsidTr="00DB6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4" w:type="pct"/>
            <w:shd w:val="clear" w:color="auto" w:fill="auto"/>
            <w:vAlign w:val="center"/>
          </w:tcPr>
          <w:p w:rsidR="00E4628C" w:rsidRPr="008E6E74" w:rsidRDefault="00E4628C" w:rsidP="00DB6277">
            <w:pPr>
              <w:pStyle w:val="NormalWeb"/>
              <w:spacing w:before="0" w:beforeAutospacing="0" w:after="0" w:afterAutospacing="0"/>
              <w:rPr>
                <w:b w:val="0"/>
                <w:sz w:val="20"/>
                <w:szCs w:val="20"/>
              </w:rPr>
            </w:pPr>
            <w:proofErr w:type="spellStart"/>
            <w:r w:rsidRPr="008E6E74">
              <w:rPr>
                <w:sz w:val="20"/>
                <w:szCs w:val="20"/>
              </w:rPr>
              <w:t>Choi</w:t>
            </w:r>
            <w:proofErr w:type="spellEnd"/>
            <w:r w:rsidRPr="008E6E74">
              <w:rPr>
                <w:sz w:val="20"/>
                <w:szCs w:val="20"/>
              </w:rPr>
              <w:t xml:space="preserve"> e </w:t>
            </w:r>
            <w:proofErr w:type="spellStart"/>
            <w:r w:rsidRPr="008E6E74">
              <w:rPr>
                <w:sz w:val="20"/>
                <w:szCs w:val="20"/>
              </w:rPr>
              <w:t>Zang</w:t>
            </w:r>
            <w:proofErr w:type="spellEnd"/>
            <w:r w:rsidRPr="008E6E74">
              <w:rPr>
                <w:sz w:val="20"/>
                <w:szCs w:val="20"/>
              </w:rPr>
              <w:t xml:space="preserve"> (2006)</w:t>
            </w:r>
          </w:p>
        </w:tc>
        <w:tc>
          <w:tcPr>
            <w:tcW w:w="687" w:type="pct"/>
            <w:shd w:val="clear" w:color="auto" w:fill="auto"/>
            <w:vAlign w:val="center"/>
          </w:tcPr>
          <w:p w:rsidR="00E4628C" w:rsidRPr="008E6E74" w:rsidRDefault="00E4628C" w:rsidP="00DB627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8E6E74">
              <w:rPr>
                <w:sz w:val="20"/>
                <w:szCs w:val="20"/>
              </w:rPr>
              <w:t>EUA</w:t>
            </w:r>
          </w:p>
        </w:tc>
        <w:tc>
          <w:tcPr>
            <w:tcW w:w="763" w:type="pct"/>
            <w:shd w:val="clear" w:color="auto" w:fill="auto"/>
            <w:vAlign w:val="center"/>
          </w:tcPr>
          <w:p w:rsidR="00E4628C" w:rsidRPr="008E6E74" w:rsidRDefault="00E4628C" w:rsidP="00DB627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8E6E74">
              <w:rPr>
                <w:sz w:val="20"/>
                <w:szCs w:val="20"/>
              </w:rPr>
              <w:t>1998 - 2003</w:t>
            </w:r>
          </w:p>
        </w:tc>
        <w:tc>
          <w:tcPr>
            <w:tcW w:w="1966" w:type="pct"/>
            <w:shd w:val="clear" w:color="auto" w:fill="auto"/>
            <w:vAlign w:val="center"/>
          </w:tcPr>
          <w:p w:rsidR="00E4628C" w:rsidRPr="0064778B" w:rsidRDefault="00E4628C" w:rsidP="00DB627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64778B">
              <w:rPr>
                <w:sz w:val="20"/>
                <w:szCs w:val="20"/>
              </w:rPr>
              <w:t>RA agrega maior valor preditivo em períodos subsequentes a mudanças no LL</w:t>
            </w:r>
          </w:p>
        </w:tc>
      </w:tr>
      <w:tr w:rsidR="00E4628C" w:rsidRPr="00070E4B" w:rsidTr="00DB6277">
        <w:tc>
          <w:tcPr>
            <w:cnfStyle w:val="001000000000" w:firstRow="0" w:lastRow="0" w:firstColumn="1" w:lastColumn="0" w:oddVBand="0" w:evenVBand="0" w:oddHBand="0" w:evenHBand="0" w:firstRowFirstColumn="0" w:firstRowLastColumn="0" w:lastRowFirstColumn="0" w:lastRowLastColumn="0"/>
            <w:tcW w:w="1584" w:type="pct"/>
            <w:shd w:val="clear" w:color="auto" w:fill="auto"/>
            <w:vAlign w:val="center"/>
          </w:tcPr>
          <w:p w:rsidR="00E4628C" w:rsidRPr="008E6E74" w:rsidRDefault="00E4628C" w:rsidP="00DB6277">
            <w:pPr>
              <w:pStyle w:val="NormalWeb"/>
              <w:spacing w:before="0" w:beforeAutospacing="0" w:after="0" w:afterAutospacing="0"/>
              <w:rPr>
                <w:b w:val="0"/>
                <w:sz w:val="20"/>
                <w:szCs w:val="20"/>
              </w:rPr>
            </w:pPr>
            <w:r w:rsidRPr="008E6E74">
              <w:rPr>
                <w:sz w:val="20"/>
                <w:szCs w:val="20"/>
              </w:rPr>
              <w:t>Wang (2006)</w:t>
            </w:r>
          </w:p>
        </w:tc>
        <w:tc>
          <w:tcPr>
            <w:tcW w:w="687" w:type="pct"/>
            <w:shd w:val="clear" w:color="auto" w:fill="auto"/>
            <w:vAlign w:val="center"/>
          </w:tcPr>
          <w:p w:rsidR="00E4628C" w:rsidRPr="008E6E74" w:rsidRDefault="00E4628C" w:rsidP="00DB627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8E6E74">
              <w:rPr>
                <w:sz w:val="20"/>
                <w:szCs w:val="20"/>
              </w:rPr>
              <w:t>14 Países Europeus</w:t>
            </w:r>
          </w:p>
        </w:tc>
        <w:tc>
          <w:tcPr>
            <w:tcW w:w="763" w:type="pct"/>
            <w:shd w:val="clear" w:color="auto" w:fill="auto"/>
            <w:vAlign w:val="center"/>
          </w:tcPr>
          <w:p w:rsidR="00E4628C" w:rsidRPr="00C23B83" w:rsidRDefault="00E4628C" w:rsidP="00DB627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8E6E74">
              <w:rPr>
                <w:sz w:val="20"/>
                <w:szCs w:val="20"/>
              </w:rPr>
              <w:t>1993 - 2002</w:t>
            </w:r>
          </w:p>
        </w:tc>
        <w:tc>
          <w:tcPr>
            <w:tcW w:w="1966" w:type="pct"/>
            <w:shd w:val="clear" w:color="auto" w:fill="auto"/>
            <w:vAlign w:val="center"/>
          </w:tcPr>
          <w:p w:rsidR="00E4628C" w:rsidRPr="0064778B" w:rsidRDefault="00E4628C" w:rsidP="00DB627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64778B">
              <w:rPr>
                <w:sz w:val="20"/>
                <w:szCs w:val="20"/>
              </w:rPr>
              <w:t xml:space="preserve">Exceto na Bélgica, o LL sempre apresenta maior valor </w:t>
            </w:r>
            <w:proofErr w:type="gramStart"/>
            <w:r w:rsidRPr="0064778B">
              <w:rPr>
                <w:sz w:val="20"/>
                <w:szCs w:val="20"/>
              </w:rPr>
              <w:t>preditivo</w:t>
            </w:r>
            <w:proofErr w:type="gramEnd"/>
          </w:p>
        </w:tc>
      </w:tr>
      <w:tr w:rsidR="00E4628C" w:rsidRPr="00070E4B" w:rsidTr="00DB6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4" w:type="pct"/>
            <w:shd w:val="clear" w:color="auto" w:fill="auto"/>
            <w:vAlign w:val="center"/>
          </w:tcPr>
          <w:p w:rsidR="00E4628C" w:rsidRPr="008E6E74" w:rsidRDefault="00E4628C" w:rsidP="00DB6277">
            <w:pPr>
              <w:pStyle w:val="NormalWeb"/>
              <w:spacing w:before="0" w:beforeAutospacing="0" w:after="0" w:afterAutospacing="0"/>
              <w:rPr>
                <w:b w:val="0"/>
                <w:sz w:val="20"/>
                <w:szCs w:val="20"/>
              </w:rPr>
            </w:pPr>
            <w:proofErr w:type="spellStart"/>
            <w:r w:rsidRPr="008E6E74">
              <w:rPr>
                <w:sz w:val="20"/>
                <w:szCs w:val="20"/>
              </w:rPr>
              <w:t>Choi</w:t>
            </w:r>
            <w:proofErr w:type="spellEnd"/>
            <w:r w:rsidRPr="008E6E74">
              <w:rPr>
                <w:sz w:val="20"/>
                <w:szCs w:val="20"/>
              </w:rPr>
              <w:t xml:space="preserve">, Das, e </w:t>
            </w:r>
            <w:proofErr w:type="spellStart"/>
            <w:r w:rsidRPr="008E6E74">
              <w:rPr>
                <w:sz w:val="20"/>
                <w:szCs w:val="20"/>
              </w:rPr>
              <w:t>Zang</w:t>
            </w:r>
            <w:proofErr w:type="spellEnd"/>
            <w:r w:rsidRPr="008E6E74">
              <w:rPr>
                <w:sz w:val="20"/>
                <w:szCs w:val="20"/>
              </w:rPr>
              <w:t xml:space="preserve"> (2007</w:t>
            </w:r>
            <w:proofErr w:type="gramStart"/>
            <w:r w:rsidRPr="008E6E74">
              <w:rPr>
                <w:sz w:val="20"/>
                <w:szCs w:val="20"/>
              </w:rPr>
              <w:t>)</w:t>
            </w:r>
            <w:proofErr w:type="gramEnd"/>
          </w:p>
        </w:tc>
        <w:tc>
          <w:tcPr>
            <w:tcW w:w="687" w:type="pct"/>
            <w:shd w:val="clear" w:color="auto" w:fill="auto"/>
            <w:vAlign w:val="center"/>
          </w:tcPr>
          <w:p w:rsidR="00E4628C" w:rsidRPr="008E6E74" w:rsidRDefault="00E4628C" w:rsidP="00DB627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8E6E74">
              <w:rPr>
                <w:sz w:val="20"/>
                <w:szCs w:val="20"/>
              </w:rPr>
              <w:t>EUA</w:t>
            </w:r>
          </w:p>
        </w:tc>
        <w:tc>
          <w:tcPr>
            <w:tcW w:w="763" w:type="pct"/>
            <w:shd w:val="clear" w:color="auto" w:fill="auto"/>
            <w:vAlign w:val="center"/>
          </w:tcPr>
          <w:p w:rsidR="00E4628C" w:rsidRPr="00C23B83" w:rsidRDefault="00E4628C" w:rsidP="00DB627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8E6E74">
              <w:rPr>
                <w:sz w:val="20"/>
                <w:szCs w:val="20"/>
              </w:rPr>
              <w:t>1994 - 2003</w:t>
            </w:r>
          </w:p>
        </w:tc>
        <w:tc>
          <w:tcPr>
            <w:tcW w:w="1966" w:type="pct"/>
            <w:shd w:val="clear" w:color="auto" w:fill="auto"/>
            <w:vAlign w:val="center"/>
          </w:tcPr>
          <w:p w:rsidR="00E4628C" w:rsidRPr="0064778B" w:rsidRDefault="00E4628C" w:rsidP="00DB62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212121"/>
                <w:sz w:val="20"/>
                <w:szCs w:val="20"/>
                <w:lang w:eastAsia="pt-BR"/>
              </w:rPr>
            </w:pPr>
            <w:r w:rsidRPr="0064778B">
              <w:rPr>
                <w:rFonts w:eastAsia="Times New Roman" w:cs="Times New Roman"/>
                <w:color w:val="212121"/>
                <w:sz w:val="20"/>
                <w:szCs w:val="20"/>
                <w:lang w:val="pt-PT" w:eastAsia="pt-BR"/>
              </w:rPr>
              <w:t xml:space="preserve">O RA pode prever LL do período subsequente, e acima de renda do período </w:t>
            </w:r>
            <w:proofErr w:type="gramStart"/>
            <w:r w:rsidRPr="0064778B">
              <w:rPr>
                <w:rFonts w:eastAsia="Times New Roman" w:cs="Times New Roman"/>
                <w:color w:val="212121"/>
                <w:sz w:val="20"/>
                <w:szCs w:val="20"/>
                <w:lang w:val="pt-PT" w:eastAsia="pt-BR"/>
              </w:rPr>
              <w:t>corrente</w:t>
            </w:r>
            <w:proofErr w:type="gramEnd"/>
          </w:p>
        </w:tc>
      </w:tr>
      <w:tr w:rsidR="00E4628C" w:rsidRPr="00070E4B" w:rsidTr="00DB6277">
        <w:tc>
          <w:tcPr>
            <w:cnfStyle w:val="001000000000" w:firstRow="0" w:lastRow="0" w:firstColumn="1" w:lastColumn="0" w:oddVBand="0" w:evenVBand="0" w:oddHBand="0" w:evenHBand="0" w:firstRowFirstColumn="0" w:firstRowLastColumn="0" w:lastRowFirstColumn="0" w:lastRowLastColumn="0"/>
            <w:tcW w:w="1584" w:type="pct"/>
            <w:shd w:val="clear" w:color="auto" w:fill="auto"/>
            <w:vAlign w:val="center"/>
          </w:tcPr>
          <w:p w:rsidR="00E4628C" w:rsidRPr="008E6E74" w:rsidRDefault="00E4628C" w:rsidP="00DB6277">
            <w:pPr>
              <w:pStyle w:val="NormalWeb"/>
              <w:spacing w:before="0" w:beforeAutospacing="0" w:after="0" w:afterAutospacing="0"/>
              <w:rPr>
                <w:b w:val="0"/>
                <w:sz w:val="20"/>
                <w:szCs w:val="20"/>
              </w:rPr>
            </w:pPr>
            <w:proofErr w:type="spellStart"/>
            <w:r w:rsidRPr="008E6E74">
              <w:rPr>
                <w:sz w:val="20"/>
                <w:szCs w:val="20"/>
              </w:rPr>
              <w:t>Goncharov</w:t>
            </w:r>
            <w:proofErr w:type="spellEnd"/>
            <w:r w:rsidRPr="008E6E74">
              <w:rPr>
                <w:sz w:val="20"/>
                <w:szCs w:val="20"/>
              </w:rPr>
              <w:t xml:space="preserve"> e </w:t>
            </w:r>
            <w:proofErr w:type="spellStart"/>
            <w:r w:rsidRPr="008E6E74">
              <w:rPr>
                <w:sz w:val="20"/>
                <w:szCs w:val="20"/>
              </w:rPr>
              <w:t>Hodgson</w:t>
            </w:r>
            <w:proofErr w:type="spellEnd"/>
            <w:r w:rsidRPr="008E6E74">
              <w:rPr>
                <w:sz w:val="20"/>
                <w:szCs w:val="20"/>
              </w:rPr>
              <w:t xml:space="preserve"> (2008)</w:t>
            </w:r>
          </w:p>
        </w:tc>
        <w:tc>
          <w:tcPr>
            <w:tcW w:w="687" w:type="pct"/>
            <w:shd w:val="clear" w:color="auto" w:fill="auto"/>
            <w:vAlign w:val="center"/>
          </w:tcPr>
          <w:p w:rsidR="00E4628C" w:rsidRPr="008E6E74" w:rsidRDefault="00E4628C" w:rsidP="00DB627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8E6E74">
              <w:rPr>
                <w:sz w:val="20"/>
                <w:szCs w:val="20"/>
              </w:rPr>
              <w:t>16 Países Europeus</w:t>
            </w:r>
          </w:p>
        </w:tc>
        <w:tc>
          <w:tcPr>
            <w:tcW w:w="763" w:type="pct"/>
            <w:shd w:val="clear" w:color="auto" w:fill="auto"/>
            <w:vAlign w:val="center"/>
          </w:tcPr>
          <w:p w:rsidR="00E4628C" w:rsidRPr="00C23B83" w:rsidRDefault="00E4628C" w:rsidP="00DB627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8E6E74">
              <w:rPr>
                <w:sz w:val="20"/>
                <w:szCs w:val="20"/>
              </w:rPr>
              <w:t>1991 - 2005</w:t>
            </w:r>
          </w:p>
        </w:tc>
        <w:tc>
          <w:tcPr>
            <w:tcW w:w="1966" w:type="pct"/>
            <w:shd w:val="clear" w:color="auto" w:fill="auto"/>
            <w:vAlign w:val="center"/>
          </w:tcPr>
          <w:p w:rsidR="00E4628C" w:rsidRPr="0064778B" w:rsidRDefault="00E4628C" w:rsidP="00DB6277">
            <w:pPr>
              <w:pStyle w:val="Pr-formataoHTML"/>
              <w:shd w:val="clear" w:color="auto" w:fill="FFFFF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rPr>
            </w:pPr>
            <w:r w:rsidRPr="0064778B">
              <w:rPr>
                <w:rFonts w:ascii="Times New Roman" w:hAnsi="Times New Roman" w:cs="Times New Roman"/>
                <w:color w:val="212121"/>
                <w:lang w:val="pt-PT"/>
              </w:rPr>
              <w:t>O LL domina RA agregado na previsão de fluxos de caixa</w:t>
            </w:r>
          </w:p>
        </w:tc>
      </w:tr>
      <w:tr w:rsidR="00E4628C" w:rsidRPr="00070E4B" w:rsidTr="00DB6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4" w:type="pct"/>
            <w:shd w:val="clear" w:color="auto" w:fill="auto"/>
            <w:vAlign w:val="center"/>
          </w:tcPr>
          <w:p w:rsidR="00E4628C" w:rsidRPr="00070E4B" w:rsidRDefault="00E4628C" w:rsidP="00DB6277">
            <w:pPr>
              <w:pStyle w:val="NormalWeb"/>
              <w:spacing w:before="0" w:beforeAutospacing="0" w:after="0" w:afterAutospacing="0"/>
              <w:rPr>
                <w:b w:val="0"/>
                <w:sz w:val="20"/>
                <w:szCs w:val="20"/>
              </w:rPr>
            </w:pPr>
            <w:proofErr w:type="spellStart"/>
            <w:r w:rsidRPr="00070E4B">
              <w:rPr>
                <w:sz w:val="20"/>
                <w:szCs w:val="20"/>
              </w:rPr>
              <w:t>Bataineh</w:t>
            </w:r>
            <w:proofErr w:type="spellEnd"/>
            <w:r w:rsidRPr="00070E4B">
              <w:rPr>
                <w:sz w:val="20"/>
                <w:szCs w:val="20"/>
              </w:rPr>
              <w:t xml:space="preserve"> e </w:t>
            </w:r>
            <w:proofErr w:type="spellStart"/>
            <w:r w:rsidRPr="00070E4B">
              <w:rPr>
                <w:sz w:val="20"/>
                <w:szCs w:val="20"/>
              </w:rPr>
              <w:t>Rababah</w:t>
            </w:r>
            <w:proofErr w:type="spellEnd"/>
            <w:r w:rsidRPr="00070E4B">
              <w:rPr>
                <w:sz w:val="20"/>
                <w:szCs w:val="20"/>
              </w:rPr>
              <w:t xml:space="preserve"> (2016)</w:t>
            </w:r>
          </w:p>
        </w:tc>
        <w:tc>
          <w:tcPr>
            <w:tcW w:w="687" w:type="pct"/>
            <w:shd w:val="clear" w:color="auto" w:fill="auto"/>
            <w:vAlign w:val="center"/>
          </w:tcPr>
          <w:p w:rsidR="00E4628C" w:rsidRPr="00070E4B" w:rsidRDefault="00E4628C" w:rsidP="00DB627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070E4B">
              <w:rPr>
                <w:sz w:val="20"/>
                <w:szCs w:val="20"/>
              </w:rPr>
              <w:t>Jordânia</w:t>
            </w:r>
          </w:p>
        </w:tc>
        <w:tc>
          <w:tcPr>
            <w:tcW w:w="763" w:type="pct"/>
            <w:shd w:val="clear" w:color="auto" w:fill="auto"/>
            <w:vAlign w:val="center"/>
          </w:tcPr>
          <w:p w:rsidR="00E4628C" w:rsidRPr="00070E4B" w:rsidRDefault="00E4628C" w:rsidP="00DB627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070E4B">
              <w:rPr>
                <w:sz w:val="20"/>
                <w:szCs w:val="20"/>
              </w:rPr>
              <w:t>2011 - 2015</w:t>
            </w:r>
          </w:p>
        </w:tc>
        <w:tc>
          <w:tcPr>
            <w:tcW w:w="1966" w:type="pct"/>
            <w:shd w:val="clear" w:color="auto" w:fill="auto"/>
            <w:vAlign w:val="center"/>
          </w:tcPr>
          <w:p w:rsidR="00E4628C" w:rsidRPr="00070E4B" w:rsidRDefault="00E4628C" w:rsidP="00DB6277">
            <w:pPr>
              <w:jc w:val="center"/>
              <w:cnfStyle w:val="000000100000" w:firstRow="0" w:lastRow="0" w:firstColumn="0" w:lastColumn="0" w:oddVBand="0" w:evenVBand="0" w:oddHBand="1" w:evenHBand="0" w:firstRowFirstColumn="0" w:firstRowLastColumn="0" w:lastRowFirstColumn="0" w:lastRowLastColumn="0"/>
              <w:rPr>
                <w:rFonts w:cs="Times New Roman"/>
                <w:color w:val="212121"/>
                <w:sz w:val="20"/>
                <w:szCs w:val="20"/>
                <w:lang w:val="pt-PT"/>
              </w:rPr>
            </w:pPr>
            <w:r w:rsidRPr="00070E4B">
              <w:rPr>
                <w:rFonts w:eastAsia="Times New Roman" w:cs="Times New Roman"/>
                <w:sz w:val="20"/>
                <w:szCs w:val="20"/>
                <w:lang w:eastAsia="pt-BR"/>
              </w:rPr>
              <w:t>LL ainda é mais poderoso que o RA para prever o desempenho futuro</w:t>
            </w:r>
          </w:p>
        </w:tc>
      </w:tr>
      <w:tr w:rsidR="00E4628C" w:rsidRPr="00070E4B" w:rsidTr="00DB6277">
        <w:trPr>
          <w:trHeight w:val="34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rsidR="00E4628C" w:rsidRPr="008E6E74" w:rsidRDefault="00E4628C" w:rsidP="00DB6277">
            <w:pPr>
              <w:pStyle w:val="NormalWeb"/>
              <w:spacing w:before="0" w:beforeAutospacing="0" w:after="0" w:afterAutospacing="0"/>
              <w:jc w:val="center"/>
              <w:rPr>
                <w:sz w:val="20"/>
                <w:szCs w:val="20"/>
              </w:rPr>
            </w:pPr>
            <w:r w:rsidRPr="008E6E74">
              <w:rPr>
                <w:sz w:val="20"/>
                <w:szCs w:val="20"/>
              </w:rPr>
              <w:t>Estudos Nacionais</w:t>
            </w:r>
          </w:p>
        </w:tc>
      </w:tr>
      <w:tr w:rsidR="00E4628C" w:rsidRPr="00070E4B" w:rsidTr="00DB6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4" w:type="pct"/>
            <w:shd w:val="clear" w:color="auto" w:fill="auto"/>
            <w:vAlign w:val="center"/>
          </w:tcPr>
          <w:p w:rsidR="00E4628C" w:rsidRPr="008E6E74" w:rsidRDefault="00E4628C" w:rsidP="00DB6277">
            <w:pPr>
              <w:pStyle w:val="NormalWeb"/>
              <w:spacing w:before="0" w:beforeAutospacing="0" w:after="0" w:afterAutospacing="0"/>
              <w:rPr>
                <w:b w:val="0"/>
                <w:sz w:val="20"/>
                <w:szCs w:val="20"/>
              </w:rPr>
            </w:pPr>
            <w:r w:rsidRPr="008E6E74">
              <w:rPr>
                <w:sz w:val="20"/>
                <w:szCs w:val="20"/>
              </w:rPr>
              <w:t xml:space="preserve">Pinheiro, Macedo e </w:t>
            </w:r>
            <w:proofErr w:type="spellStart"/>
            <w:r w:rsidRPr="008E6E74">
              <w:rPr>
                <w:sz w:val="20"/>
                <w:szCs w:val="20"/>
              </w:rPr>
              <w:t>Vilamaior</w:t>
            </w:r>
            <w:proofErr w:type="spellEnd"/>
            <w:r w:rsidRPr="008E6E74">
              <w:rPr>
                <w:sz w:val="20"/>
                <w:szCs w:val="20"/>
              </w:rPr>
              <w:t xml:space="preserve"> (2012</w:t>
            </w:r>
            <w:proofErr w:type="gramStart"/>
            <w:r w:rsidRPr="008E6E74">
              <w:rPr>
                <w:sz w:val="20"/>
                <w:szCs w:val="20"/>
              </w:rPr>
              <w:t>)</w:t>
            </w:r>
            <w:proofErr w:type="gramEnd"/>
          </w:p>
        </w:tc>
        <w:tc>
          <w:tcPr>
            <w:tcW w:w="687" w:type="pct"/>
            <w:shd w:val="clear" w:color="auto" w:fill="auto"/>
            <w:vAlign w:val="center"/>
          </w:tcPr>
          <w:p w:rsidR="00E4628C" w:rsidRPr="0064778B" w:rsidRDefault="00E4628C" w:rsidP="00DB627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64778B">
              <w:rPr>
                <w:sz w:val="20"/>
                <w:szCs w:val="20"/>
              </w:rPr>
              <w:t>Brasil (com publicação na NYSE)</w:t>
            </w:r>
          </w:p>
        </w:tc>
        <w:tc>
          <w:tcPr>
            <w:tcW w:w="763" w:type="pct"/>
            <w:shd w:val="clear" w:color="auto" w:fill="auto"/>
            <w:vAlign w:val="center"/>
          </w:tcPr>
          <w:p w:rsidR="00E4628C" w:rsidRPr="00F62CEB" w:rsidRDefault="00E4628C" w:rsidP="00DB627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D37D90">
              <w:rPr>
                <w:sz w:val="20"/>
                <w:szCs w:val="20"/>
              </w:rPr>
              <w:t>2003 a 2007</w:t>
            </w:r>
          </w:p>
        </w:tc>
        <w:tc>
          <w:tcPr>
            <w:tcW w:w="1966" w:type="pct"/>
            <w:shd w:val="clear" w:color="auto" w:fill="auto"/>
            <w:vAlign w:val="center"/>
          </w:tcPr>
          <w:p w:rsidR="00E4628C" w:rsidRPr="00014EAB" w:rsidRDefault="00E4628C" w:rsidP="00DB627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014EAB">
              <w:rPr>
                <w:sz w:val="20"/>
                <w:szCs w:val="20"/>
              </w:rPr>
              <w:t>Não há diferença na volatilidade entre LL e RA</w:t>
            </w:r>
          </w:p>
        </w:tc>
      </w:tr>
      <w:tr w:rsidR="00E4628C" w:rsidRPr="00070E4B" w:rsidTr="00DB6277">
        <w:tc>
          <w:tcPr>
            <w:cnfStyle w:val="001000000000" w:firstRow="0" w:lastRow="0" w:firstColumn="1" w:lastColumn="0" w:oddVBand="0" w:evenVBand="0" w:oddHBand="0" w:evenHBand="0" w:firstRowFirstColumn="0" w:firstRowLastColumn="0" w:lastRowFirstColumn="0" w:lastRowLastColumn="0"/>
            <w:tcW w:w="1584" w:type="pct"/>
            <w:shd w:val="clear" w:color="auto" w:fill="auto"/>
            <w:vAlign w:val="center"/>
          </w:tcPr>
          <w:p w:rsidR="00E4628C" w:rsidRPr="008E6E74" w:rsidRDefault="00E4628C" w:rsidP="00DB6277">
            <w:pPr>
              <w:pStyle w:val="NormalWeb"/>
              <w:spacing w:before="0" w:beforeAutospacing="0" w:after="0" w:afterAutospacing="0"/>
              <w:rPr>
                <w:b w:val="0"/>
                <w:sz w:val="20"/>
                <w:szCs w:val="20"/>
              </w:rPr>
            </w:pPr>
            <w:proofErr w:type="spellStart"/>
            <w:r w:rsidRPr="008E6E74">
              <w:rPr>
                <w:sz w:val="20"/>
                <w:szCs w:val="20"/>
              </w:rPr>
              <w:t>Mazzione</w:t>
            </w:r>
            <w:proofErr w:type="spellEnd"/>
            <w:proofErr w:type="gramStart"/>
            <w:r w:rsidRPr="008E6E74">
              <w:rPr>
                <w:sz w:val="20"/>
                <w:szCs w:val="20"/>
              </w:rPr>
              <w:t>, Oro</w:t>
            </w:r>
            <w:proofErr w:type="gramEnd"/>
            <w:r w:rsidRPr="008E6E74">
              <w:rPr>
                <w:sz w:val="20"/>
                <w:szCs w:val="20"/>
              </w:rPr>
              <w:t xml:space="preserve"> e </w:t>
            </w:r>
            <w:proofErr w:type="spellStart"/>
            <w:r w:rsidRPr="008E6E74">
              <w:rPr>
                <w:sz w:val="20"/>
                <w:szCs w:val="20"/>
              </w:rPr>
              <w:t>Scarpin</w:t>
            </w:r>
            <w:proofErr w:type="spellEnd"/>
            <w:r w:rsidRPr="008E6E74">
              <w:rPr>
                <w:sz w:val="20"/>
                <w:szCs w:val="20"/>
              </w:rPr>
              <w:t xml:space="preserve"> (2013)</w:t>
            </w:r>
          </w:p>
        </w:tc>
        <w:tc>
          <w:tcPr>
            <w:tcW w:w="687" w:type="pct"/>
            <w:shd w:val="clear" w:color="auto" w:fill="auto"/>
            <w:vAlign w:val="center"/>
          </w:tcPr>
          <w:p w:rsidR="00E4628C" w:rsidRPr="008E6E74" w:rsidRDefault="00E4628C" w:rsidP="00DB627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8E6E74">
              <w:rPr>
                <w:sz w:val="20"/>
                <w:szCs w:val="20"/>
              </w:rPr>
              <w:t>Brasil</w:t>
            </w:r>
          </w:p>
        </w:tc>
        <w:tc>
          <w:tcPr>
            <w:tcW w:w="763" w:type="pct"/>
            <w:shd w:val="clear" w:color="auto" w:fill="auto"/>
            <w:vAlign w:val="center"/>
          </w:tcPr>
          <w:p w:rsidR="00E4628C" w:rsidRPr="00C23B83" w:rsidRDefault="00E4628C" w:rsidP="00DB627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8E6E74">
              <w:rPr>
                <w:sz w:val="20"/>
                <w:szCs w:val="20"/>
              </w:rPr>
              <w:t>2010 e 2011</w:t>
            </w:r>
          </w:p>
        </w:tc>
        <w:tc>
          <w:tcPr>
            <w:tcW w:w="1966" w:type="pct"/>
            <w:shd w:val="clear" w:color="auto" w:fill="auto"/>
            <w:vAlign w:val="center"/>
          </w:tcPr>
          <w:p w:rsidR="00E4628C" w:rsidRPr="0064778B" w:rsidRDefault="00E4628C" w:rsidP="00DB627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64778B">
              <w:rPr>
                <w:sz w:val="20"/>
                <w:szCs w:val="20"/>
              </w:rPr>
              <w:t>Não há evidencia de que o RA possua melhor capacidade preditiva que LL</w:t>
            </w:r>
          </w:p>
        </w:tc>
      </w:tr>
      <w:tr w:rsidR="00E4628C" w:rsidRPr="00070E4B" w:rsidTr="00DB6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4" w:type="pct"/>
            <w:shd w:val="clear" w:color="auto" w:fill="auto"/>
            <w:vAlign w:val="center"/>
          </w:tcPr>
          <w:p w:rsidR="00E4628C" w:rsidRPr="008E6E74" w:rsidRDefault="00E4628C" w:rsidP="00DB6277">
            <w:pPr>
              <w:pStyle w:val="NormalWeb"/>
              <w:spacing w:before="0" w:beforeAutospacing="0" w:after="0" w:afterAutospacing="0"/>
              <w:rPr>
                <w:b w:val="0"/>
                <w:sz w:val="20"/>
                <w:szCs w:val="20"/>
              </w:rPr>
            </w:pPr>
            <w:proofErr w:type="spellStart"/>
            <w:r w:rsidRPr="008E6E74">
              <w:rPr>
                <w:sz w:val="20"/>
                <w:szCs w:val="20"/>
              </w:rPr>
              <w:t>Curcino</w:t>
            </w:r>
            <w:proofErr w:type="spellEnd"/>
            <w:r w:rsidRPr="008E6E74">
              <w:rPr>
                <w:sz w:val="20"/>
                <w:szCs w:val="20"/>
              </w:rPr>
              <w:t>, Lemes e Botinha (2014</w:t>
            </w:r>
            <w:proofErr w:type="gramStart"/>
            <w:r w:rsidRPr="008E6E74">
              <w:rPr>
                <w:sz w:val="20"/>
                <w:szCs w:val="20"/>
              </w:rPr>
              <w:t>)</w:t>
            </w:r>
            <w:proofErr w:type="gramEnd"/>
          </w:p>
        </w:tc>
        <w:tc>
          <w:tcPr>
            <w:tcW w:w="687" w:type="pct"/>
            <w:shd w:val="clear" w:color="auto" w:fill="auto"/>
            <w:vAlign w:val="center"/>
          </w:tcPr>
          <w:p w:rsidR="00E4628C" w:rsidRPr="008E6E74" w:rsidRDefault="00E4628C" w:rsidP="00DB627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8E6E74">
              <w:rPr>
                <w:sz w:val="20"/>
                <w:szCs w:val="20"/>
              </w:rPr>
              <w:t>Brasil</w:t>
            </w:r>
          </w:p>
        </w:tc>
        <w:tc>
          <w:tcPr>
            <w:tcW w:w="763" w:type="pct"/>
            <w:shd w:val="clear" w:color="auto" w:fill="auto"/>
            <w:vAlign w:val="center"/>
          </w:tcPr>
          <w:p w:rsidR="00E4628C" w:rsidRPr="00C23B83" w:rsidRDefault="00E4628C" w:rsidP="00DB627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8E6E74">
              <w:rPr>
                <w:sz w:val="20"/>
                <w:szCs w:val="20"/>
              </w:rPr>
              <w:t>2010 a 2012</w:t>
            </w:r>
          </w:p>
        </w:tc>
        <w:tc>
          <w:tcPr>
            <w:tcW w:w="1966" w:type="pct"/>
            <w:shd w:val="clear" w:color="auto" w:fill="auto"/>
            <w:vAlign w:val="center"/>
          </w:tcPr>
          <w:p w:rsidR="00E4628C" w:rsidRPr="00070E4B" w:rsidRDefault="00E4628C" w:rsidP="00DB627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64778B">
              <w:rPr>
                <w:sz w:val="20"/>
                <w:szCs w:val="20"/>
              </w:rPr>
              <w:t>Os indicadores financeiros de ROE e LPA, c</w:t>
            </w:r>
            <w:r w:rsidRPr="00070E4B">
              <w:rPr>
                <w:sz w:val="20"/>
                <w:szCs w:val="20"/>
              </w:rPr>
              <w:t xml:space="preserve">alculados com base no LL e RA não possuem diferença estatisticamente </w:t>
            </w:r>
            <w:proofErr w:type="gramStart"/>
            <w:r w:rsidRPr="00070E4B">
              <w:rPr>
                <w:sz w:val="20"/>
                <w:szCs w:val="20"/>
              </w:rPr>
              <w:t>significativa</w:t>
            </w:r>
            <w:proofErr w:type="gramEnd"/>
          </w:p>
        </w:tc>
      </w:tr>
      <w:tr w:rsidR="00E4628C" w:rsidRPr="00070E4B" w:rsidTr="00DB6277">
        <w:tc>
          <w:tcPr>
            <w:cnfStyle w:val="001000000000" w:firstRow="0" w:lastRow="0" w:firstColumn="1" w:lastColumn="0" w:oddVBand="0" w:evenVBand="0" w:oddHBand="0" w:evenHBand="0" w:firstRowFirstColumn="0" w:firstRowLastColumn="0" w:lastRowFirstColumn="0" w:lastRowLastColumn="0"/>
            <w:tcW w:w="1584" w:type="pct"/>
            <w:shd w:val="clear" w:color="auto" w:fill="auto"/>
            <w:vAlign w:val="center"/>
          </w:tcPr>
          <w:p w:rsidR="00E4628C" w:rsidRPr="008E6E74" w:rsidRDefault="00E4628C" w:rsidP="00DB6277">
            <w:pPr>
              <w:pStyle w:val="NormalWeb"/>
              <w:spacing w:before="0" w:beforeAutospacing="0" w:after="0" w:afterAutospacing="0"/>
              <w:rPr>
                <w:b w:val="0"/>
                <w:sz w:val="20"/>
                <w:szCs w:val="20"/>
              </w:rPr>
            </w:pPr>
            <w:proofErr w:type="spellStart"/>
            <w:r w:rsidRPr="008E6E74">
              <w:rPr>
                <w:sz w:val="20"/>
                <w:szCs w:val="20"/>
              </w:rPr>
              <w:t>Durso</w:t>
            </w:r>
            <w:proofErr w:type="spellEnd"/>
            <w:r w:rsidRPr="008E6E74">
              <w:rPr>
                <w:sz w:val="20"/>
                <w:szCs w:val="20"/>
              </w:rPr>
              <w:t xml:space="preserve"> e Mário (2014)</w:t>
            </w:r>
          </w:p>
        </w:tc>
        <w:tc>
          <w:tcPr>
            <w:tcW w:w="687" w:type="pct"/>
            <w:shd w:val="clear" w:color="auto" w:fill="auto"/>
            <w:vAlign w:val="center"/>
          </w:tcPr>
          <w:p w:rsidR="00E4628C" w:rsidRPr="008E6E74" w:rsidRDefault="00E4628C" w:rsidP="00DB627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8E6E74">
              <w:rPr>
                <w:sz w:val="20"/>
                <w:szCs w:val="20"/>
              </w:rPr>
              <w:t>Brasil</w:t>
            </w:r>
          </w:p>
        </w:tc>
        <w:tc>
          <w:tcPr>
            <w:tcW w:w="763" w:type="pct"/>
            <w:shd w:val="clear" w:color="auto" w:fill="auto"/>
            <w:vAlign w:val="center"/>
          </w:tcPr>
          <w:p w:rsidR="00E4628C" w:rsidRPr="00C23B83" w:rsidRDefault="00E4628C" w:rsidP="00DB627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8E6E74">
              <w:rPr>
                <w:sz w:val="20"/>
                <w:szCs w:val="20"/>
              </w:rPr>
              <w:t>2011 e 2012</w:t>
            </w:r>
          </w:p>
        </w:tc>
        <w:tc>
          <w:tcPr>
            <w:tcW w:w="1966" w:type="pct"/>
            <w:shd w:val="clear" w:color="auto" w:fill="auto"/>
            <w:vAlign w:val="center"/>
          </w:tcPr>
          <w:p w:rsidR="00E4628C" w:rsidRPr="0064778B" w:rsidRDefault="00E4628C" w:rsidP="00DB627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64778B">
              <w:rPr>
                <w:sz w:val="20"/>
                <w:szCs w:val="20"/>
              </w:rPr>
              <w:t>Não foi possível constatar que o RAC apresenta maior poder preditivo que o LL para as instituições do setor financeiro</w:t>
            </w:r>
          </w:p>
        </w:tc>
      </w:tr>
      <w:tr w:rsidR="00E4628C" w:rsidRPr="00070E4B" w:rsidTr="00DB6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4" w:type="pct"/>
            <w:shd w:val="clear" w:color="auto" w:fill="auto"/>
            <w:vAlign w:val="center"/>
          </w:tcPr>
          <w:p w:rsidR="00E4628C" w:rsidRPr="008E6E74" w:rsidRDefault="00E4628C" w:rsidP="00DB6277">
            <w:pPr>
              <w:pStyle w:val="NormalWeb"/>
              <w:spacing w:before="0" w:beforeAutospacing="0" w:after="0" w:afterAutospacing="0"/>
              <w:rPr>
                <w:b w:val="0"/>
                <w:sz w:val="20"/>
                <w:szCs w:val="20"/>
              </w:rPr>
            </w:pPr>
            <w:r w:rsidRPr="008E6E74">
              <w:rPr>
                <w:sz w:val="20"/>
                <w:szCs w:val="20"/>
              </w:rPr>
              <w:t>Coutinho e Silva (2015)</w:t>
            </w:r>
          </w:p>
        </w:tc>
        <w:tc>
          <w:tcPr>
            <w:tcW w:w="687" w:type="pct"/>
            <w:shd w:val="clear" w:color="auto" w:fill="auto"/>
            <w:vAlign w:val="center"/>
          </w:tcPr>
          <w:p w:rsidR="00E4628C" w:rsidRPr="008E6E74" w:rsidRDefault="00E4628C" w:rsidP="00DB627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8E6E74">
              <w:rPr>
                <w:sz w:val="20"/>
                <w:szCs w:val="20"/>
              </w:rPr>
              <w:t>Brasil</w:t>
            </w:r>
          </w:p>
        </w:tc>
        <w:tc>
          <w:tcPr>
            <w:tcW w:w="763" w:type="pct"/>
            <w:shd w:val="clear" w:color="auto" w:fill="auto"/>
            <w:vAlign w:val="center"/>
          </w:tcPr>
          <w:p w:rsidR="00E4628C" w:rsidRPr="00C23B83" w:rsidRDefault="00E4628C" w:rsidP="00DB627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8E6E74">
              <w:rPr>
                <w:sz w:val="20"/>
                <w:szCs w:val="20"/>
              </w:rPr>
              <w:t>2010 - 2012</w:t>
            </w:r>
          </w:p>
        </w:tc>
        <w:tc>
          <w:tcPr>
            <w:tcW w:w="1966" w:type="pct"/>
            <w:shd w:val="clear" w:color="auto" w:fill="auto"/>
            <w:vAlign w:val="center"/>
          </w:tcPr>
          <w:p w:rsidR="00E4628C" w:rsidRPr="00070E4B" w:rsidRDefault="00E4628C" w:rsidP="00DB627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64778B">
              <w:rPr>
                <w:sz w:val="20"/>
                <w:szCs w:val="20"/>
              </w:rPr>
              <w:t>Itens que compõem a DRA poderiam gerar volatilidade no resultado do exercício caso fossem divulgados na DRE</w:t>
            </w:r>
          </w:p>
        </w:tc>
      </w:tr>
    </w:tbl>
    <w:p w:rsidR="00E4628C" w:rsidRPr="00E80DB7" w:rsidRDefault="00E4628C" w:rsidP="00E4628C">
      <w:pPr>
        <w:spacing w:after="120"/>
        <w:jc w:val="both"/>
        <w:rPr>
          <w:rFonts w:cs="Times New Roman"/>
          <w:sz w:val="20"/>
          <w:szCs w:val="20"/>
        </w:rPr>
      </w:pPr>
      <w:r w:rsidRPr="00E80DB7">
        <w:rPr>
          <w:rFonts w:cs="Times New Roman"/>
          <w:sz w:val="20"/>
          <w:szCs w:val="20"/>
        </w:rPr>
        <w:t xml:space="preserve">Fonte: Adaptado de </w:t>
      </w:r>
      <w:proofErr w:type="spellStart"/>
      <w:r w:rsidRPr="00E80DB7">
        <w:rPr>
          <w:rFonts w:cs="Times New Roman"/>
          <w:sz w:val="20"/>
          <w:szCs w:val="20"/>
        </w:rPr>
        <w:t>Zulch</w:t>
      </w:r>
      <w:proofErr w:type="spellEnd"/>
      <w:r w:rsidRPr="00E80DB7">
        <w:rPr>
          <w:rFonts w:cs="Times New Roman"/>
          <w:sz w:val="20"/>
          <w:szCs w:val="20"/>
        </w:rPr>
        <w:t xml:space="preserve"> e </w:t>
      </w:r>
      <w:proofErr w:type="spellStart"/>
      <w:r w:rsidRPr="00E80DB7">
        <w:rPr>
          <w:rFonts w:cs="Times New Roman"/>
          <w:sz w:val="20"/>
          <w:szCs w:val="20"/>
        </w:rPr>
        <w:t>Pronobis</w:t>
      </w:r>
      <w:proofErr w:type="spellEnd"/>
      <w:r w:rsidRPr="00E80DB7">
        <w:rPr>
          <w:rFonts w:cs="Times New Roman"/>
          <w:sz w:val="20"/>
          <w:szCs w:val="20"/>
        </w:rPr>
        <w:t xml:space="preserve"> (2010)</w:t>
      </w:r>
      <w:r>
        <w:rPr>
          <w:rFonts w:cs="Times New Roman"/>
          <w:sz w:val="20"/>
          <w:szCs w:val="20"/>
        </w:rPr>
        <w:t xml:space="preserve"> e </w:t>
      </w:r>
      <w:proofErr w:type="spellStart"/>
      <w:r>
        <w:rPr>
          <w:rFonts w:cs="Times New Roman"/>
          <w:sz w:val="20"/>
          <w:szCs w:val="20"/>
        </w:rPr>
        <w:t>Bataineh</w:t>
      </w:r>
      <w:proofErr w:type="spellEnd"/>
      <w:r>
        <w:rPr>
          <w:rFonts w:cs="Times New Roman"/>
          <w:sz w:val="20"/>
          <w:szCs w:val="20"/>
        </w:rPr>
        <w:t xml:space="preserve"> e </w:t>
      </w:r>
      <w:proofErr w:type="spellStart"/>
      <w:r>
        <w:rPr>
          <w:rFonts w:cs="Times New Roman"/>
          <w:sz w:val="20"/>
          <w:szCs w:val="20"/>
        </w:rPr>
        <w:t>Rababah</w:t>
      </w:r>
      <w:proofErr w:type="spellEnd"/>
      <w:r>
        <w:rPr>
          <w:rFonts w:cs="Times New Roman"/>
          <w:sz w:val="20"/>
          <w:szCs w:val="20"/>
        </w:rPr>
        <w:t xml:space="preserve"> (2016)</w:t>
      </w:r>
      <w:r w:rsidRPr="00E80DB7">
        <w:rPr>
          <w:rFonts w:cs="Times New Roman"/>
          <w:sz w:val="20"/>
          <w:szCs w:val="20"/>
        </w:rPr>
        <w:t>.</w:t>
      </w:r>
    </w:p>
    <w:p w:rsidR="008033A1" w:rsidRDefault="008033A1" w:rsidP="008033A1">
      <w:pPr>
        <w:autoSpaceDE w:val="0"/>
        <w:autoSpaceDN w:val="0"/>
        <w:adjustRightInd w:val="0"/>
        <w:spacing w:line="360" w:lineRule="auto"/>
        <w:ind w:firstLine="709"/>
        <w:jc w:val="both"/>
        <w:rPr>
          <w:rFonts w:cs="Times New Roman"/>
        </w:rPr>
      </w:pPr>
      <w:r>
        <w:rPr>
          <w:rFonts w:cs="Times New Roman"/>
        </w:rPr>
        <w:lastRenderedPageBreak/>
        <w:t xml:space="preserve">Nota-se no Quadro </w:t>
      </w:r>
      <w:proofErr w:type="gramStart"/>
      <w:r>
        <w:rPr>
          <w:rFonts w:cs="Times New Roman"/>
        </w:rPr>
        <w:t>1</w:t>
      </w:r>
      <w:proofErr w:type="gramEnd"/>
      <w:r>
        <w:rPr>
          <w:rFonts w:cs="Times New Roman"/>
        </w:rPr>
        <w:t xml:space="preserve"> a importância de novos estudos para </w:t>
      </w:r>
      <w:r w:rsidRPr="00B7301F">
        <w:rPr>
          <w:rFonts w:cs="Times New Roman"/>
        </w:rPr>
        <w:t>analisar se as informações sobre o resultado abrangente.</w:t>
      </w:r>
      <w:r>
        <w:rPr>
          <w:rFonts w:cs="Times New Roman"/>
        </w:rPr>
        <w:t xml:space="preserve"> Ademais, Lourenço, Santos e Silva (2016,</w:t>
      </w:r>
      <w:r w:rsidRPr="00144BEC">
        <w:rPr>
          <w:rFonts w:cs="Times New Roman"/>
          <w:szCs w:val="24"/>
        </w:rPr>
        <w:t xml:space="preserve"> p.7) apoiam que “o</w:t>
      </w:r>
      <w:r w:rsidRPr="00070E4B">
        <w:rPr>
          <w:rFonts w:eastAsia="Times New Roman" w:cs="Times New Roman"/>
          <w:szCs w:val="24"/>
          <w:lang w:eastAsia="pt-BR"/>
        </w:rPr>
        <w:t xml:space="preserve"> resultado abrangente faz parte dos elementos utilizados para verificar o poder preditivo das informações contábeis e evidências empíricas de inúmeras pesquisas têm possibilitado a formação de diferentes propriedades desse critério de evidenciação</w:t>
      </w:r>
      <w:r>
        <w:rPr>
          <w:rFonts w:eastAsia="Times New Roman" w:cs="Times New Roman"/>
          <w:szCs w:val="24"/>
          <w:lang w:eastAsia="pt-BR"/>
        </w:rPr>
        <w:t>”</w:t>
      </w:r>
      <w:r w:rsidRPr="00070E4B">
        <w:rPr>
          <w:rFonts w:eastAsia="Times New Roman" w:cs="Times New Roman"/>
          <w:szCs w:val="24"/>
          <w:lang w:eastAsia="pt-BR"/>
        </w:rPr>
        <w:t>.</w:t>
      </w:r>
      <w:r>
        <w:rPr>
          <w:rFonts w:eastAsia="Times New Roman" w:cs="Times New Roman"/>
          <w:szCs w:val="24"/>
          <w:lang w:eastAsia="pt-BR"/>
        </w:rPr>
        <w:t xml:space="preserve"> Logo, tem-se uma lacuna latente para saber se os</w:t>
      </w:r>
      <w:r w:rsidRPr="00B7301F">
        <w:rPr>
          <w:rFonts w:cs="Times New Roman"/>
        </w:rPr>
        <w:t xml:space="preserve"> componentes individuais </w:t>
      </w:r>
      <w:r>
        <w:rPr>
          <w:rFonts w:cs="Times New Roman"/>
        </w:rPr>
        <w:t>do</w:t>
      </w:r>
      <w:r w:rsidR="00F82991">
        <w:rPr>
          <w:rFonts w:cs="Times New Roman"/>
        </w:rPr>
        <w:t>s ORA</w:t>
      </w:r>
      <w:r>
        <w:rPr>
          <w:rFonts w:cs="Times New Roman"/>
        </w:rPr>
        <w:t xml:space="preserve"> </w:t>
      </w:r>
      <w:r w:rsidRPr="00B7301F">
        <w:rPr>
          <w:rFonts w:cs="Times New Roman"/>
        </w:rPr>
        <w:t>têm poder preditivo para determinar o fluxo de caixa operacional futuro</w:t>
      </w:r>
      <w:r>
        <w:rPr>
          <w:rFonts w:cs="Times New Roman"/>
        </w:rPr>
        <w:t>.</w:t>
      </w:r>
    </w:p>
    <w:p w:rsidR="008033A1" w:rsidRDefault="008033A1" w:rsidP="008033A1">
      <w:pPr>
        <w:autoSpaceDE w:val="0"/>
        <w:autoSpaceDN w:val="0"/>
        <w:adjustRightInd w:val="0"/>
        <w:spacing w:line="360" w:lineRule="auto"/>
        <w:ind w:firstLine="709"/>
        <w:jc w:val="both"/>
        <w:rPr>
          <w:rFonts w:eastAsia="Times New Roman" w:cs="Times New Roman"/>
          <w:szCs w:val="24"/>
          <w:lang w:eastAsia="pt-BR"/>
        </w:rPr>
      </w:pPr>
      <w:r w:rsidRPr="008D4B6F">
        <w:rPr>
          <w:rFonts w:cs="Times New Roman"/>
          <w:szCs w:val="24"/>
        </w:rPr>
        <w:t>Lourenço, Santos e Silva (2016,</w:t>
      </w:r>
      <w:r w:rsidRPr="000835E0">
        <w:rPr>
          <w:rFonts w:cs="Times New Roman"/>
          <w:szCs w:val="24"/>
        </w:rPr>
        <w:t xml:space="preserve"> p</w:t>
      </w:r>
      <w:r w:rsidRPr="007F7110">
        <w:rPr>
          <w:rFonts w:cs="Times New Roman"/>
          <w:szCs w:val="24"/>
        </w:rPr>
        <w:t>.7) acrescentam que</w:t>
      </w:r>
      <w:r w:rsidR="00420660">
        <w:rPr>
          <w:rFonts w:cs="Times New Roman"/>
          <w:szCs w:val="24"/>
        </w:rPr>
        <w:t>, na visão de</w:t>
      </w:r>
      <w:r w:rsidRPr="007F7110">
        <w:rPr>
          <w:rFonts w:cs="Times New Roman"/>
          <w:szCs w:val="24"/>
        </w:rPr>
        <w:t xml:space="preserve"> Keati</w:t>
      </w:r>
      <w:r w:rsidRPr="00043425">
        <w:rPr>
          <w:rFonts w:cs="Times New Roman"/>
          <w:szCs w:val="24"/>
        </w:rPr>
        <w:t>ng (1999), d</w:t>
      </w:r>
      <w:r w:rsidRPr="00070E4B">
        <w:rPr>
          <w:rFonts w:eastAsia="Times New Roman" w:cs="Times New Roman"/>
          <w:szCs w:val="24"/>
          <w:lang w:eastAsia="pt-BR"/>
        </w:rPr>
        <w:t>ar atenção a itens de outros resultados abrangentes torna a contabilidade financeira útil para a tomada de decisões de credores e investidores, pois se a empresa tem um ganho não realizado durante determinado período e tal fato não é divulgado, pode-se comprometer a tomada de decisão.</w:t>
      </w:r>
    </w:p>
    <w:p w:rsidR="008033A1" w:rsidRPr="0015436A" w:rsidRDefault="008033A1" w:rsidP="008033A1">
      <w:pPr>
        <w:autoSpaceDE w:val="0"/>
        <w:autoSpaceDN w:val="0"/>
        <w:adjustRightInd w:val="0"/>
        <w:spacing w:line="360" w:lineRule="auto"/>
        <w:ind w:firstLine="709"/>
        <w:jc w:val="both"/>
        <w:rPr>
          <w:rFonts w:eastAsia="Times New Roman" w:cs="Times New Roman"/>
          <w:szCs w:val="24"/>
          <w:lang w:eastAsia="pt-BR"/>
        </w:rPr>
      </w:pPr>
      <w:r w:rsidRPr="0015436A">
        <w:rPr>
          <w:rFonts w:eastAsia="Times New Roman" w:cs="Times New Roman"/>
          <w:szCs w:val="24"/>
          <w:lang w:eastAsia="pt-BR"/>
        </w:rPr>
        <w:t xml:space="preserve">Nesse sentido, </w:t>
      </w:r>
      <w:r w:rsidRPr="00614BCC">
        <w:rPr>
          <w:rFonts w:eastAsia="Times New Roman" w:cs="Times New Roman"/>
          <w:szCs w:val="24"/>
          <w:lang w:eastAsia="pt-BR"/>
        </w:rPr>
        <w:t xml:space="preserve">estabelecer estudos sobre </w:t>
      </w:r>
      <w:proofErr w:type="spellStart"/>
      <w:r w:rsidRPr="00070E4B">
        <w:rPr>
          <w:rFonts w:cs="Myriad Pro"/>
          <w:i/>
          <w:color w:val="000000"/>
          <w:szCs w:val="24"/>
        </w:rPr>
        <w:t>value</w:t>
      </w:r>
      <w:proofErr w:type="spellEnd"/>
      <w:r w:rsidRPr="00070E4B">
        <w:rPr>
          <w:rFonts w:cs="Myriad Pro"/>
          <w:i/>
          <w:color w:val="000000"/>
          <w:szCs w:val="24"/>
        </w:rPr>
        <w:t xml:space="preserve"> </w:t>
      </w:r>
      <w:proofErr w:type="spellStart"/>
      <w:r w:rsidRPr="00070E4B">
        <w:rPr>
          <w:rFonts w:cs="Myriad Pro"/>
          <w:i/>
          <w:color w:val="000000"/>
          <w:szCs w:val="24"/>
        </w:rPr>
        <w:t>relevance</w:t>
      </w:r>
      <w:proofErr w:type="spellEnd"/>
      <w:r w:rsidRPr="00070E4B">
        <w:rPr>
          <w:rFonts w:cs="Myriad Pro"/>
          <w:color w:val="000000"/>
          <w:szCs w:val="24"/>
        </w:rPr>
        <w:t xml:space="preserve"> em conjunto com </w:t>
      </w:r>
      <w:r w:rsidR="00F82991">
        <w:rPr>
          <w:rFonts w:cs="Myriad Pro"/>
          <w:color w:val="000000"/>
          <w:szCs w:val="24"/>
        </w:rPr>
        <w:t>ORA</w:t>
      </w:r>
      <w:r w:rsidRPr="00070E4B">
        <w:rPr>
          <w:rFonts w:cs="Myriad Pro"/>
          <w:color w:val="000000"/>
          <w:szCs w:val="24"/>
        </w:rPr>
        <w:t xml:space="preserve"> tem por finalidade desenvolver o entendimento sobre a relevância e a confiabilidade dos números contábeis reportados em seus componentes, criando subsídios para a correta tomada de decisões no mercado de capitais. Madeira e Costa Júnior (2015, p.210) inserem que, “com relação aos outros resultados abrangentes, os estudos realizados até o momento evidenciam que a maior parte dos itens que compõem esse grupo </w:t>
      </w:r>
      <w:proofErr w:type="gramStart"/>
      <w:r w:rsidRPr="00070E4B">
        <w:rPr>
          <w:rFonts w:cs="Myriad Pro"/>
          <w:color w:val="000000"/>
          <w:szCs w:val="24"/>
        </w:rPr>
        <w:t>são</w:t>
      </w:r>
      <w:proofErr w:type="gramEnd"/>
      <w:r w:rsidRPr="00070E4B">
        <w:rPr>
          <w:rFonts w:cs="Myriad Pro"/>
          <w:color w:val="000000"/>
          <w:szCs w:val="24"/>
        </w:rPr>
        <w:t xml:space="preserve"> </w:t>
      </w:r>
      <w:proofErr w:type="spellStart"/>
      <w:r w:rsidRPr="00070E4B">
        <w:rPr>
          <w:rFonts w:cs="Myriad Pro"/>
          <w:i/>
          <w:color w:val="000000"/>
          <w:szCs w:val="24"/>
        </w:rPr>
        <w:t>value</w:t>
      </w:r>
      <w:proofErr w:type="spellEnd"/>
      <w:r w:rsidRPr="00070E4B">
        <w:rPr>
          <w:rFonts w:cs="Myriad Pro"/>
          <w:i/>
          <w:color w:val="000000"/>
          <w:szCs w:val="24"/>
        </w:rPr>
        <w:t xml:space="preserve"> </w:t>
      </w:r>
      <w:proofErr w:type="spellStart"/>
      <w:r w:rsidRPr="00070E4B">
        <w:rPr>
          <w:rFonts w:cs="Myriad Pro"/>
          <w:i/>
          <w:color w:val="000000"/>
          <w:szCs w:val="24"/>
        </w:rPr>
        <w:t>relevant</w:t>
      </w:r>
      <w:proofErr w:type="spellEnd"/>
      <w:r w:rsidRPr="00070E4B">
        <w:rPr>
          <w:rFonts w:cs="Myriad Pro"/>
          <w:color w:val="000000"/>
          <w:szCs w:val="24"/>
        </w:rPr>
        <w:t xml:space="preserve">”. Contudo, estes autores esclarecem que os achados dessas pesquisas também mostram diferenças significativas de </w:t>
      </w:r>
      <w:proofErr w:type="spellStart"/>
      <w:r w:rsidRPr="00070E4B">
        <w:rPr>
          <w:rFonts w:cs="Myriad Pro"/>
          <w:i/>
          <w:color w:val="000000"/>
          <w:szCs w:val="24"/>
        </w:rPr>
        <w:t>value</w:t>
      </w:r>
      <w:proofErr w:type="spellEnd"/>
      <w:r w:rsidRPr="00070E4B">
        <w:rPr>
          <w:rFonts w:cs="Myriad Pro"/>
          <w:i/>
          <w:color w:val="000000"/>
          <w:szCs w:val="24"/>
        </w:rPr>
        <w:t xml:space="preserve"> </w:t>
      </w:r>
      <w:proofErr w:type="spellStart"/>
      <w:r w:rsidRPr="00070E4B">
        <w:rPr>
          <w:rFonts w:cs="Myriad Pro"/>
          <w:i/>
          <w:color w:val="000000"/>
          <w:szCs w:val="24"/>
        </w:rPr>
        <w:t>relevance</w:t>
      </w:r>
      <w:proofErr w:type="spellEnd"/>
      <w:r w:rsidRPr="00070E4B">
        <w:rPr>
          <w:rFonts w:cs="Myriad Pro"/>
          <w:i/>
          <w:color w:val="000000"/>
          <w:szCs w:val="24"/>
        </w:rPr>
        <w:t xml:space="preserve"> </w:t>
      </w:r>
      <w:r w:rsidRPr="00070E4B">
        <w:rPr>
          <w:rFonts w:cs="Myriad Pro"/>
          <w:color w:val="000000"/>
          <w:szCs w:val="24"/>
        </w:rPr>
        <w:t>entre estes itens.</w:t>
      </w:r>
    </w:p>
    <w:p w:rsidR="00A11CAF" w:rsidRDefault="00A11CAF" w:rsidP="00E80DB7">
      <w:pPr>
        <w:spacing w:line="360" w:lineRule="auto"/>
        <w:jc w:val="both"/>
        <w:rPr>
          <w:rFonts w:cs="Times New Roman"/>
        </w:rPr>
      </w:pPr>
    </w:p>
    <w:p w:rsidR="00B7536A" w:rsidRPr="00E80DB7" w:rsidRDefault="006F308E" w:rsidP="00E80DB7">
      <w:pPr>
        <w:spacing w:line="360" w:lineRule="auto"/>
        <w:jc w:val="both"/>
        <w:rPr>
          <w:rFonts w:cs="Times New Roman"/>
          <w:b/>
        </w:rPr>
      </w:pPr>
      <w:r>
        <w:rPr>
          <w:rFonts w:cs="Times New Roman"/>
          <w:b/>
        </w:rPr>
        <w:t>3. METODOLOGIA</w:t>
      </w:r>
    </w:p>
    <w:p w:rsidR="00591955" w:rsidRDefault="00B7536A" w:rsidP="00E80DB7">
      <w:pPr>
        <w:spacing w:line="360" w:lineRule="auto"/>
        <w:jc w:val="both"/>
        <w:rPr>
          <w:rFonts w:cs="Times New Roman"/>
          <w:b/>
        </w:rPr>
      </w:pPr>
      <w:r w:rsidRPr="00A56A9D">
        <w:rPr>
          <w:rFonts w:cs="Times New Roman"/>
          <w:b/>
        </w:rPr>
        <w:t>3.1.</w:t>
      </w:r>
      <w:r w:rsidR="00591955">
        <w:rPr>
          <w:rFonts w:cs="Times New Roman"/>
          <w:b/>
        </w:rPr>
        <w:t xml:space="preserve"> Caracterização da pesquisa</w:t>
      </w:r>
    </w:p>
    <w:p w:rsidR="00457D72" w:rsidRDefault="00457D72" w:rsidP="005668E3">
      <w:pPr>
        <w:spacing w:line="360" w:lineRule="auto"/>
        <w:ind w:firstLine="708"/>
        <w:jc w:val="both"/>
        <w:rPr>
          <w:szCs w:val="24"/>
        </w:rPr>
      </w:pPr>
      <w:r>
        <w:rPr>
          <w:szCs w:val="24"/>
        </w:rPr>
        <w:t xml:space="preserve">A pesquisa tomou como base o estudo </w:t>
      </w:r>
      <w:r w:rsidRPr="00765D9D">
        <w:rPr>
          <w:szCs w:val="24"/>
        </w:rPr>
        <w:t>descritivo</w:t>
      </w:r>
      <w:r>
        <w:rPr>
          <w:szCs w:val="24"/>
        </w:rPr>
        <w:t xml:space="preserve"> </w:t>
      </w:r>
      <w:r w:rsidR="00DB08F5">
        <w:rPr>
          <w:szCs w:val="24"/>
        </w:rPr>
        <w:t xml:space="preserve">com </w:t>
      </w:r>
      <w:r>
        <w:rPr>
          <w:szCs w:val="24"/>
        </w:rPr>
        <w:t xml:space="preserve">dados </w:t>
      </w:r>
      <w:r w:rsidRPr="00765D9D">
        <w:rPr>
          <w:szCs w:val="24"/>
        </w:rPr>
        <w:t>secundári</w:t>
      </w:r>
      <w:r>
        <w:rPr>
          <w:szCs w:val="24"/>
        </w:rPr>
        <w:t>o</w:t>
      </w:r>
      <w:r w:rsidRPr="00765D9D">
        <w:rPr>
          <w:szCs w:val="24"/>
        </w:rPr>
        <w:t>s</w:t>
      </w:r>
      <w:r>
        <w:rPr>
          <w:szCs w:val="24"/>
        </w:rPr>
        <w:t xml:space="preserve"> </w:t>
      </w:r>
      <w:r w:rsidR="00E8257A">
        <w:rPr>
          <w:szCs w:val="24"/>
        </w:rPr>
        <w:t>coletados por pesquisa documental</w:t>
      </w:r>
      <w:r w:rsidR="00896924">
        <w:rPr>
          <w:szCs w:val="24"/>
        </w:rPr>
        <w:t>.</w:t>
      </w:r>
      <w:r w:rsidR="00DB08F5">
        <w:rPr>
          <w:rFonts w:cs="Times New Roman"/>
        </w:rPr>
        <w:t xml:space="preserve"> </w:t>
      </w:r>
      <w:r w:rsidR="00986CB4">
        <w:rPr>
          <w:rFonts w:cs="Times New Roman"/>
        </w:rPr>
        <w:t xml:space="preserve">Foram </w:t>
      </w:r>
      <w:r w:rsidR="00DB08F5">
        <w:rPr>
          <w:rFonts w:cs="Times New Roman"/>
        </w:rPr>
        <w:t>utiliz</w:t>
      </w:r>
      <w:r w:rsidR="00986CB4">
        <w:rPr>
          <w:rFonts w:cs="Times New Roman"/>
        </w:rPr>
        <w:t>adas</w:t>
      </w:r>
      <w:r w:rsidR="00DB08F5">
        <w:rPr>
          <w:rFonts w:cs="Times New Roman"/>
        </w:rPr>
        <w:t xml:space="preserve"> </w:t>
      </w:r>
      <w:r w:rsidRPr="00765D9D">
        <w:rPr>
          <w:szCs w:val="24"/>
        </w:rPr>
        <w:t>técnicas de avaliação</w:t>
      </w:r>
      <w:r w:rsidR="00DB08F5">
        <w:rPr>
          <w:szCs w:val="24"/>
        </w:rPr>
        <w:t xml:space="preserve"> </w:t>
      </w:r>
      <w:r w:rsidRPr="00765D9D">
        <w:rPr>
          <w:szCs w:val="24"/>
        </w:rPr>
        <w:t>quantitativa</w:t>
      </w:r>
      <w:r w:rsidR="00DB08F5">
        <w:rPr>
          <w:szCs w:val="24"/>
        </w:rPr>
        <w:t xml:space="preserve">s </w:t>
      </w:r>
      <w:r w:rsidR="0000643D">
        <w:rPr>
          <w:szCs w:val="24"/>
        </w:rPr>
        <w:t>alicerçadas em estatísticas descritivas e modelos de regressão de an</w:t>
      </w:r>
      <w:r w:rsidR="001113B4">
        <w:rPr>
          <w:szCs w:val="24"/>
        </w:rPr>
        <w:t>álise multivariada</w:t>
      </w:r>
      <w:r w:rsidR="00986CB4">
        <w:rPr>
          <w:szCs w:val="24"/>
        </w:rPr>
        <w:t>.</w:t>
      </w:r>
    </w:p>
    <w:p w:rsidR="00FA21A5" w:rsidRDefault="00FA21A5" w:rsidP="00E80DB7">
      <w:pPr>
        <w:spacing w:line="360" w:lineRule="auto"/>
        <w:jc w:val="both"/>
        <w:rPr>
          <w:rFonts w:cs="Times New Roman"/>
          <w:b/>
        </w:rPr>
      </w:pPr>
    </w:p>
    <w:p w:rsidR="00B7536A" w:rsidRPr="00A56A9D" w:rsidRDefault="00215102" w:rsidP="00E80DB7">
      <w:pPr>
        <w:spacing w:line="360" w:lineRule="auto"/>
        <w:jc w:val="both"/>
        <w:rPr>
          <w:rFonts w:cs="Times New Roman"/>
          <w:b/>
        </w:rPr>
      </w:pPr>
      <w:r>
        <w:rPr>
          <w:rFonts w:cs="Times New Roman"/>
          <w:b/>
        </w:rPr>
        <w:t>3.2.</w:t>
      </w:r>
      <w:r w:rsidR="00B7536A" w:rsidRPr="00A56A9D">
        <w:rPr>
          <w:rFonts w:cs="Times New Roman"/>
          <w:b/>
        </w:rPr>
        <w:t xml:space="preserve"> </w:t>
      </w:r>
      <w:r w:rsidR="00F37B82">
        <w:rPr>
          <w:rFonts w:cs="Times New Roman"/>
          <w:b/>
        </w:rPr>
        <w:t>Seleção da</w:t>
      </w:r>
      <w:r w:rsidR="00B7536A" w:rsidRPr="00A56A9D">
        <w:rPr>
          <w:rFonts w:cs="Times New Roman"/>
          <w:b/>
        </w:rPr>
        <w:t xml:space="preserve"> amostra</w:t>
      </w:r>
    </w:p>
    <w:p w:rsidR="00C4647C" w:rsidRDefault="00A35CFB" w:rsidP="00E80DB7">
      <w:pPr>
        <w:spacing w:line="360" w:lineRule="auto"/>
        <w:ind w:firstLine="709"/>
        <w:jc w:val="both"/>
        <w:rPr>
          <w:rFonts w:cs="Times New Roman"/>
        </w:rPr>
      </w:pPr>
      <w:r>
        <w:rPr>
          <w:rFonts w:cs="Times New Roman"/>
        </w:rPr>
        <w:t>A seleção das empresas</w:t>
      </w:r>
      <w:r w:rsidR="00421764">
        <w:rPr>
          <w:rFonts w:cs="Times New Roman"/>
        </w:rPr>
        <w:t xml:space="preserve"> componentes da amostra</w:t>
      </w:r>
      <w:r>
        <w:rPr>
          <w:rFonts w:cs="Times New Roman"/>
        </w:rPr>
        <w:t xml:space="preserve"> foi realizada considerando a disponibilidade das informações </w:t>
      </w:r>
      <w:r w:rsidR="002D1B14">
        <w:rPr>
          <w:rFonts w:cs="Times New Roman"/>
        </w:rPr>
        <w:t xml:space="preserve">sobre </w:t>
      </w:r>
      <w:proofErr w:type="gramStart"/>
      <w:r w:rsidR="002D1B14">
        <w:rPr>
          <w:rFonts w:cs="Times New Roman"/>
        </w:rPr>
        <w:t>as variáveis</w:t>
      </w:r>
      <w:r>
        <w:rPr>
          <w:rFonts w:cs="Times New Roman"/>
        </w:rPr>
        <w:t xml:space="preserve"> Fluxo</w:t>
      </w:r>
      <w:proofErr w:type="gramEnd"/>
      <w:r>
        <w:rPr>
          <w:rFonts w:cs="Times New Roman"/>
        </w:rPr>
        <w:t xml:space="preserve"> de Caixa Operacional e Preço das </w:t>
      </w:r>
      <w:r w:rsidR="00EA1A3C">
        <w:rPr>
          <w:rFonts w:cs="Times New Roman"/>
        </w:rPr>
        <w:t>Ações</w:t>
      </w:r>
      <w:r>
        <w:rPr>
          <w:rFonts w:cs="Times New Roman"/>
        </w:rPr>
        <w:t>.</w:t>
      </w:r>
      <w:r w:rsidR="001113B4">
        <w:rPr>
          <w:rFonts w:cs="Times New Roman"/>
        </w:rPr>
        <w:t xml:space="preserve"> </w:t>
      </w:r>
      <w:r w:rsidR="00B54C6E">
        <w:rPr>
          <w:rFonts w:cs="Times New Roman"/>
        </w:rPr>
        <w:t>No</w:t>
      </w:r>
      <w:r>
        <w:rPr>
          <w:rFonts w:cs="Times New Roman"/>
        </w:rPr>
        <w:t xml:space="preserve"> levantamento inicial pôde-se perceber</w:t>
      </w:r>
      <w:r w:rsidR="007A581F">
        <w:rPr>
          <w:rFonts w:cs="Times New Roman"/>
        </w:rPr>
        <w:t xml:space="preserve"> a</w:t>
      </w:r>
      <w:r w:rsidR="007A581F" w:rsidRPr="007A581F">
        <w:rPr>
          <w:rFonts w:cs="Times New Roman"/>
        </w:rPr>
        <w:t xml:space="preserve"> baixa qualidade de divulgação dos itens que compõe o</w:t>
      </w:r>
      <w:r w:rsidR="00E60259">
        <w:rPr>
          <w:rFonts w:cs="Times New Roman"/>
        </w:rPr>
        <w:t xml:space="preserve">s outros </w:t>
      </w:r>
      <w:r w:rsidR="007A581F" w:rsidRPr="007A581F">
        <w:rPr>
          <w:rFonts w:cs="Times New Roman"/>
        </w:rPr>
        <w:t>resultado</w:t>
      </w:r>
      <w:r w:rsidR="00E60259">
        <w:rPr>
          <w:rFonts w:cs="Times New Roman"/>
        </w:rPr>
        <w:t>s</w:t>
      </w:r>
      <w:r w:rsidR="007A581F" w:rsidRPr="007A581F">
        <w:rPr>
          <w:rFonts w:cs="Times New Roman"/>
        </w:rPr>
        <w:t xml:space="preserve"> abrangente</w:t>
      </w:r>
      <w:r w:rsidR="00E60259">
        <w:rPr>
          <w:rFonts w:cs="Times New Roman"/>
        </w:rPr>
        <w:t>s</w:t>
      </w:r>
      <w:r w:rsidR="006526F8">
        <w:rPr>
          <w:rFonts w:cs="Times New Roman"/>
        </w:rPr>
        <w:t xml:space="preserve">. Ademais, </w:t>
      </w:r>
      <w:r w:rsidR="00B54C6E">
        <w:rPr>
          <w:rFonts w:cs="Times New Roman"/>
        </w:rPr>
        <w:t>a maioria da</w:t>
      </w:r>
      <w:r>
        <w:rPr>
          <w:rFonts w:cs="Times New Roman"/>
        </w:rPr>
        <w:t xml:space="preserve">s empresas </w:t>
      </w:r>
      <w:r w:rsidR="004C74AC">
        <w:rPr>
          <w:rFonts w:cs="Times New Roman"/>
        </w:rPr>
        <w:t>passou a divulgar a DRA com informações d</w:t>
      </w:r>
      <w:r w:rsidR="00C91050">
        <w:rPr>
          <w:rFonts w:cs="Times New Roman"/>
        </w:rPr>
        <w:t xml:space="preserve">iscriminadas dos componentes dos ORA </w:t>
      </w:r>
      <w:r w:rsidR="00B54C6E">
        <w:rPr>
          <w:rFonts w:cs="Times New Roman"/>
        </w:rPr>
        <w:t xml:space="preserve">somente </w:t>
      </w:r>
      <w:r w:rsidR="004C74AC">
        <w:rPr>
          <w:rFonts w:cs="Times New Roman"/>
        </w:rPr>
        <w:t xml:space="preserve">no </w:t>
      </w:r>
      <w:r w:rsidR="004C74AC">
        <w:rPr>
          <w:rFonts w:cs="Times New Roman"/>
        </w:rPr>
        <w:lastRenderedPageBreak/>
        <w:t>triênio</w:t>
      </w:r>
      <w:r w:rsidR="00AB3B8E">
        <w:rPr>
          <w:rFonts w:cs="Times New Roman"/>
        </w:rPr>
        <w:t xml:space="preserve"> que compreendeu os anos de </w:t>
      </w:r>
      <w:r w:rsidR="004C74AC">
        <w:rPr>
          <w:rFonts w:cs="Times New Roman"/>
        </w:rPr>
        <w:t>2012</w:t>
      </w:r>
      <w:r w:rsidR="00AB3B8E">
        <w:rPr>
          <w:rFonts w:cs="Times New Roman"/>
        </w:rPr>
        <w:t xml:space="preserve"> a </w:t>
      </w:r>
      <w:r w:rsidR="004C74AC">
        <w:rPr>
          <w:rFonts w:cs="Times New Roman"/>
        </w:rPr>
        <w:t>2014</w:t>
      </w:r>
      <w:r w:rsidR="007A581F">
        <w:rPr>
          <w:rFonts w:cs="Times New Roman"/>
        </w:rPr>
        <w:t>.</w:t>
      </w:r>
      <w:r w:rsidR="004C74AC">
        <w:rPr>
          <w:rFonts w:cs="Times New Roman"/>
        </w:rPr>
        <w:t xml:space="preserve"> </w:t>
      </w:r>
      <w:r w:rsidR="007A581F">
        <w:rPr>
          <w:rFonts w:cs="Times New Roman"/>
        </w:rPr>
        <w:t>Dessa forma, f</w:t>
      </w:r>
      <w:r w:rsidR="007A581F" w:rsidRPr="007A581F">
        <w:rPr>
          <w:rFonts w:cs="Times New Roman"/>
        </w:rPr>
        <w:t>oram desconsiderados os dados relativos ao</w:t>
      </w:r>
      <w:r w:rsidR="007A581F">
        <w:rPr>
          <w:rFonts w:cs="Times New Roman"/>
        </w:rPr>
        <w:t xml:space="preserve"> </w:t>
      </w:r>
      <w:r w:rsidR="007A581F" w:rsidRPr="007A581F">
        <w:rPr>
          <w:rFonts w:cs="Times New Roman"/>
        </w:rPr>
        <w:t xml:space="preserve">período inicial da adoção das </w:t>
      </w:r>
      <w:r w:rsidR="00AD2831">
        <w:rPr>
          <w:rFonts w:cs="Times New Roman"/>
        </w:rPr>
        <w:t>IFRS</w:t>
      </w:r>
      <w:r w:rsidR="00272547">
        <w:rPr>
          <w:rFonts w:cs="Times New Roman"/>
        </w:rPr>
        <w:t>,</w:t>
      </w:r>
      <w:r w:rsidR="007A581F">
        <w:rPr>
          <w:rFonts w:cs="Times New Roman"/>
        </w:rPr>
        <w:t xml:space="preserve"> </w:t>
      </w:r>
      <w:r w:rsidR="00AD2831">
        <w:rPr>
          <w:rFonts w:cs="Times New Roman"/>
        </w:rPr>
        <w:t xml:space="preserve">ou seja, </w:t>
      </w:r>
      <w:r w:rsidR="007A581F">
        <w:rPr>
          <w:rFonts w:cs="Times New Roman"/>
        </w:rPr>
        <w:t xml:space="preserve">os </w:t>
      </w:r>
      <w:r w:rsidR="007A581F" w:rsidRPr="007A581F">
        <w:rPr>
          <w:rFonts w:cs="Times New Roman"/>
        </w:rPr>
        <w:t>anos de 2010 e 2011.</w:t>
      </w:r>
    </w:p>
    <w:p w:rsidR="00195332" w:rsidRPr="00231028" w:rsidRDefault="00B15F32" w:rsidP="00195332">
      <w:pPr>
        <w:spacing w:line="360" w:lineRule="auto"/>
        <w:ind w:firstLine="709"/>
        <w:jc w:val="both"/>
        <w:rPr>
          <w:rFonts w:cs="Times New Roman"/>
        </w:rPr>
      </w:pPr>
      <w:r>
        <w:rPr>
          <w:rFonts w:cs="Times New Roman"/>
        </w:rPr>
        <w:t>F</w:t>
      </w:r>
      <w:r w:rsidR="00FA21A5">
        <w:rPr>
          <w:rFonts w:cs="Times New Roman"/>
        </w:rPr>
        <w:t xml:space="preserve">oram estabelecidos dois </w:t>
      </w:r>
      <w:r w:rsidR="007A371B">
        <w:rPr>
          <w:rFonts w:cs="Times New Roman"/>
        </w:rPr>
        <w:t>momentos de estudo</w:t>
      </w:r>
      <w:r>
        <w:rPr>
          <w:rFonts w:cs="Times New Roman"/>
        </w:rPr>
        <w:t xml:space="preserve"> visando atender o problema de pesquisa proposto</w:t>
      </w:r>
      <w:r w:rsidR="00FA21A5">
        <w:rPr>
          <w:rFonts w:cs="Times New Roman"/>
        </w:rPr>
        <w:t xml:space="preserve">: i) </w:t>
      </w:r>
      <w:r>
        <w:rPr>
          <w:rFonts w:cs="Times New Roman"/>
        </w:rPr>
        <w:t xml:space="preserve">o primeiro momento </w:t>
      </w:r>
      <w:r w:rsidR="007A5597">
        <w:rPr>
          <w:rFonts w:cs="Times New Roman"/>
        </w:rPr>
        <w:t>vis</w:t>
      </w:r>
      <w:r w:rsidR="009F61A3">
        <w:rPr>
          <w:rFonts w:cs="Times New Roman"/>
        </w:rPr>
        <w:t>ou t</w:t>
      </w:r>
      <w:r w:rsidR="007A5597">
        <w:rPr>
          <w:rFonts w:cs="Times New Roman"/>
        </w:rPr>
        <w:t>estar a hipótese de que</w:t>
      </w:r>
      <w:r w:rsidR="00264B6F">
        <w:rPr>
          <w:rFonts w:cs="Times New Roman"/>
        </w:rPr>
        <w:t xml:space="preserve"> o </w:t>
      </w:r>
      <w:r w:rsidR="00CA0170">
        <w:rPr>
          <w:rFonts w:cs="Times New Roman"/>
        </w:rPr>
        <w:t>r</w:t>
      </w:r>
      <w:r w:rsidR="00BA311A" w:rsidRPr="005668E3">
        <w:rPr>
          <w:rFonts w:cs="Times New Roman"/>
        </w:rPr>
        <w:t xml:space="preserve">esultado </w:t>
      </w:r>
      <w:r w:rsidR="00CA0170">
        <w:rPr>
          <w:rFonts w:cs="Times New Roman"/>
        </w:rPr>
        <w:t>a</w:t>
      </w:r>
      <w:r w:rsidR="00BA311A" w:rsidRPr="005668E3">
        <w:rPr>
          <w:rFonts w:cs="Times New Roman"/>
        </w:rPr>
        <w:t>brangente</w:t>
      </w:r>
      <w:r w:rsidR="00264B6F" w:rsidRPr="005668E3">
        <w:rPr>
          <w:rFonts w:cs="Times New Roman"/>
        </w:rPr>
        <w:t xml:space="preserve"> </w:t>
      </w:r>
      <w:r w:rsidR="00CA0170">
        <w:rPr>
          <w:rFonts w:cs="Times New Roman"/>
        </w:rPr>
        <w:t xml:space="preserve">consolidado </w:t>
      </w:r>
      <w:r w:rsidR="00BA311A" w:rsidRPr="005668E3">
        <w:rPr>
          <w:rFonts w:cs="Times New Roman"/>
        </w:rPr>
        <w:t xml:space="preserve">possui maior </w:t>
      </w:r>
      <w:r w:rsidR="00187C9A">
        <w:rPr>
          <w:rFonts w:cs="Times New Roman"/>
        </w:rPr>
        <w:t xml:space="preserve">poder preditivo </w:t>
      </w:r>
      <w:r w:rsidR="00BA311A" w:rsidRPr="005668E3">
        <w:rPr>
          <w:rFonts w:cs="Times New Roman"/>
        </w:rPr>
        <w:t xml:space="preserve">que o </w:t>
      </w:r>
      <w:r w:rsidR="00CA0170">
        <w:rPr>
          <w:rFonts w:cs="Times New Roman"/>
        </w:rPr>
        <w:t>l</w:t>
      </w:r>
      <w:r w:rsidR="00BA311A" w:rsidRPr="005668E3">
        <w:rPr>
          <w:rFonts w:cs="Times New Roman"/>
        </w:rPr>
        <w:t xml:space="preserve">ucro </w:t>
      </w:r>
      <w:r w:rsidR="00CA0170">
        <w:rPr>
          <w:rFonts w:cs="Times New Roman"/>
        </w:rPr>
        <w:t>l</w:t>
      </w:r>
      <w:r w:rsidR="00BA311A" w:rsidRPr="005668E3">
        <w:rPr>
          <w:rFonts w:cs="Times New Roman"/>
        </w:rPr>
        <w:t xml:space="preserve">íquido para a previsão do </w:t>
      </w:r>
      <w:r w:rsidR="00CA0170">
        <w:rPr>
          <w:rFonts w:cs="Times New Roman"/>
        </w:rPr>
        <w:t>f</w:t>
      </w:r>
      <w:r w:rsidR="00BA311A" w:rsidRPr="005668E3">
        <w:rPr>
          <w:rFonts w:cs="Times New Roman"/>
        </w:rPr>
        <w:t xml:space="preserve">luxo de </w:t>
      </w:r>
      <w:r w:rsidR="00CA0170">
        <w:rPr>
          <w:rFonts w:cs="Times New Roman"/>
        </w:rPr>
        <w:t>c</w:t>
      </w:r>
      <w:r w:rsidR="00BA311A" w:rsidRPr="005668E3">
        <w:rPr>
          <w:rFonts w:cs="Times New Roman"/>
        </w:rPr>
        <w:t xml:space="preserve">aixa </w:t>
      </w:r>
      <w:r w:rsidR="00CA0170">
        <w:rPr>
          <w:rFonts w:cs="Times New Roman"/>
        </w:rPr>
        <w:t>o</w:t>
      </w:r>
      <w:r w:rsidR="00BA311A" w:rsidRPr="005668E3">
        <w:rPr>
          <w:rFonts w:cs="Times New Roman"/>
        </w:rPr>
        <w:t>peracional do período subsequente</w:t>
      </w:r>
      <w:r w:rsidR="00264B6F" w:rsidRPr="005668E3">
        <w:rPr>
          <w:rFonts w:cs="Times New Roman"/>
        </w:rPr>
        <w:t xml:space="preserve">; e </w:t>
      </w:r>
      <w:proofErr w:type="spellStart"/>
      <w:proofErr w:type="gramStart"/>
      <w:r w:rsidR="00264B6F" w:rsidRPr="005668E3">
        <w:rPr>
          <w:rFonts w:cs="Times New Roman"/>
        </w:rPr>
        <w:t>ii</w:t>
      </w:r>
      <w:proofErr w:type="spellEnd"/>
      <w:proofErr w:type="gramEnd"/>
      <w:r w:rsidR="00264B6F" w:rsidRPr="005668E3">
        <w:rPr>
          <w:rFonts w:cs="Times New Roman"/>
        </w:rPr>
        <w:t>) o</w:t>
      </w:r>
      <w:r w:rsidR="009F61A3">
        <w:rPr>
          <w:rFonts w:cs="Times New Roman"/>
        </w:rPr>
        <w:t xml:space="preserve"> segundo momento </w:t>
      </w:r>
      <w:r w:rsidR="00264B6F" w:rsidRPr="005668E3">
        <w:rPr>
          <w:rFonts w:cs="Times New Roman"/>
        </w:rPr>
        <w:t xml:space="preserve">visou </w:t>
      </w:r>
      <w:r w:rsidR="007A5597">
        <w:rPr>
          <w:rFonts w:cs="Times New Roman"/>
        </w:rPr>
        <w:t xml:space="preserve">testar a hipótese de que </w:t>
      </w:r>
      <w:r w:rsidR="00264B6F" w:rsidRPr="005668E3">
        <w:rPr>
          <w:rFonts w:cs="Times New Roman"/>
        </w:rPr>
        <w:t>o</w:t>
      </w:r>
      <w:r w:rsidR="00CA0170">
        <w:rPr>
          <w:rFonts w:cs="Times New Roman"/>
        </w:rPr>
        <w:t>s outros</w:t>
      </w:r>
      <w:r w:rsidR="00264B6F" w:rsidRPr="005668E3">
        <w:rPr>
          <w:rFonts w:cs="Times New Roman"/>
        </w:rPr>
        <w:t xml:space="preserve"> </w:t>
      </w:r>
      <w:r w:rsidR="00CA0170">
        <w:rPr>
          <w:rFonts w:cs="Times New Roman"/>
        </w:rPr>
        <w:t>r</w:t>
      </w:r>
      <w:r w:rsidR="00264B6F" w:rsidRPr="005668E3">
        <w:rPr>
          <w:rFonts w:cs="Times New Roman"/>
        </w:rPr>
        <w:t>esultado</w:t>
      </w:r>
      <w:r w:rsidR="00CA0170">
        <w:rPr>
          <w:rFonts w:cs="Times New Roman"/>
        </w:rPr>
        <w:t>s</w:t>
      </w:r>
      <w:r w:rsidR="00264B6F" w:rsidRPr="005668E3">
        <w:rPr>
          <w:rFonts w:cs="Times New Roman"/>
        </w:rPr>
        <w:t xml:space="preserve"> </w:t>
      </w:r>
      <w:r w:rsidR="00CA0170">
        <w:rPr>
          <w:rFonts w:cs="Times New Roman"/>
        </w:rPr>
        <w:t>a</w:t>
      </w:r>
      <w:r w:rsidR="00264B6F" w:rsidRPr="005668E3">
        <w:rPr>
          <w:rFonts w:cs="Times New Roman"/>
        </w:rPr>
        <w:t>brangente</w:t>
      </w:r>
      <w:r w:rsidR="00CA0170">
        <w:rPr>
          <w:rFonts w:cs="Times New Roman"/>
        </w:rPr>
        <w:t>s</w:t>
      </w:r>
      <w:r w:rsidR="00264B6F" w:rsidRPr="005668E3">
        <w:rPr>
          <w:rFonts w:cs="Times New Roman"/>
        </w:rPr>
        <w:t xml:space="preserve"> e seus componentes possuem </w:t>
      </w:r>
      <w:proofErr w:type="spellStart"/>
      <w:r w:rsidR="00264B6F" w:rsidRPr="0007498D">
        <w:rPr>
          <w:rFonts w:cs="Times New Roman"/>
          <w:i/>
        </w:rPr>
        <w:t>value</w:t>
      </w:r>
      <w:proofErr w:type="spellEnd"/>
      <w:r w:rsidR="00264B6F" w:rsidRPr="0007498D">
        <w:rPr>
          <w:rFonts w:cs="Times New Roman"/>
          <w:i/>
        </w:rPr>
        <w:t xml:space="preserve"> </w:t>
      </w:r>
      <w:proofErr w:type="spellStart"/>
      <w:r w:rsidR="00264B6F" w:rsidRPr="0007498D">
        <w:rPr>
          <w:rFonts w:cs="Times New Roman"/>
          <w:i/>
        </w:rPr>
        <w:t>relevance</w:t>
      </w:r>
      <w:proofErr w:type="spellEnd"/>
      <w:r w:rsidR="00264B6F" w:rsidRPr="0007498D">
        <w:rPr>
          <w:rFonts w:cs="Times New Roman"/>
        </w:rPr>
        <w:t xml:space="preserve"> para o mercado de capitais </w:t>
      </w:r>
      <w:r w:rsidR="004D46A1">
        <w:rPr>
          <w:rFonts w:cs="Times New Roman"/>
        </w:rPr>
        <w:t>brasileiro</w:t>
      </w:r>
      <w:r w:rsidR="00264B6F" w:rsidRPr="0007498D">
        <w:rPr>
          <w:rFonts w:cs="Times New Roman"/>
        </w:rPr>
        <w:t>.</w:t>
      </w:r>
      <w:r w:rsidR="00195332">
        <w:rPr>
          <w:rFonts w:cs="Times New Roman"/>
        </w:rPr>
        <w:t xml:space="preserve"> O Quadro </w:t>
      </w:r>
      <w:proofErr w:type="gramStart"/>
      <w:r w:rsidR="00195332">
        <w:rPr>
          <w:rFonts w:cs="Times New Roman"/>
        </w:rPr>
        <w:t>2</w:t>
      </w:r>
      <w:proofErr w:type="gramEnd"/>
      <w:r w:rsidR="00195332">
        <w:rPr>
          <w:rFonts w:cs="Times New Roman"/>
        </w:rPr>
        <w:t xml:space="preserve"> expõe </w:t>
      </w:r>
      <w:r w:rsidR="004D46A1">
        <w:rPr>
          <w:rFonts w:cs="Times New Roman"/>
        </w:rPr>
        <w:t xml:space="preserve">os filtros utilizados para </w:t>
      </w:r>
      <w:r w:rsidR="00195332">
        <w:rPr>
          <w:rFonts w:cs="Times New Roman"/>
        </w:rPr>
        <w:t xml:space="preserve">composição </w:t>
      </w:r>
      <w:r w:rsidR="004D46A1">
        <w:rPr>
          <w:rFonts w:cs="Times New Roman"/>
        </w:rPr>
        <w:t xml:space="preserve">final </w:t>
      </w:r>
      <w:r w:rsidR="00195332">
        <w:rPr>
          <w:rFonts w:cs="Times New Roman"/>
        </w:rPr>
        <w:t>da amostra</w:t>
      </w:r>
      <w:r w:rsidR="009F61A3">
        <w:rPr>
          <w:rFonts w:cs="Times New Roman"/>
        </w:rPr>
        <w:t xml:space="preserve"> estudada em cada momento.</w:t>
      </w:r>
    </w:p>
    <w:p w:rsidR="0066630D" w:rsidRPr="006F308E" w:rsidRDefault="0066630D" w:rsidP="0014755A">
      <w:pPr>
        <w:jc w:val="center"/>
        <w:rPr>
          <w:rFonts w:cs="Times New Roman"/>
          <w:sz w:val="20"/>
          <w:szCs w:val="20"/>
        </w:rPr>
      </w:pPr>
      <w:r w:rsidRPr="006F308E">
        <w:rPr>
          <w:rFonts w:cs="Times New Roman"/>
          <w:sz w:val="20"/>
          <w:szCs w:val="20"/>
        </w:rPr>
        <w:t xml:space="preserve">Quadro </w:t>
      </w:r>
      <w:proofErr w:type="gramStart"/>
      <w:r w:rsidRPr="006F308E">
        <w:rPr>
          <w:rFonts w:cs="Times New Roman"/>
          <w:sz w:val="20"/>
          <w:szCs w:val="20"/>
        </w:rPr>
        <w:t>2</w:t>
      </w:r>
      <w:proofErr w:type="gramEnd"/>
      <w:r w:rsidR="00F53D2D" w:rsidRPr="006F308E">
        <w:rPr>
          <w:rFonts w:cs="Times New Roman"/>
          <w:sz w:val="20"/>
          <w:szCs w:val="20"/>
        </w:rPr>
        <w:t xml:space="preserve">. </w:t>
      </w:r>
      <w:r w:rsidRPr="006F308E">
        <w:rPr>
          <w:rFonts w:cs="Times New Roman"/>
          <w:sz w:val="20"/>
          <w:szCs w:val="20"/>
        </w:rPr>
        <w:t xml:space="preserve">Composição </w:t>
      </w:r>
      <w:r w:rsidR="00904905" w:rsidRPr="006F308E">
        <w:rPr>
          <w:rFonts w:cs="Times New Roman"/>
          <w:sz w:val="20"/>
          <w:szCs w:val="20"/>
        </w:rPr>
        <w:t>Final da</w:t>
      </w:r>
      <w:r w:rsidRPr="006F308E">
        <w:rPr>
          <w:rFonts w:cs="Times New Roman"/>
          <w:sz w:val="20"/>
          <w:szCs w:val="20"/>
        </w:rPr>
        <w:t xml:space="preserve"> Amostra</w:t>
      </w:r>
      <w:r w:rsidR="00904905" w:rsidRPr="006F308E">
        <w:rPr>
          <w:rFonts w:cs="Times New Roman"/>
          <w:sz w:val="20"/>
          <w:szCs w:val="20"/>
        </w:rPr>
        <w:t xml:space="preserve"> Estudada</w:t>
      </w:r>
    </w:p>
    <w:tbl>
      <w:tblPr>
        <w:tblW w:w="5000" w:type="pct"/>
        <w:tblCellMar>
          <w:left w:w="70" w:type="dxa"/>
          <w:right w:w="70" w:type="dxa"/>
        </w:tblCellMar>
        <w:tblLook w:val="04A0" w:firstRow="1" w:lastRow="0" w:firstColumn="1" w:lastColumn="0" w:noHBand="0" w:noVBand="1"/>
      </w:tblPr>
      <w:tblGrid>
        <w:gridCol w:w="5457"/>
        <w:gridCol w:w="1877"/>
        <w:gridCol w:w="1877"/>
      </w:tblGrid>
      <w:tr w:rsidR="00231028" w:rsidRPr="008146B7" w:rsidTr="00231028">
        <w:trPr>
          <w:trHeight w:val="283"/>
        </w:trPr>
        <w:tc>
          <w:tcPr>
            <w:tcW w:w="29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31028" w:rsidRPr="008146B7" w:rsidRDefault="00231028" w:rsidP="00B723BB">
            <w:pPr>
              <w:jc w:val="center"/>
              <w:rPr>
                <w:rFonts w:eastAsia="Times New Roman" w:cs="Times New Roman"/>
                <w:color w:val="000000"/>
                <w:sz w:val="20"/>
                <w:szCs w:val="20"/>
                <w:lang w:eastAsia="pt-BR"/>
              </w:rPr>
            </w:pPr>
          </w:p>
        </w:tc>
        <w:tc>
          <w:tcPr>
            <w:tcW w:w="2038" w:type="pct"/>
            <w:gridSpan w:val="2"/>
            <w:tcBorders>
              <w:top w:val="single" w:sz="4" w:space="0" w:color="auto"/>
              <w:left w:val="nil"/>
              <w:bottom w:val="single" w:sz="4" w:space="0" w:color="auto"/>
              <w:right w:val="single" w:sz="4" w:space="0" w:color="auto"/>
            </w:tcBorders>
            <w:shd w:val="clear" w:color="auto" w:fill="auto"/>
            <w:noWrap/>
            <w:vAlign w:val="center"/>
          </w:tcPr>
          <w:p w:rsidR="00231028" w:rsidRPr="001131AA" w:rsidRDefault="00231028" w:rsidP="001131AA">
            <w:pPr>
              <w:jc w:val="center"/>
              <w:rPr>
                <w:rFonts w:eastAsia="Times New Roman" w:cs="Times New Roman"/>
                <w:b/>
                <w:i/>
                <w:color w:val="000000"/>
                <w:sz w:val="20"/>
                <w:szCs w:val="20"/>
                <w:lang w:eastAsia="pt-BR"/>
              </w:rPr>
            </w:pPr>
            <w:r w:rsidRPr="001131AA">
              <w:rPr>
                <w:rFonts w:eastAsia="Times New Roman" w:cs="Times New Roman"/>
                <w:b/>
                <w:color w:val="000000"/>
                <w:sz w:val="20"/>
                <w:szCs w:val="20"/>
                <w:lang w:eastAsia="pt-BR"/>
              </w:rPr>
              <w:t>Modelos</w:t>
            </w:r>
            <w:r w:rsidR="00BC71BE" w:rsidRPr="001131AA">
              <w:rPr>
                <w:rFonts w:eastAsia="Times New Roman" w:cs="Times New Roman"/>
                <w:b/>
                <w:color w:val="000000"/>
                <w:sz w:val="20"/>
                <w:szCs w:val="20"/>
                <w:lang w:eastAsia="pt-BR"/>
              </w:rPr>
              <w:t xml:space="preserve"> de Regressão </w:t>
            </w:r>
            <w:r w:rsidR="001131AA">
              <w:rPr>
                <w:rFonts w:eastAsia="Times New Roman" w:cs="Times New Roman"/>
                <w:b/>
                <w:color w:val="000000"/>
                <w:sz w:val="20"/>
                <w:szCs w:val="20"/>
                <w:lang w:eastAsia="pt-BR"/>
              </w:rPr>
              <w:t>Estatística</w:t>
            </w:r>
          </w:p>
        </w:tc>
      </w:tr>
      <w:tr w:rsidR="0066630D" w:rsidRPr="008146B7" w:rsidTr="00272547">
        <w:trPr>
          <w:trHeight w:val="283"/>
        </w:trPr>
        <w:tc>
          <w:tcPr>
            <w:tcW w:w="29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30D" w:rsidRPr="008146B7" w:rsidRDefault="00C43AD3" w:rsidP="00C43AD3">
            <w:pPr>
              <w:rPr>
                <w:rFonts w:eastAsia="Times New Roman" w:cs="Times New Roman"/>
                <w:color w:val="000000"/>
                <w:sz w:val="20"/>
                <w:szCs w:val="20"/>
                <w:lang w:eastAsia="pt-BR"/>
              </w:rPr>
            </w:pPr>
            <w:r>
              <w:rPr>
                <w:rFonts w:eastAsia="Times New Roman" w:cs="Times New Roman"/>
                <w:color w:val="000000"/>
                <w:sz w:val="20"/>
                <w:szCs w:val="20"/>
                <w:lang w:eastAsia="pt-BR"/>
              </w:rPr>
              <w:t>Características para composição amostral</w:t>
            </w:r>
          </w:p>
        </w:tc>
        <w:tc>
          <w:tcPr>
            <w:tcW w:w="1019" w:type="pct"/>
            <w:tcBorders>
              <w:top w:val="single" w:sz="4" w:space="0" w:color="auto"/>
              <w:left w:val="nil"/>
              <w:bottom w:val="single" w:sz="4" w:space="0" w:color="auto"/>
              <w:right w:val="single" w:sz="4" w:space="0" w:color="auto"/>
            </w:tcBorders>
            <w:shd w:val="clear" w:color="auto" w:fill="auto"/>
            <w:noWrap/>
            <w:vAlign w:val="center"/>
            <w:hideMark/>
          </w:tcPr>
          <w:p w:rsidR="0066630D" w:rsidRPr="001131AA" w:rsidRDefault="0066630D" w:rsidP="007907B2">
            <w:pPr>
              <w:jc w:val="center"/>
              <w:rPr>
                <w:rFonts w:eastAsia="Times New Roman" w:cs="Times New Roman"/>
                <w:b/>
                <w:color w:val="000000"/>
                <w:sz w:val="20"/>
                <w:szCs w:val="20"/>
                <w:lang w:eastAsia="pt-BR"/>
              </w:rPr>
            </w:pPr>
            <w:r w:rsidRPr="001131AA">
              <w:rPr>
                <w:rFonts w:eastAsia="Times New Roman" w:cs="Times New Roman"/>
                <w:b/>
                <w:color w:val="000000"/>
                <w:sz w:val="20"/>
                <w:szCs w:val="20"/>
                <w:lang w:eastAsia="pt-BR"/>
              </w:rPr>
              <w:t>Poder Preditivo</w:t>
            </w:r>
            <w:r w:rsidR="00D52906" w:rsidRPr="001131AA">
              <w:rPr>
                <w:rFonts w:eastAsia="Times New Roman" w:cs="Times New Roman"/>
                <w:b/>
                <w:color w:val="000000"/>
                <w:sz w:val="20"/>
                <w:szCs w:val="20"/>
                <w:lang w:eastAsia="pt-BR"/>
              </w:rPr>
              <w:t xml:space="preserve"> </w:t>
            </w:r>
          </w:p>
        </w:tc>
        <w:tc>
          <w:tcPr>
            <w:tcW w:w="1019" w:type="pct"/>
            <w:tcBorders>
              <w:top w:val="single" w:sz="4" w:space="0" w:color="auto"/>
              <w:left w:val="nil"/>
              <w:bottom w:val="single" w:sz="4" w:space="0" w:color="auto"/>
              <w:right w:val="single" w:sz="4" w:space="0" w:color="auto"/>
            </w:tcBorders>
            <w:shd w:val="clear" w:color="auto" w:fill="auto"/>
            <w:noWrap/>
            <w:vAlign w:val="center"/>
            <w:hideMark/>
          </w:tcPr>
          <w:p w:rsidR="0066630D" w:rsidRPr="001131AA" w:rsidRDefault="0066630D" w:rsidP="00B723BB">
            <w:pPr>
              <w:jc w:val="center"/>
              <w:rPr>
                <w:rFonts w:eastAsia="Times New Roman" w:cs="Times New Roman"/>
                <w:b/>
                <w:i/>
                <w:color w:val="000000"/>
                <w:sz w:val="20"/>
                <w:szCs w:val="20"/>
                <w:lang w:eastAsia="pt-BR"/>
              </w:rPr>
            </w:pPr>
            <w:proofErr w:type="spellStart"/>
            <w:r w:rsidRPr="001131AA">
              <w:rPr>
                <w:rFonts w:eastAsia="Times New Roman" w:cs="Times New Roman"/>
                <w:b/>
                <w:i/>
                <w:color w:val="000000"/>
                <w:sz w:val="20"/>
                <w:szCs w:val="20"/>
                <w:lang w:eastAsia="pt-BR"/>
              </w:rPr>
              <w:t>Value</w:t>
            </w:r>
            <w:proofErr w:type="spellEnd"/>
            <w:r w:rsidRPr="001131AA">
              <w:rPr>
                <w:rFonts w:eastAsia="Times New Roman" w:cs="Times New Roman"/>
                <w:b/>
                <w:i/>
                <w:color w:val="000000"/>
                <w:sz w:val="20"/>
                <w:szCs w:val="20"/>
                <w:lang w:eastAsia="pt-BR"/>
              </w:rPr>
              <w:t xml:space="preserve"> </w:t>
            </w:r>
            <w:proofErr w:type="spellStart"/>
            <w:r w:rsidRPr="001131AA">
              <w:rPr>
                <w:rFonts w:eastAsia="Times New Roman" w:cs="Times New Roman"/>
                <w:b/>
                <w:i/>
                <w:color w:val="000000"/>
                <w:sz w:val="20"/>
                <w:szCs w:val="20"/>
                <w:lang w:eastAsia="pt-BR"/>
              </w:rPr>
              <w:t>Relevance</w:t>
            </w:r>
            <w:proofErr w:type="spellEnd"/>
          </w:p>
        </w:tc>
      </w:tr>
      <w:tr w:rsidR="0066630D" w:rsidRPr="008146B7" w:rsidTr="00272547">
        <w:trPr>
          <w:trHeight w:val="283"/>
        </w:trPr>
        <w:tc>
          <w:tcPr>
            <w:tcW w:w="2962" w:type="pct"/>
            <w:tcBorders>
              <w:top w:val="nil"/>
              <w:left w:val="single" w:sz="4" w:space="0" w:color="auto"/>
              <w:bottom w:val="single" w:sz="4" w:space="0" w:color="auto"/>
              <w:right w:val="single" w:sz="4" w:space="0" w:color="auto"/>
            </w:tcBorders>
            <w:shd w:val="clear" w:color="auto" w:fill="auto"/>
            <w:noWrap/>
            <w:vAlign w:val="center"/>
            <w:hideMark/>
          </w:tcPr>
          <w:p w:rsidR="0066630D" w:rsidRPr="008146B7" w:rsidRDefault="00DD7D55" w:rsidP="00C9315D">
            <w:pPr>
              <w:rPr>
                <w:rFonts w:eastAsia="Times New Roman" w:cs="Times New Roman"/>
                <w:color w:val="000000"/>
                <w:sz w:val="20"/>
                <w:szCs w:val="20"/>
                <w:lang w:eastAsia="pt-BR"/>
              </w:rPr>
            </w:pPr>
            <w:r w:rsidRPr="008146B7">
              <w:rPr>
                <w:rFonts w:eastAsia="Times New Roman" w:cs="Times New Roman"/>
                <w:color w:val="000000"/>
                <w:sz w:val="20"/>
                <w:szCs w:val="20"/>
                <w:lang w:eastAsia="pt-BR"/>
              </w:rPr>
              <w:t>Empresas de capital aberto</w:t>
            </w:r>
            <w:r w:rsidR="00C9315D">
              <w:rPr>
                <w:rFonts w:eastAsia="Times New Roman" w:cs="Times New Roman"/>
                <w:color w:val="000000"/>
                <w:sz w:val="20"/>
                <w:szCs w:val="20"/>
                <w:lang w:eastAsia="pt-BR"/>
              </w:rPr>
              <w:t xml:space="preserve"> (</w:t>
            </w:r>
            <w:r w:rsidRPr="008146B7">
              <w:rPr>
                <w:rFonts w:eastAsia="Times New Roman" w:cs="Times New Roman"/>
                <w:color w:val="000000"/>
                <w:sz w:val="20"/>
                <w:szCs w:val="20"/>
                <w:lang w:eastAsia="pt-BR"/>
              </w:rPr>
              <w:t xml:space="preserve">base </w:t>
            </w:r>
            <w:proofErr w:type="spellStart"/>
            <w:r w:rsidRPr="008146B7">
              <w:rPr>
                <w:rFonts w:eastAsia="Times New Roman" w:cs="Times New Roman"/>
                <w:color w:val="000000"/>
                <w:sz w:val="20"/>
                <w:szCs w:val="20"/>
                <w:lang w:eastAsia="pt-BR"/>
              </w:rPr>
              <w:t>Economática</w:t>
            </w:r>
            <w:proofErr w:type="spellEnd"/>
            <w:r w:rsidR="00C9315D">
              <w:rPr>
                <w:rFonts w:eastAsia="Times New Roman" w:cs="Times New Roman"/>
                <w:color w:val="000000"/>
                <w:sz w:val="20"/>
                <w:szCs w:val="20"/>
                <w:lang w:eastAsia="pt-BR"/>
              </w:rPr>
              <w:t>)</w:t>
            </w:r>
          </w:p>
        </w:tc>
        <w:tc>
          <w:tcPr>
            <w:tcW w:w="1019" w:type="pct"/>
            <w:tcBorders>
              <w:top w:val="nil"/>
              <w:left w:val="nil"/>
              <w:bottom w:val="single" w:sz="4" w:space="0" w:color="auto"/>
              <w:right w:val="single" w:sz="4" w:space="0" w:color="auto"/>
            </w:tcBorders>
            <w:shd w:val="clear" w:color="auto" w:fill="auto"/>
            <w:noWrap/>
            <w:vAlign w:val="center"/>
            <w:hideMark/>
          </w:tcPr>
          <w:p w:rsidR="0066630D" w:rsidRPr="008146B7" w:rsidRDefault="00DD7D55" w:rsidP="00B723BB">
            <w:pPr>
              <w:jc w:val="center"/>
              <w:rPr>
                <w:rFonts w:eastAsia="Times New Roman" w:cs="Times New Roman"/>
                <w:color w:val="000000"/>
                <w:sz w:val="20"/>
                <w:szCs w:val="20"/>
                <w:lang w:eastAsia="pt-BR"/>
              </w:rPr>
            </w:pPr>
            <w:r w:rsidRPr="008146B7">
              <w:rPr>
                <w:rFonts w:eastAsia="Times New Roman" w:cs="Times New Roman"/>
                <w:color w:val="000000"/>
                <w:sz w:val="20"/>
                <w:szCs w:val="20"/>
                <w:lang w:eastAsia="pt-BR"/>
              </w:rPr>
              <w:t>324</w:t>
            </w:r>
          </w:p>
        </w:tc>
        <w:tc>
          <w:tcPr>
            <w:tcW w:w="1019" w:type="pct"/>
            <w:tcBorders>
              <w:top w:val="nil"/>
              <w:left w:val="nil"/>
              <w:bottom w:val="single" w:sz="4" w:space="0" w:color="auto"/>
              <w:right w:val="single" w:sz="4" w:space="0" w:color="auto"/>
            </w:tcBorders>
            <w:shd w:val="clear" w:color="auto" w:fill="auto"/>
            <w:noWrap/>
            <w:vAlign w:val="center"/>
            <w:hideMark/>
          </w:tcPr>
          <w:p w:rsidR="0066630D" w:rsidRPr="008146B7" w:rsidRDefault="00DD7D55" w:rsidP="00B723BB">
            <w:pPr>
              <w:jc w:val="center"/>
              <w:rPr>
                <w:rFonts w:eastAsia="Times New Roman" w:cs="Times New Roman"/>
                <w:color w:val="000000"/>
                <w:sz w:val="20"/>
                <w:szCs w:val="20"/>
                <w:lang w:eastAsia="pt-BR"/>
              </w:rPr>
            </w:pPr>
            <w:r w:rsidRPr="008146B7">
              <w:rPr>
                <w:rFonts w:eastAsia="Times New Roman" w:cs="Times New Roman"/>
                <w:color w:val="000000"/>
                <w:sz w:val="20"/>
                <w:szCs w:val="20"/>
                <w:lang w:eastAsia="pt-BR"/>
              </w:rPr>
              <w:t>324</w:t>
            </w:r>
          </w:p>
        </w:tc>
      </w:tr>
      <w:tr w:rsidR="0066630D" w:rsidRPr="008146B7" w:rsidTr="00272547">
        <w:trPr>
          <w:trHeight w:val="283"/>
        </w:trPr>
        <w:tc>
          <w:tcPr>
            <w:tcW w:w="2962" w:type="pct"/>
            <w:tcBorders>
              <w:top w:val="nil"/>
              <w:left w:val="single" w:sz="4" w:space="0" w:color="auto"/>
              <w:bottom w:val="single" w:sz="4" w:space="0" w:color="auto"/>
              <w:right w:val="single" w:sz="4" w:space="0" w:color="auto"/>
            </w:tcBorders>
            <w:shd w:val="clear" w:color="auto" w:fill="auto"/>
            <w:noWrap/>
            <w:vAlign w:val="center"/>
            <w:hideMark/>
          </w:tcPr>
          <w:p w:rsidR="0066630D" w:rsidRPr="008146B7" w:rsidRDefault="0066630D" w:rsidP="00B723BB">
            <w:pPr>
              <w:rPr>
                <w:rFonts w:eastAsia="Times New Roman" w:cs="Times New Roman"/>
                <w:color w:val="000000"/>
                <w:sz w:val="20"/>
                <w:szCs w:val="20"/>
                <w:lang w:eastAsia="pt-BR"/>
              </w:rPr>
            </w:pPr>
            <w:r w:rsidRPr="008146B7">
              <w:rPr>
                <w:rFonts w:eastAsia="Times New Roman" w:cs="Times New Roman"/>
                <w:color w:val="000000"/>
                <w:sz w:val="20"/>
                <w:szCs w:val="20"/>
                <w:lang w:eastAsia="pt-BR"/>
              </w:rPr>
              <w:t>Períodos analisados</w:t>
            </w:r>
          </w:p>
        </w:tc>
        <w:tc>
          <w:tcPr>
            <w:tcW w:w="1019" w:type="pct"/>
            <w:tcBorders>
              <w:top w:val="nil"/>
              <w:left w:val="nil"/>
              <w:bottom w:val="single" w:sz="4" w:space="0" w:color="auto"/>
              <w:right w:val="single" w:sz="4" w:space="0" w:color="auto"/>
            </w:tcBorders>
            <w:shd w:val="clear" w:color="auto" w:fill="auto"/>
            <w:noWrap/>
            <w:vAlign w:val="center"/>
            <w:hideMark/>
          </w:tcPr>
          <w:p w:rsidR="0066630D" w:rsidRPr="008146B7" w:rsidRDefault="00AC2371" w:rsidP="00B723BB">
            <w:pPr>
              <w:jc w:val="center"/>
              <w:rPr>
                <w:rFonts w:eastAsia="Times New Roman" w:cs="Times New Roman"/>
                <w:color w:val="000000"/>
                <w:sz w:val="20"/>
                <w:szCs w:val="20"/>
                <w:lang w:eastAsia="pt-BR"/>
              </w:rPr>
            </w:pPr>
            <w:r w:rsidRPr="008146B7">
              <w:rPr>
                <w:rFonts w:eastAsia="Times New Roman" w:cs="Times New Roman"/>
                <w:color w:val="000000"/>
                <w:sz w:val="20"/>
                <w:szCs w:val="20"/>
                <w:lang w:eastAsia="pt-BR"/>
              </w:rPr>
              <w:t>0</w:t>
            </w:r>
            <w:r w:rsidR="0066630D" w:rsidRPr="008146B7">
              <w:rPr>
                <w:rFonts w:eastAsia="Times New Roman" w:cs="Times New Roman"/>
                <w:color w:val="000000"/>
                <w:sz w:val="20"/>
                <w:szCs w:val="20"/>
                <w:lang w:eastAsia="pt-BR"/>
              </w:rPr>
              <w:t>2</w:t>
            </w:r>
          </w:p>
        </w:tc>
        <w:tc>
          <w:tcPr>
            <w:tcW w:w="1019" w:type="pct"/>
            <w:tcBorders>
              <w:top w:val="nil"/>
              <w:left w:val="nil"/>
              <w:bottom w:val="single" w:sz="4" w:space="0" w:color="auto"/>
              <w:right w:val="single" w:sz="4" w:space="0" w:color="auto"/>
            </w:tcBorders>
            <w:shd w:val="clear" w:color="auto" w:fill="auto"/>
            <w:noWrap/>
            <w:vAlign w:val="center"/>
            <w:hideMark/>
          </w:tcPr>
          <w:p w:rsidR="0066630D" w:rsidRPr="008146B7" w:rsidRDefault="00AC2371" w:rsidP="00B723BB">
            <w:pPr>
              <w:jc w:val="center"/>
              <w:rPr>
                <w:rFonts w:eastAsia="Times New Roman" w:cs="Times New Roman"/>
                <w:color w:val="000000"/>
                <w:sz w:val="20"/>
                <w:szCs w:val="20"/>
                <w:lang w:eastAsia="pt-BR"/>
              </w:rPr>
            </w:pPr>
            <w:r w:rsidRPr="008146B7">
              <w:rPr>
                <w:rFonts w:eastAsia="Times New Roman" w:cs="Times New Roman"/>
                <w:color w:val="000000"/>
                <w:sz w:val="20"/>
                <w:szCs w:val="20"/>
                <w:lang w:eastAsia="pt-BR"/>
              </w:rPr>
              <w:t>0</w:t>
            </w:r>
            <w:r w:rsidR="0066630D" w:rsidRPr="008146B7">
              <w:rPr>
                <w:rFonts w:eastAsia="Times New Roman" w:cs="Times New Roman"/>
                <w:color w:val="000000"/>
                <w:sz w:val="20"/>
                <w:szCs w:val="20"/>
                <w:lang w:eastAsia="pt-BR"/>
              </w:rPr>
              <w:t>3</w:t>
            </w:r>
          </w:p>
        </w:tc>
      </w:tr>
      <w:tr w:rsidR="0066630D" w:rsidRPr="008146B7" w:rsidTr="00272547">
        <w:trPr>
          <w:trHeight w:val="283"/>
        </w:trPr>
        <w:tc>
          <w:tcPr>
            <w:tcW w:w="2962" w:type="pct"/>
            <w:tcBorders>
              <w:top w:val="nil"/>
              <w:left w:val="single" w:sz="4" w:space="0" w:color="auto"/>
              <w:bottom w:val="single" w:sz="4" w:space="0" w:color="auto"/>
              <w:right w:val="single" w:sz="4" w:space="0" w:color="auto"/>
            </w:tcBorders>
            <w:shd w:val="clear" w:color="auto" w:fill="auto"/>
            <w:noWrap/>
            <w:vAlign w:val="center"/>
            <w:hideMark/>
          </w:tcPr>
          <w:p w:rsidR="0066630D" w:rsidRPr="008146B7" w:rsidRDefault="0066630D" w:rsidP="00B723BB">
            <w:pPr>
              <w:rPr>
                <w:rFonts w:eastAsia="Times New Roman" w:cs="Times New Roman"/>
                <w:color w:val="000000"/>
                <w:sz w:val="20"/>
                <w:szCs w:val="20"/>
                <w:lang w:eastAsia="pt-BR"/>
              </w:rPr>
            </w:pPr>
            <w:r w:rsidRPr="008146B7">
              <w:rPr>
                <w:rFonts w:eastAsia="Times New Roman" w:cs="Times New Roman"/>
                <w:color w:val="000000"/>
                <w:sz w:val="20"/>
                <w:szCs w:val="20"/>
                <w:lang w:eastAsia="pt-BR"/>
              </w:rPr>
              <w:t xml:space="preserve">Exclusões </w:t>
            </w:r>
            <w:r w:rsidR="00DD7D55" w:rsidRPr="008146B7">
              <w:rPr>
                <w:rFonts w:eastAsia="Times New Roman" w:cs="Times New Roman"/>
                <w:color w:val="000000"/>
                <w:sz w:val="20"/>
                <w:szCs w:val="20"/>
                <w:lang w:eastAsia="pt-BR"/>
              </w:rPr>
              <w:t xml:space="preserve">de observações </w:t>
            </w:r>
            <w:r w:rsidRPr="008146B7">
              <w:rPr>
                <w:rFonts w:eastAsia="Times New Roman" w:cs="Times New Roman"/>
                <w:color w:val="000000"/>
                <w:sz w:val="20"/>
                <w:szCs w:val="20"/>
                <w:lang w:eastAsia="pt-BR"/>
              </w:rPr>
              <w:t>por erros/ausência de dados</w:t>
            </w:r>
          </w:p>
        </w:tc>
        <w:tc>
          <w:tcPr>
            <w:tcW w:w="1019" w:type="pct"/>
            <w:tcBorders>
              <w:top w:val="nil"/>
              <w:left w:val="nil"/>
              <w:bottom w:val="single" w:sz="4" w:space="0" w:color="auto"/>
              <w:right w:val="single" w:sz="4" w:space="0" w:color="auto"/>
            </w:tcBorders>
            <w:shd w:val="clear" w:color="auto" w:fill="auto"/>
            <w:noWrap/>
            <w:vAlign w:val="center"/>
            <w:hideMark/>
          </w:tcPr>
          <w:p w:rsidR="0066630D" w:rsidRPr="008146B7" w:rsidRDefault="00DD7D55" w:rsidP="00B723BB">
            <w:pPr>
              <w:jc w:val="center"/>
              <w:rPr>
                <w:rFonts w:eastAsia="Times New Roman" w:cs="Times New Roman"/>
                <w:color w:val="000000"/>
                <w:sz w:val="20"/>
                <w:szCs w:val="20"/>
                <w:lang w:eastAsia="pt-BR"/>
              </w:rPr>
            </w:pPr>
            <w:r w:rsidRPr="008146B7">
              <w:rPr>
                <w:rFonts w:eastAsia="Times New Roman" w:cs="Times New Roman"/>
                <w:color w:val="000000"/>
                <w:sz w:val="20"/>
                <w:szCs w:val="20"/>
                <w:lang w:eastAsia="pt-BR"/>
              </w:rPr>
              <w:t>120</w:t>
            </w:r>
          </w:p>
        </w:tc>
        <w:tc>
          <w:tcPr>
            <w:tcW w:w="1019" w:type="pct"/>
            <w:tcBorders>
              <w:top w:val="nil"/>
              <w:left w:val="nil"/>
              <w:bottom w:val="single" w:sz="4" w:space="0" w:color="auto"/>
              <w:right w:val="single" w:sz="4" w:space="0" w:color="auto"/>
            </w:tcBorders>
            <w:shd w:val="clear" w:color="auto" w:fill="auto"/>
            <w:noWrap/>
            <w:vAlign w:val="center"/>
            <w:hideMark/>
          </w:tcPr>
          <w:p w:rsidR="0066630D" w:rsidRPr="008146B7" w:rsidRDefault="00DD7D55" w:rsidP="00B723BB">
            <w:pPr>
              <w:jc w:val="center"/>
              <w:rPr>
                <w:rFonts w:eastAsia="Times New Roman" w:cs="Times New Roman"/>
                <w:color w:val="000000"/>
                <w:sz w:val="20"/>
                <w:szCs w:val="20"/>
                <w:lang w:eastAsia="pt-BR"/>
              </w:rPr>
            </w:pPr>
            <w:r w:rsidRPr="008146B7">
              <w:rPr>
                <w:rFonts w:eastAsia="Times New Roman" w:cs="Times New Roman"/>
                <w:color w:val="000000"/>
                <w:sz w:val="20"/>
                <w:szCs w:val="20"/>
                <w:lang w:eastAsia="pt-BR"/>
              </w:rPr>
              <w:t>367</w:t>
            </w:r>
          </w:p>
        </w:tc>
      </w:tr>
      <w:tr w:rsidR="0066630D" w:rsidRPr="008146B7" w:rsidTr="00272547">
        <w:trPr>
          <w:trHeight w:val="283"/>
        </w:trPr>
        <w:tc>
          <w:tcPr>
            <w:tcW w:w="2962" w:type="pct"/>
            <w:tcBorders>
              <w:top w:val="nil"/>
              <w:left w:val="single" w:sz="4" w:space="0" w:color="auto"/>
              <w:bottom w:val="single" w:sz="4" w:space="0" w:color="auto"/>
              <w:right w:val="single" w:sz="4" w:space="0" w:color="auto"/>
            </w:tcBorders>
            <w:shd w:val="clear" w:color="auto" w:fill="auto"/>
            <w:noWrap/>
            <w:vAlign w:val="center"/>
            <w:hideMark/>
          </w:tcPr>
          <w:p w:rsidR="0066630D" w:rsidRPr="00F45985" w:rsidRDefault="0066630D" w:rsidP="00E85411">
            <w:pPr>
              <w:rPr>
                <w:rFonts w:eastAsia="Times New Roman" w:cs="Times New Roman"/>
                <w:b/>
                <w:color w:val="000000"/>
                <w:sz w:val="20"/>
                <w:szCs w:val="20"/>
                <w:lang w:eastAsia="pt-BR"/>
              </w:rPr>
            </w:pPr>
            <w:r w:rsidRPr="00F45985">
              <w:rPr>
                <w:rFonts w:eastAsia="Times New Roman" w:cs="Times New Roman"/>
                <w:b/>
                <w:color w:val="000000"/>
                <w:sz w:val="20"/>
                <w:szCs w:val="20"/>
                <w:lang w:eastAsia="pt-BR"/>
              </w:rPr>
              <w:t>Amostra final</w:t>
            </w:r>
            <w:r w:rsidR="00E85411">
              <w:rPr>
                <w:rFonts w:eastAsia="Times New Roman" w:cs="Times New Roman"/>
                <w:b/>
                <w:color w:val="000000"/>
                <w:sz w:val="20"/>
                <w:szCs w:val="20"/>
                <w:lang w:eastAsia="pt-BR"/>
              </w:rPr>
              <w:t xml:space="preserve"> (</w:t>
            </w:r>
            <w:r w:rsidR="00FC2FC5" w:rsidRPr="00F45985">
              <w:rPr>
                <w:rFonts w:eastAsia="Times New Roman" w:cs="Times New Roman"/>
                <w:b/>
                <w:color w:val="000000"/>
                <w:sz w:val="20"/>
                <w:szCs w:val="20"/>
                <w:lang w:eastAsia="pt-BR"/>
              </w:rPr>
              <w:t>observações empresas</w:t>
            </w:r>
            <w:r w:rsidR="00C43AD3" w:rsidRPr="00F45985">
              <w:rPr>
                <w:rFonts w:eastAsia="Times New Roman" w:cs="Times New Roman"/>
                <w:b/>
                <w:color w:val="000000"/>
                <w:sz w:val="20"/>
                <w:szCs w:val="20"/>
                <w:lang w:eastAsia="pt-BR"/>
              </w:rPr>
              <w:t>/</w:t>
            </w:r>
            <w:r w:rsidR="00FC2FC5" w:rsidRPr="00F45985">
              <w:rPr>
                <w:rFonts w:eastAsia="Times New Roman" w:cs="Times New Roman"/>
                <w:b/>
                <w:color w:val="000000"/>
                <w:sz w:val="20"/>
                <w:szCs w:val="20"/>
                <w:lang w:eastAsia="pt-BR"/>
              </w:rPr>
              <w:t>ano</w:t>
            </w:r>
            <w:r w:rsidR="00E85411">
              <w:rPr>
                <w:rFonts w:eastAsia="Times New Roman" w:cs="Times New Roman"/>
                <w:b/>
                <w:color w:val="000000"/>
                <w:sz w:val="20"/>
                <w:szCs w:val="20"/>
                <w:lang w:eastAsia="pt-BR"/>
              </w:rPr>
              <w:t>)</w:t>
            </w:r>
          </w:p>
        </w:tc>
        <w:tc>
          <w:tcPr>
            <w:tcW w:w="1019" w:type="pct"/>
            <w:tcBorders>
              <w:top w:val="nil"/>
              <w:left w:val="nil"/>
              <w:bottom w:val="single" w:sz="4" w:space="0" w:color="auto"/>
              <w:right w:val="single" w:sz="4" w:space="0" w:color="auto"/>
            </w:tcBorders>
            <w:shd w:val="clear" w:color="auto" w:fill="auto"/>
            <w:noWrap/>
            <w:vAlign w:val="center"/>
            <w:hideMark/>
          </w:tcPr>
          <w:p w:rsidR="0066630D" w:rsidRPr="00F45985" w:rsidRDefault="0066630D" w:rsidP="00B723BB">
            <w:pPr>
              <w:jc w:val="center"/>
              <w:rPr>
                <w:rFonts w:eastAsia="Times New Roman" w:cs="Times New Roman"/>
                <w:b/>
                <w:color w:val="000000"/>
                <w:sz w:val="20"/>
                <w:szCs w:val="20"/>
                <w:lang w:eastAsia="pt-BR"/>
              </w:rPr>
            </w:pPr>
            <w:r w:rsidRPr="00F45985">
              <w:rPr>
                <w:rFonts w:eastAsia="Times New Roman" w:cs="Times New Roman"/>
                <w:b/>
                <w:color w:val="000000"/>
                <w:sz w:val="20"/>
                <w:szCs w:val="20"/>
                <w:lang w:eastAsia="pt-BR"/>
              </w:rPr>
              <w:t>528</w:t>
            </w:r>
          </w:p>
        </w:tc>
        <w:tc>
          <w:tcPr>
            <w:tcW w:w="1019" w:type="pct"/>
            <w:tcBorders>
              <w:top w:val="nil"/>
              <w:left w:val="nil"/>
              <w:bottom w:val="single" w:sz="4" w:space="0" w:color="auto"/>
              <w:right w:val="single" w:sz="4" w:space="0" w:color="auto"/>
            </w:tcBorders>
            <w:shd w:val="clear" w:color="auto" w:fill="auto"/>
            <w:noWrap/>
            <w:vAlign w:val="center"/>
            <w:hideMark/>
          </w:tcPr>
          <w:p w:rsidR="0066630D" w:rsidRPr="00F45985" w:rsidRDefault="0066630D" w:rsidP="00B723BB">
            <w:pPr>
              <w:jc w:val="center"/>
              <w:rPr>
                <w:rFonts w:eastAsia="Times New Roman" w:cs="Times New Roman"/>
                <w:b/>
                <w:color w:val="000000"/>
                <w:sz w:val="20"/>
                <w:szCs w:val="20"/>
                <w:lang w:eastAsia="pt-BR"/>
              </w:rPr>
            </w:pPr>
            <w:r w:rsidRPr="00F45985">
              <w:rPr>
                <w:rFonts w:eastAsia="Times New Roman" w:cs="Times New Roman"/>
                <w:b/>
                <w:color w:val="000000"/>
                <w:sz w:val="20"/>
                <w:szCs w:val="20"/>
                <w:lang w:eastAsia="pt-BR"/>
              </w:rPr>
              <w:t>605</w:t>
            </w:r>
          </w:p>
        </w:tc>
      </w:tr>
    </w:tbl>
    <w:p w:rsidR="00F808D2" w:rsidRPr="008146B7" w:rsidRDefault="0066630D" w:rsidP="00B723BB">
      <w:pPr>
        <w:spacing w:after="120"/>
        <w:jc w:val="both"/>
        <w:rPr>
          <w:rFonts w:cs="Times New Roman"/>
          <w:sz w:val="20"/>
          <w:szCs w:val="20"/>
        </w:rPr>
      </w:pPr>
      <w:r w:rsidRPr="008146B7">
        <w:rPr>
          <w:rFonts w:cs="Times New Roman"/>
          <w:sz w:val="20"/>
          <w:szCs w:val="20"/>
        </w:rPr>
        <w:t>Fonte: elaborado pelos autores.</w:t>
      </w:r>
    </w:p>
    <w:p w:rsidR="00886801" w:rsidRDefault="003423CA" w:rsidP="008146B7">
      <w:pPr>
        <w:spacing w:line="360" w:lineRule="auto"/>
        <w:ind w:firstLine="709"/>
        <w:jc w:val="both"/>
        <w:rPr>
          <w:rFonts w:cs="Times New Roman"/>
        </w:rPr>
      </w:pPr>
      <w:r>
        <w:rPr>
          <w:rFonts w:cs="Times New Roman"/>
        </w:rPr>
        <w:t xml:space="preserve">Visualizando o Quadro </w:t>
      </w:r>
      <w:proofErr w:type="gramStart"/>
      <w:r>
        <w:rPr>
          <w:rFonts w:cs="Times New Roman"/>
        </w:rPr>
        <w:t>2</w:t>
      </w:r>
      <w:proofErr w:type="gramEnd"/>
      <w:r>
        <w:rPr>
          <w:rFonts w:cs="Times New Roman"/>
        </w:rPr>
        <w:t xml:space="preserve">, nota-se que </w:t>
      </w:r>
      <w:r w:rsidR="00AB5E85">
        <w:rPr>
          <w:rFonts w:cs="Times New Roman"/>
        </w:rPr>
        <w:t xml:space="preserve">a amostra final </w:t>
      </w:r>
      <w:r w:rsidR="00972771">
        <w:rPr>
          <w:rFonts w:cs="Times New Roman"/>
        </w:rPr>
        <w:t xml:space="preserve">– </w:t>
      </w:r>
      <w:r w:rsidR="00AB5E85">
        <w:rPr>
          <w:rFonts w:cs="Times New Roman"/>
        </w:rPr>
        <w:t>para aferir o</w:t>
      </w:r>
      <w:r w:rsidR="00D52906">
        <w:rPr>
          <w:rFonts w:cs="Times New Roman"/>
        </w:rPr>
        <w:t xml:space="preserve"> poder preditivo</w:t>
      </w:r>
      <w:r w:rsidR="00AB5E85">
        <w:rPr>
          <w:rFonts w:cs="Times New Roman"/>
        </w:rPr>
        <w:t xml:space="preserve"> </w:t>
      </w:r>
      <w:r w:rsidR="00972771">
        <w:rPr>
          <w:rFonts w:cs="Times New Roman"/>
        </w:rPr>
        <w:t xml:space="preserve">– </w:t>
      </w:r>
      <w:r w:rsidR="004975F5">
        <w:rPr>
          <w:rFonts w:cs="Times New Roman"/>
        </w:rPr>
        <w:t>foi</w:t>
      </w:r>
      <w:r w:rsidR="00333A21">
        <w:rPr>
          <w:rFonts w:cs="Times New Roman"/>
        </w:rPr>
        <w:t xml:space="preserve"> inferior à</w:t>
      </w:r>
      <w:r w:rsidR="004975F5">
        <w:rPr>
          <w:rFonts w:cs="Times New Roman"/>
        </w:rPr>
        <w:t xml:space="preserve">quela </w:t>
      </w:r>
      <w:r w:rsidR="00333A21">
        <w:rPr>
          <w:rFonts w:cs="Times New Roman"/>
        </w:rPr>
        <w:t>apresentada para o</w:t>
      </w:r>
      <w:r w:rsidR="004975F5">
        <w:rPr>
          <w:rFonts w:cs="Times New Roman"/>
        </w:rPr>
        <w:t xml:space="preserve"> </w:t>
      </w:r>
      <w:proofErr w:type="spellStart"/>
      <w:r w:rsidR="004975F5" w:rsidRPr="001131AA">
        <w:rPr>
          <w:rFonts w:cs="Times New Roman"/>
          <w:i/>
        </w:rPr>
        <w:t>value</w:t>
      </w:r>
      <w:proofErr w:type="spellEnd"/>
      <w:r w:rsidR="004975F5" w:rsidRPr="001131AA">
        <w:rPr>
          <w:rFonts w:cs="Times New Roman"/>
          <w:i/>
        </w:rPr>
        <w:t xml:space="preserve"> </w:t>
      </w:r>
      <w:proofErr w:type="spellStart"/>
      <w:r w:rsidR="004975F5" w:rsidRPr="001131AA">
        <w:rPr>
          <w:rFonts w:cs="Times New Roman"/>
          <w:i/>
        </w:rPr>
        <w:t>relevance</w:t>
      </w:r>
      <w:proofErr w:type="spellEnd"/>
      <w:r w:rsidR="004975F5">
        <w:rPr>
          <w:rFonts w:cs="Times New Roman"/>
        </w:rPr>
        <w:t xml:space="preserve">. </w:t>
      </w:r>
      <w:r w:rsidR="00333A21">
        <w:rPr>
          <w:rFonts w:cs="Times New Roman"/>
        </w:rPr>
        <w:t>Isso se deu pel</w:t>
      </w:r>
      <w:r>
        <w:rPr>
          <w:rFonts w:cs="Times New Roman"/>
        </w:rPr>
        <w:t xml:space="preserve">o </w:t>
      </w:r>
      <w:r w:rsidR="00AC2371">
        <w:rPr>
          <w:rFonts w:cs="Times New Roman"/>
        </w:rPr>
        <w:t xml:space="preserve">número </w:t>
      </w:r>
      <w:r w:rsidR="00333A21">
        <w:rPr>
          <w:rFonts w:cs="Times New Roman"/>
        </w:rPr>
        <w:t xml:space="preserve">menor </w:t>
      </w:r>
      <w:r w:rsidR="00AC2371">
        <w:rPr>
          <w:rFonts w:cs="Times New Roman"/>
        </w:rPr>
        <w:t>de períodos</w:t>
      </w:r>
      <w:r w:rsidR="00333A21">
        <w:rPr>
          <w:rFonts w:cs="Times New Roman"/>
        </w:rPr>
        <w:t xml:space="preserve"> </w:t>
      </w:r>
      <w:r w:rsidR="00D14229">
        <w:rPr>
          <w:rFonts w:cs="Times New Roman"/>
        </w:rPr>
        <w:t>referente</w:t>
      </w:r>
      <w:r w:rsidR="00333A21">
        <w:rPr>
          <w:rFonts w:cs="Times New Roman"/>
        </w:rPr>
        <w:t xml:space="preserve"> </w:t>
      </w:r>
      <w:r w:rsidR="00D14229">
        <w:rPr>
          <w:rFonts w:cs="Times New Roman"/>
        </w:rPr>
        <w:t>à</w:t>
      </w:r>
      <w:r w:rsidR="00333A21">
        <w:rPr>
          <w:rFonts w:cs="Times New Roman"/>
        </w:rPr>
        <w:t xml:space="preserve">s análises </w:t>
      </w:r>
      <w:r w:rsidR="00344507">
        <w:rPr>
          <w:rFonts w:cs="Times New Roman"/>
        </w:rPr>
        <w:t xml:space="preserve">que utilizariam </w:t>
      </w:r>
      <w:r w:rsidR="00AC2371">
        <w:rPr>
          <w:rFonts w:cs="Times New Roman"/>
        </w:rPr>
        <w:t xml:space="preserve">a variável </w:t>
      </w:r>
      <w:proofErr w:type="gramStart"/>
      <w:r w:rsidR="00AC2371">
        <w:rPr>
          <w:rFonts w:cs="Times New Roman"/>
        </w:rPr>
        <w:t>FCO</w:t>
      </w:r>
      <w:r w:rsidR="00AC2371" w:rsidRPr="00013F51">
        <w:rPr>
          <w:rFonts w:cs="Times New Roman"/>
          <w:vertAlign w:val="subscript"/>
        </w:rPr>
        <w:t>t</w:t>
      </w:r>
      <w:proofErr w:type="gramEnd"/>
      <w:r w:rsidR="00AC2371" w:rsidRPr="00013F51">
        <w:rPr>
          <w:rFonts w:cs="Times New Roman"/>
          <w:vertAlign w:val="subscript"/>
        </w:rPr>
        <w:t>+1</w:t>
      </w:r>
      <w:r w:rsidR="00333A21">
        <w:rPr>
          <w:rFonts w:cs="Times New Roman"/>
        </w:rPr>
        <w:t xml:space="preserve">, </w:t>
      </w:r>
      <w:r w:rsidR="00D14229">
        <w:rPr>
          <w:rFonts w:cs="Times New Roman"/>
        </w:rPr>
        <w:t xml:space="preserve">uma vez que esta variável </w:t>
      </w:r>
      <w:r w:rsidR="00AC2371">
        <w:rPr>
          <w:rFonts w:cs="Times New Roman"/>
        </w:rPr>
        <w:t>refere-se aos anos</w:t>
      </w:r>
      <w:r w:rsidR="006D4F53">
        <w:rPr>
          <w:rFonts w:cs="Times New Roman"/>
        </w:rPr>
        <w:t xml:space="preserve"> t+1, que são </w:t>
      </w:r>
      <w:r w:rsidR="00AC2371">
        <w:rPr>
          <w:rFonts w:cs="Times New Roman"/>
        </w:rPr>
        <w:t>2013 e 2014</w:t>
      </w:r>
      <w:r w:rsidR="006D4F53">
        <w:rPr>
          <w:rFonts w:cs="Times New Roman"/>
        </w:rPr>
        <w:t xml:space="preserve">; </w:t>
      </w:r>
      <w:r w:rsidR="00AC2371">
        <w:rPr>
          <w:rFonts w:cs="Times New Roman"/>
        </w:rPr>
        <w:t xml:space="preserve"> </w:t>
      </w:r>
      <w:r w:rsidR="006D4F53">
        <w:rPr>
          <w:rFonts w:cs="Times New Roman"/>
        </w:rPr>
        <w:t xml:space="preserve">as </w:t>
      </w:r>
      <w:r w:rsidR="00AC2371">
        <w:rPr>
          <w:rFonts w:cs="Times New Roman"/>
        </w:rPr>
        <w:t xml:space="preserve">demais variáveis </w:t>
      </w:r>
      <w:r w:rsidR="006D4F53">
        <w:rPr>
          <w:rFonts w:cs="Times New Roman"/>
        </w:rPr>
        <w:t xml:space="preserve">referem-se </w:t>
      </w:r>
      <w:r w:rsidR="00AC2371">
        <w:rPr>
          <w:rFonts w:cs="Times New Roman"/>
        </w:rPr>
        <w:t>aos anos de 2012 e 2013, respectivamente.</w:t>
      </w:r>
    </w:p>
    <w:p w:rsidR="00F37B82" w:rsidRDefault="00886801" w:rsidP="008146B7">
      <w:pPr>
        <w:spacing w:line="360" w:lineRule="auto"/>
        <w:ind w:firstLine="709"/>
        <w:jc w:val="both"/>
        <w:rPr>
          <w:rFonts w:cs="Times New Roman"/>
        </w:rPr>
      </w:pPr>
      <w:r>
        <w:rPr>
          <w:rFonts w:cs="Times New Roman"/>
        </w:rPr>
        <w:t>Ainda, deve ficar esclarecido que a exclusão de observações para</w:t>
      </w:r>
      <w:r w:rsidR="00526316">
        <w:rPr>
          <w:rFonts w:cs="Times New Roman"/>
        </w:rPr>
        <w:t xml:space="preserve"> as análises </w:t>
      </w:r>
      <w:r w:rsidR="00327500">
        <w:rPr>
          <w:rFonts w:cs="Times New Roman"/>
        </w:rPr>
        <w:t>relativas ao</w:t>
      </w:r>
      <w:r w:rsidR="00392C79">
        <w:rPr>
          <w:rFonts w:cs="Times New Roman"/>
        </w:rPr>
        <w:t xml:space="preserve"> </w:t>
      </w:r>
      <w:proofErr w:type="spellStart"/>
      <w:r w:rsidR="00392C79" w:rsidRPr="00392C79">
        <w:rPr>
          <w:rFonts w:cs="Times New Roman"/>
          <w:i/>
        </w:rPr>
        <w:t>value</w:t>
      </w:r>
      <w:proofErr w:type="spellEnd"/>
      <w:r w:rsidR="00392C79" w:rsidRPr="00392C79">
        <w:rPr>
          <w:rFonts w:cs="Times New Roman"/>
          <w:i/>
        </w:rPr>
        <w:t xml:space="preserve"> </w:t>
      </w:r>
      <w:proofErr w:type="spellStart"/>
      <w:r w:rsidR="00392C79" w:rsidRPr="00392C79">
        <w:rPr>
          <w:rFonts w:cs="Times New Roman"/>
          <w:i/>
        </w:rPr>
        <w:t>relevance</w:t>
      </w:r>
      <w:proofErr w:type="spellEnd"/>
      <w:r w:rsidR="00392C79">
        <w:rPr>
          <w:rFonts w:cs="Times New Roman"/>
        </w:rPr>
        <w:t xml:space="preserve">, em grande parte, se deu em virtude das ações das companhias não terem sido negociadas nas datas </w:t>
      </w:r>
      <w:r w:rsidR="00D44A73">
        <w:rPr>
          <w:rFonts w:cs="Times New Roman"/>
        </w:rPr>
        <w:t xml:space="preserve">especificadas. </w:t>
      </w:r>
    </w:p>
    <w:p w:rsidR="00F23CED" w:rsidRDefault="00F23CED" w:rsidP="00F23CED">
      <w:pPr>
        <w:spacing w:line="360" w:lineRule="auto"/>
        <w:jc w:val="both"/>
        <w:rPr>
          <w:rFonts w:cs="Times New Roman"/>
        </w:rPr>
      </w:pPr>
    </w:p>
    <w:p w:rsidR="002D421E" w:rsidRPr="00F23CED" w:rsidRDefault="00F23CED" w:rsidP="00F23CED">
      <w:pPr>
        <w:spacing w:line="360" w:lineRule="auto"/>
        <w:jc w:val="both"/>
        <w:rPr>
          <w:rFonts w:cs="Times New Roman"/>
          <w:b/>
        </w:rPr>
      </w:pPr>
      <w:proofErr w:type="gramStart"/>
      <w:r w:rsidRPr="00F23CED">
        <w:rPr>
          <w:rFonts w:cs="Times New Roman"/>
          <w:b/>
        </w:rPr>
        <w:t xml:space="preserve">3.2 </w:t>
      </w:r>
      <w:r w:rsidR="00F37B82" w:rsidRPr="00F23CED">
        <w:rPr>
          <w:rFonts w:cs="Times New Roman"/>
          <w:b/>
        </w:rPr>
        <w:t>Coleta</w:t>
      </w:r>
      <w:proofErr w:type="gramEnd"/>
      <w:r w:rsidR="00F37B82" w:rsidRPr="00F23CED">
        <w:rPr>
          <w:rFonts w:cs="Times New Roman"/>
          <w:b/>
        </w:rPr>
        <w:t xml:space="preserve"> de </w:t>
      </w:r>
      <w:r w:rsidR="000C01B5">
        <w:rPr>
          <w:rFonts w:cs="Times New Roman"/>
          <w:b/>
        </w:rPr>
        <w:t>D</w:t>
      </w:r>
      <w:r w:rsidR="00F37B82" w:rsidRPr="00F23CED">
        <w:rPr>
          <w:rFonts w:cs="Times New Roman"/>
          <w:b/>
        </w:rPr>
        <w:t>ados</w:t>
      </w:r>
    </w:p>
    <w:p w:rsidR="00F37B82" w:rsidRPr="00F37B82" w:rsidRDefault="00E8257A" w:rsidP="008146B7">
      <w:pPr>
        <w:spacing w:line="360" w:lineRule="auto"/>
        <w:ind w:firstLine="708"/>
        <w:jc w:val="both"/>
        <w:rPr>
          <w:rFonts w:cs="Times New Roman"/>
        </w:rPr>
      </w:pPr>
      <w:r>
        <w:t xml:space="preserve">As técnicas utilizadas para a coleta de dados </w:t>
      </w:r>
      <w:r w:rsidR="003F7BB8">
        <w:t xml:space="preserve">das empresas da amostra </w:t>
      </w:r>
      <w:r>
        <w:t xml:space="preserve">seguiram o escopo da pesquisa documental, </w:t>
      </w:r>
      <w:r w:rsidR="002120FD">
        <w:t xml:space="preserve">obtendo-se </w:t>
      </w:r>
      <w:r w:rsidR="002120FD">
        <w:rPr>
          <w:rFonts w:cs="Times New Roman"/>
        </w:rPr>
        <w:t>a</w:t>
      </w:r>
      <w:r w:rsidR="002120FD" w:rsidRPr="00F37B82">
        <w:rPr>
          <w:rFonts w:cs="Times New Roman"/>
        </w:rPr>
        <w:t xml:space="preserve">s </w:t>
      </w:r>
      <w:r w:rsidR="00F37B82" w:rsidRPr="00F37B82">
        <w:rPr>
          <w:rFonts w:cs="Times New Roman"/>
        </w:rPr>
        <w:t>informações financeiras e de mercado por meio da</w:t>
      </w:r>
      <w:r w:rsidR="00754650">
        <w:rPr>
          <w:rFonts w:cs="Times New Roman"/>
        </w:rPr>
        <w:t>s</w:t>
      </w:r>
      <w:r w:rsidR="00F37B82" w:rsidRPr="00F37B82">
        <w:rPr>
          <w:rFonts w:cs="Times New Roman"/>
        </w:rPr>
        <w:t xml:space="preserve"> base</w:t>
      </w:r>
      <w:r w:rsidR="00754650">
        <w:rPr>
          <w:rFonts w:cs="Times New Roman"/>
        </w:rPr>
        <w:t>s</w:t>
      </w:r>
      <w:r w:rsidR="00F37B82" w:rsidRPr="00F37B82">
        <w:rPr>
          <w:rFonts w:cs="Times New Roman"/>
        </w:rPr>
        <w:t xml:space="preserve"> de dados </w:t>
      </w:r>
      <w:r w:rsidR="00F37B82" w:rsidRPr="00B547C8">
        <w:rPr>
          <w:rFonts w:cs="Times New Roman"/>
          <w:i/>
        </w:rPr>
        <w:t>Econom</w:t>
      </w:r>
      <w:r w:rsidR="00B547C8" w:rsidRPr="00597F95">
        <w:rPr>
          <w:rFonts w:cs="Times New Roman"/>
          <w:i/>
        </w:rPr>
        <w:t>a</w:t>
      </w:r>
      <w:r w:rsidR="00F37B82" w:rsidRPr="00B547C8">
        <w:rPr>
          <w:rFonts w:cs="Times New Roman"/>
          <w:i/>
        </w:rPr>
        <w:t>tica</w:t>
      </w:r>
      <w:r w:rsidR="00B547C8">
        <w:rPr>
          <w:rFonts w:cs="Times New Roman"/>
        </w:rPr>
        <w:t>,</w:t>
      </w:r>
      <w:r w:rsidR="00B547C8" w:rsidRPr="00597F95">
        <w:rPr>
          <w:rFonts w:cs="Times New Roman"/>
          <w:i/>
        </w:rPr>
        <w:t xml:space="preserve"> </w:t>
      </w:r>
      <w:r w:rsidR="002066C6" w:rsidRPr="00597F95">
        <w:rPr>
          <w:rFonts w:cs="Times New Roman"/>
          <w:i/>
        </w:rPr>
        <w:t>S&amp;P Capital IQ</w:t>
      </w:r>
      <w:r w:rsidR="00F37B82" w:rsidRPr="00F37B82">
        <w:rPr>
          <w:rFonts w:cs="Times New Roman"/>
        </w:rPr>
        <w:t xml:space="preserve"> </w:t>
      </w:r>
      <w:r w:rsidR="002066C6">
        <w:rPr>
          <w:rFonts w:cs="Times New Roman"/>
        </w:rPr>
        <w:t xml:space="preserve">e </w:t>
      </w:r>
      <w:proofErr w:type="spellStart"/>
      <w:r w:rsidR="002066C6" w:rsidRPr="00597F95">
        <w:rPr>
          <w:rFonts w:cs="Times New Roman"/>
          <w:i/>
        </w:rPr>
        <w:t>Bloomberg</w:t>
      </w:r>
      <w:proofErr w:type="spellEnd"/>
      <w:r w:rsidR="002066C6">
        <w:rPr>
          <w:rFonts w:cs="Times New Roman"/>
        </w:rPr>
        <w:t xml:space="preserve">. </w:t>
      </w:r>
      <w:r w:rsidR="00754650">
        <w:rPr>
          <w:rFonts w:cs="Times New Roman"/>
        </w:rPr>
        <w:t>Ressalta-se que as i</w:t>
      </w:r>
      <w:r w:rsidR="00754650" w:rsidRPr="00F37B82">
        <w:rPr>
          <w:rFonts w:cs="Times New Roman"/>
        </w:rPr>
        <w:t xml:space="preserve">nformações </w:t>
      </w:r>
      <w:r w:rsidR="00F37B82" w:rsidRPr="00F37B82">
        <w:rPr>
          <w:rFonts w:cs="Times New Roman"/>
        </w:rPr>
        <w:t xml:space="preserve">detalhadas referentes às </w:t>
      </w:r>
      <w:proofErr w:type="spellStart"/>
      <w:r w:rsidR="00F37B82" w:rsidRPr="00F37B82">
        <w:rPr>
          <w:rFonts w:cs="Times New Roman"/>
        </w:rPr>
        <w:t>D</w:t>
      </w:r>
      <w:r w:rsidR="00272547">
        <w:rPr>
          <w:rFonts w:cs="Times New Roman"/>
        </w:rPr>
        <w:t>RAs</w:t>
      </w:r>
      <w:proofErr w:type="spellEnd"/>
      <w:r w:rsidR="00F37B82" w:rsidRPr="00F37B82">
        <w:rPr>
          <w:rFonts w:cs="Times New Roman"/>
        </w:rPr>
        <w:t xml:space="preserve"> não est</w:t>
      </w:r>
      <w:r w:rsidR="00754650">
        <w:rPr>
          <w:rFonts w:cs="Times New Roman"/>
        </w:rPr>
        <w:t>avam</w:t>
      </w:r>
      <w:r w:rsidR="00F37B82" w:rsidRPr="00F37B82">
        <w:rPr>
          <w:rFonts w:cs="Times New Roman"/>
        </w:rPr>
        <w:t xml:space="preserve"> disponíveis n</w:t>
      </w:r>
      <w:r w:rsidR="00754650">
        <w:rPr>
          <w:rFonts w:cs="Times New Roman"/>
        </w:rPr>
        <w:t>ess</w:t>
      </w:r>
      <w:r w:rsidR="00F37B82" w:rsidRPr="00F37B82">
        <w:rPr>
          <w:rFonts w:cs="Times New Roman"/>
        </w:rPr>
        <w:t xml:space="preserve">as </w:t>
      </w:r>
      <w:r w:rsidR="00754650">
        <w:rPr>
          <w:rFonts w:cs="Times New Roman"/>
        </w:rPr>
        <w:t xml:space="preserve">respectivas </w:t>
      </w:r>
      <w:r w:rsidR="00F37B82" w:rsidRPr="00F37B82">
        <w:rPr>
          <w:rFonts w:cs="Times New Roman"/>
        </w:rPr>
        <w:t>bases de dados</w:t>
      </w:r>
      <w:r w:rsidR="00272547">
        <w:rPr>
          <w:rFonts w:cs="Times New Roman"/>
        </w:rPr>
        <w:t>, por isso</w:t>
      </w:r>
      <w:r w:rsidR="00F37B82" w:rsidRPr="00F37B82">
        <w:rPr>
          <w:rFonts w:cs="Times New Roman"/>
        </w:rPr>
        <w:t xml:space="preserve"> foram </w:t>
      </w:r>
      <w:r w:rsidR="00754650">
        <w:rPr>
          <w:rFonts w:cs="Times New Roman"/>
        </w:rPr>
        <w:t xml:space="preserve">realizados </w:t>
      </w:r>
      <w:r w:rsidR="00754650" w:rsidRPr="00A712BA">
        <w:rPr>
          <w:rFonts w:cs="Times New Roman"/>
          <w:i/>
        </w:rPr>
        <w:t>downloads</w:t>
      </w:r>
      <w:r w:rsidR="00754650">
        <w:rPr>
          <w:rFonts w:cs="Times New Roman"/>
        </w:rPr>
        <w:t xml:space="preserve"> </w:t>
      </w:r>
      <w:r w:rsidR="00F03330">
        <w:rPr>
          <w:rFonts w:cs="Times New Roman"/>
        </w:rPr>
        <w:t xml:space="preserve">de cada DRA – </w:t>
      </w:r>
      <w:r w:rsidR="00F37B82" w:rsidRPr="00F37B82">
        <w:rPr>
          <w:rFonts w:cs="Times New Roman"/>
        </w:rPr>
        <w:t>para cada observação</w:t>
      </w:r>
      <w:r w:rsidR="00F03330">
        <w:rPr>
          <w:rFonts w:cs="Times New Roman"/>
        </w:rPr>
        <w:t xml:space="preserve"> –</w:t>
      </w:r>
      <w:r w:rsidR="00F37B82" w:rsidRPr="00F37B82">
        <w:rPr>
          <w:rFonts w:cs="Times New Roman"/>
        </w:rPr>
        <w:t xml:space="preserve"> no site da Comissão de Valor</w:t>
      </w:r>
      <w:r w:rsidR="00392C79">
        <w:rPr>
          <w:rFonts w:cs="Times New Roman"/>
        </w:rPr>
        <w:t>es Mobiliários</w:t>
      </w:r>
      <w:r w:rsidR="00F10E09">
        <w:rPr>
          <w:rFonts w:cs="Times New Roman"/>
        </w:rPr>
        <w:t xml:space="preserve"> (CVM)</w:t>
      </w:r>
      <w:r w:rsidR="00392C79">
        <w:rPr>
          <w:rFonts w:cs="Times New Roman"/>
        </w:rPr>
        <w:t>.</w:t>
      </w:r>
    </w:p>
    <w:p w:rsidR="00FC2FC5" w:rsidRDefault="006A044E" w:rsidP="008146B7">
      <w:pPr>
        <w:spacing w:line="360" w:lineRule="auto"/>
        <w:ind w:firstLine="708"/>
        <w:jc w:val="both"/>
        <w:rPr>
          <w:rFonts w:cs="Times New Roman"/>
        </w:rPr>
      </w:pPr>
      <w:r>
        <w:rPr>
          <w:rFonts w:cs="Times New Roman"/>
        </w:rPr>
        <w:t xml:space="preserve">Além disso, como </w:t>
      </w:r>
      <w:r w:rsidR="00FC2FC5">
        <w:rPr>
          <w:rFonts w:cs="Times New Roman"/>
        </w:rPr>
        <w:t xml:space="preserve">uma mesma empresa pode </w:t>
      </w:r>
      <w:r>
        <w:rPr>
          <w:rFonts w:cs="Times New Roman"/>
        </w:rPr>
        <w:t xml:space="preserve">apresentar </w:t>
      </w:r>
      <w:r w:rsidR="00FC2FC5">
        <w:rPr>
          <w:rFonts w:cs="Times New Roman"/>
        </w:rPr>
        <w:t xml:space="preserve">mais de um tipo de ação negociada (PN, ON, ADR, etc.), nesse trabalho </w:t>
      </w:r>
      <w:r w:rsidR="00306C77">
        <w:rPr>
          <w:rFonts w:cs="Times New Roman"/>
        </w:rPr>
        <w:t xml:space="preserve">optou-se </w:t>
      </w:r>
      <w:r w:rsidR="00FC2FC5">
        <w:rPr>
          <w:rFonts w:cs="Times New Roman"/>
        </w:rPr>
        <w:t>por manter o preço da ação com m</w:t>
      </w:r>
      <w:r w:rsidR="00D03CBA">
        <w:rPr>
          <w:rFonts w:cs="Times New Roman"/>
        </w:rPr>
        <w:t>aior liquidez no</w:t>
      </w:r>
      <w:r w:rsidR="00FC2FC5">
        <w:rPr>
          <w:rFonts w:cs="Times New Roman"/>
        </w:rPr>
        <w:t xml:space="preserve"> ano</w:t>
      </w:r>
      <w:r w:rsidR="00D03CBA">
        <w:rPr>
          <w:rFonts w:cs="Times New Roman"/>
        </w:rPr>
        <w:t xml:space="preserve"> de 2014</w:t>
      </w:r>
      <w:r w:rsidR="00FC2FC5">
        <w:rPr>
          <w:rFonts w:cs="Times New Roman"/>
        </w:rPr>
        <w:t xml:space="preserve">, considerando o volume de negociação. Com a finalidade de </w:t>
      </w:r>
      <w:r w:rsidR="00FC2FC5">
        <w:rPr>
          <w:rFonts w:cs="Times New Roman"/>
        </w:rPr>
        <w:lastRenderedPageBreak/>
        <w:t xml:space="preserve">ter um padrão para coleta e análise de dados, </w:t>
      </w:r>
      <w:r w:rsidR="00632F15">
        <w:rPr>
          <w:rFonts w:cs="Times New Roman"/>
        </w:rPr>
        <w:t>a variável P</w:t>
      </w:r>
      <w:r w:rsidR="00FC2FC5">
        <w:rPr>
          <w:rFonts w:cs="Times New Roman"/>
        </w:rPr>
        <w:t>reço</w:t>
      </w:r>
      <w:r w:rsidR="00632F15">
        <w:rPr>
          <w:rFonts w:cs="Times New Roman"/>
        </w:rPr>
        <w:t xml:space="preserve"> da Ação</w:t>
      </w:r>
      <w:r w:rsidR="00FC2FC5">
        <w:rPr>
          <w:rFonts w:cs="Times New Roman"/>
        </w:rPr>
        <w:t xml:space="preserve"> refere-se ao </w:t>
      </w:r>
      <w:r w:rsidR="00632F15">
        <w:rPr>
          <w:rFonts w:cs="Times New Roman"/>
        </w:rPr>
        <w:t xml:space="preserve">preço do </w:t>
      </w:r>
      <w:r w:rsidR="00FC2FC5">
        <w:rPr>
          <w:rFonts w:cs="Times New Roman"/>
        </w:rPr>
        <w:t>último dia útil do mês de abril de cada ano. Nesse sentido, todas as informações financeiras já estariam disponíveis para que os participantes do mercado fizessem suas análises, e dessa forma, espera-se que essas informações estejam incorporadas nos preços das ações.</w:t>
      </w:r>
    </w:p>
    <w:p w:rsidR="00FC2FC5" w:rsidRPr="006052A9" w:rsidRDefault="00F37B82" w:rsidP="008146B7">
      <w:pPr>
        <w:spacing w:line="360" w:lineRule="auto"/>
        <w:ind w:firstLine="709"/>
        <w:jc w:val="both"/>
        <w:rPr>
          <w:rFonts w:cs="Times New Roman"/>
        </w:rPr>
      </w:pPr>
      <w:r>
        <w:rPr>
          <w:rFonts w:cs="Times New Roman"/>
        </w:rPr>
        <w:t xml:space="preserve">Após o download dos dados submetidos pelas empresas à CVM, utilizou-se o software </w:t>
      </w:r>
      <w:proofErr w:type="gramStart"/>
      <w:r>
        <w:rPr>
          <w:rFonts w:cs="Times New Roman"/>
        </w:rPr>
        <w:t>Empresas.</w:t>
      </w:r>
      <w:proofErr w:type="gramEnd"/>
      <w:r>
        <w:rPr>
          <w:rFonts w:cs="Times New Roman"/>
        </w:rPr>
        <w:t>NET versão 8.0, sistema</w:t>
      </w:r>
      <w:r w:rsidRPr="005953F9">
        <w:rPr>
          <w:rFonts w:cs="Times New Roman"/>
        </w:rPr>
        <w:t xml:space="preserve"> </w:t>
      </w:r>
      <w:r>
        <w:rPr>
          <w:rFonts w:cs="Times New Roman"/>
        </w:rPr>
        <w:t xml:space="preserve">que </w:t>
      </w:r>
      <w:r w:rsidRPr="005953F9">
        <w:rPr>
          <w:rFonts w:cs="Times New Roman"/>
        </w:rPr>
        <w:t xml:space="preserve">permite </w:t>
      </w:r>
      <w:r>
        <w:rPr>
          <w:rFonts w:cs="Times New Roman"/>
        </w:rPr>
        <w:t>fazer</w:t>
      </w:r>
      <w:r w:rsidRPr="005953F9">
        <w:rPr>
          <w:rFonts w:cs="Times New Roman"/>
        </w:rPr>
        <w:t xml:space="preserve"> </w:t>
      </w:r>
      <w:r>
        <w:rPr>
          <w:rFonts w:cs="Times New Roman"/>
        </w:rPr>
        <w:t xml:space="preserve">a </w:t>
      </w:r>
      <w:r w:rsidRPr="005953F9">
        <w:rPr>
          <w:rFonts w:cs="Times New Roman"/>
        </w:rPr>
        <w:t>import</w:t>
      </w:r>
      <w:r>
        <w:rPr>
          <w:rFonts w:cs="Times New Roman"/>
        </w:rPr>
        <w:t>ação</w:t>
      </w:r>
      <w:r w:rsidRPr="005953F9">
        <w:rPr>
          <w:rFonts w:cs="Times New Roman"/>
        </w:rPr>
        <w:t xml:space="preserve"> </w:t>
      </w:r>
      <w:r>
        <w:rPr>
          <w:rFonts w:cs="Times New Roman"/>
        </w:rPr>
        <w:t>d</w:t>
      </w:r>
      <w:r w:rsidRPr="005953F9">
        <w:rPr>
          <w:rFonts w:cs="Times New Roman"/>
        </w:rPr>
        <w:t xml:space="preserve">os formulários padronizados (ITR, DFP, FRE, SEC e FCA) enviados pelas </w:t>
      </w:r>
      <w:r w:rsidR="00486B86">
        <w:rPr>
          <w:rFonts w:cs="Times New Roman"/>
        </w:rPr>
        <w:t>firmas</w:t>
      </w:r>
      <w:r w:rsidRPr="005953F9">
        <w:rPr>
          <w:rFonts w:cs="Times New Roman"/>
        </w:rPr>
        <w:t>.</w:t>
      </w:r>
      <w:r>
        <w:rPr>
          <w:rFonts w:cs="Times New Roman"/>
        </w:rPr>
        <w:t xml:space="preserve"> As informações da DRA não são padronizadas, ou seja, não são estabelecidas</w:t>
      </w:r>
      <w:r w:rsidR="00481922">
        <w:rPr>
          <w:rFonts w:cs="Times New Roman"/>
        </w:rPr>
        <w:t xml:space="preserve"> rubricas específicas com planos de contas obrigatórios para a divulgação </w:t>
      </w:r>
      <w:r w:rsidR="00486B86">
        <w:rPr>
          <w:rFonts w:cs="Times New Roman"/>
        </w:rPr>
        <w:t>das informações (por ex.: 1.01</w:t>
      </w:r>
      <w:r w:rsidR="00481922">
        <w:rPr>
          <w:rFonts w:cs="Times New Roman"/>
        </w:rPr>
        <w:t xml:space="preserve"> </w:t>
      </w:r>
      <w:r w:rsidR="00486B86">
        <w:rPr>
          <w:rFonts w:cs="Times New Roman"/>
        </w:rPr>
        <w:t xml:space="preserve">= </w:t>
      </w:r>
      <w:r w:rsidR="00481922">
        <w:rPr>
          <w:rFonts w:cs="Times New Roman"/>
        </w:rPr>
        <w:t xml:space="preserve">Ativo Circulante ou 3.09 = </w:t>
      </w:r>
      <w:r w:rsidR="00481922">
        <w:t>Resultado Líquido das Operações Continuadas)</w:t>
      </w:r>
      <w:r>
        <w:rPr>
          <w:rFonts w:cs="Times New Roman"/>
        </w:rPr>
        <w:t>, como no Balanço Patrimonial e na Demonstração de Resultado</w:t>
      </w:r>
      <w:r w:rsidR="00481922">
        <w:rPr>
          <w:rFonts w:cs="Times New Roman"/>
        </w:rPr>
        <w:t>s do Exercíc</w:t>
      </w:r>
      <w:r w:rsidR="00D730CD">
        <w:rPr>
          <w:rFonts w:cs="Times New Roman"/>
        </w:rPr>
        <w:t>i</w:t>
      </w:r>
      <w:r w:rsidR="00481922">
        <w:rPr>
          <w:rFonts w:cs="Times New Roman"/>
        </w:rPr>
        <w:t>o</w:t>
      </w:r>
      <w:r w:rsidR="00272547">
        <w:t>.</w:t>
      </w:r>
      <w:r w:rsidR="008D6686">
        <w:t xml:space="preserve"> </w:t>
      </w:r>
      <w:r w:rsidR="00486B86">
        <w:t>Dessa forma</w:t>
      </w:r>
      <w:r>
        <w:t xml:space="preserve">, foi necessário analisar todas as </w:t>
      </w:r>
      <w:proofErr w:type="spellStart"/>
      <w:r>
        <w:t>DRAs</w:t>
      </w:r>
      <w:proofErr w:type="spellEnd"/>
      <w:r>
        <w:t xml:space="preserve"> identificando </w:t>
      </w:r>
      <w:r w:rsidR="00486B86">
        <w:t>e categorizando cada um do</w:t>
      </w:r>
      <w:r>
        <w:t>s componentes do</w:t>
      </w:r>
      <w:r w:rsidR="000F7B10">
        <w:t>s outros</w:t>
      </w:r>
      <w:r>
        <w:t xml:space="preserve"> resultado</w:t>
      </w:r>
      <w:r w:rsidR="000F7B10">
        <w:t>s</w:t>
      </w:r>
      <w:r>
        <w:t xml:space="preserve"> abrangente</w:t>
      </w:r>
      <w:r w:rsidR="000F7B10">
        <w:t>s</w:t>
      </w:r>
      <w:r>
        <w:t>.</w:t>
      </w:r>
      <w:r w:rsidR="00CC7AE1">
        <w:t xml:space="preserve"> </w:t>
      </w:r>
      <w:r w:rsidR="00663238">
        <w:t xml:space="preserve">Essa </w:t>
      </w:r>
      <w:r w:rsidR="001434D1">
        <w:t>classif</w:t>
      </w:r>
      <w:r w:rsidR="00663238">
        <w:t xml:space="preserve">icação se deu </w:t>
      </w:r>
      <w:r w:rsidR="007600D9">
        <w:t xml:space="preserve">por meio do pronunciamento </w:t>
      </w:r>
      <w:r w:rsidR="00014208">
        <w:fldChar w:fldCharType="begin" w:fldLock="1"/>
      </w:r>
      <w:r w:rsidR="00014208">
        <w:instrText>ADDIN CSL_CITATION { "citationItems" : [ { "id" : "ITEM-1", "itemData" : { "author" : [ { "dropping-particle" : "", "family" : "Comit\u00ea de Pronunciamentos Cont\u00e1beis", "given" : "", "non-dropping-particle" : "", "parse-names" : false, "suffix" : "" } ], "id" : "ITEM-1", "issued" : { "date-parts" : [ [ "2011" ] ] }, "title" : "Pronunciamento T\u00e9cnico CPC 26 (R1)", "type" : "report" }, "uris" : [ "http://www.mendeley.com/documents/?uuid=a1a07458-6bac-418d-b426-b122a00f16b2" ] } ], "mendeley" : { "formattedCitation" : "(COMIT\u00ca DE PRONUNCIAMENTOS CONT\u00c1BEIS, 2011)", "manualFormatting" : "CPC", "plainTextFormattedCitation" : "(COMIT\u00ca DE PRONUNCIAMENTOS CONT\u00c1BEIS, 2011)", "previouslyFormattedCitation" : "(COMIT\u00ca DE PRONUNCIAMENTOS CONT\u00c1BEIS, 2011)" }, "properties" : { "noteIndex" : 0 }, "schema" : "https://github.com/citation-style-language/schema/raw/master/csl-citation.json" }</w:instrText>
      </w:r>
      <w:r w:rsidR="00014208">
        <w:fldChar w:fldCharType="separate"/>
      </w:r>
      <w:r w:rsidR="00014208" w:rsidRPr="00014208">
        <w:rPr>
          <w:noProof/>
        </w:rPr>
        <w:t>C</w:t>
      </w:r>
      <w:r w:rsidR="00014208">
        <w:rPr>
          <w:noProof/>
        </w:rPr>
        <w:t>PC</w:t>
      </w:r>
      <w:r w:rsidR="00014208">
        <w:fldChar w:fldCharType="end"/>
      </w:r>
      <w:r w:rsidR="00014208">
        <w:t xml:space="preserve"> 26 </w:t>
      </w:r>
      <w:r w:rsidR="00A618FE">
        <w:t xml:space="preserve">– </w:t>
      </w:r>
      <w:r w:rsidR="00014208">
        <w:t>R</w:t>
      </w:r>
      <w:r w:rsidR="00A618FE">
        <w:t>1</w:t>
      </w:r>
      <w:r w:rsidR="007600D9">
        <w:t xml:space="preserve">, itens 90 a 96, </w:t>
      </w:r>
      <w:r w:rsidR="00486B86">
        <w:t xml:space="preserve">que estão </w:t>
      </w:r>
      <w:r w:rsidR="007600D9">
        <w:t xml:space="preserve">em </w:t>
      </w:r>
      <w:r w:rsidR="00486B86">
        <w:rPr>
          <w:rFonts w:cs="Times New Roman"/>
        </w:rPr>
        <w:t>conformidade</w:t>
      </w:r>
      <w:r w:rsidR="007600D9">
        <w:rPr>
          <w:rFonts w:cs="Times New Roman"/>
        </w:rPr>
        <w:t xml:space="preserve"> </w:t>
      </w:r>
      <w:r w:rsidR="00CC7AE1">
        <w:rPr>
          <w:rFonts w:cs="Times New Roman"/>
        </w:rPr>
        <w:t xml:space="preserve">com o </w:t>
      </w:r>
      <w:r w:rsidR="007600D9">
        <w:rPr>
          <w:rFonts w:cs="Times New Roman"/>
        </w:rPr>
        <w:t>descrito na</w:t>
      </w:r>
      <w:r w:rsidR="00983C55">
        <w:rPr>
          <w:rFonts w:cs="Times New Roman"/>
        </w:rPr>
        <w:t>s</w:t>
      </w:r>
      <w:r w:rsidR="007600D9">
        <w:rPr>
          <w:rFonts w:cs="Times New Roman"/>
        </w:rPr>
        <w:t xml:space="preserve"> </w:t>
      </w:r>
      <w:r w:rsidR="00D730CD">
        <w:rPr>
          <w:rFonts w:cs="Times New Roman"/>
        </w:rPr>
        <w:t xml:space="preserve">pesquisas </w:t>
      </w:r>
      <w:proofErr w:type="gramStart"/>
      <w:r w:rsidR="00D730CD">
        <w:rPr>
          <w:rFonts w:cs="Times New Roman"/>
        </w:rPr>
        <w:t>de</w:t>
      </w:r>
      <w:proofErr w:type="gramEnd"/>
      <w:r w:rsidR="00D730CD">
        <w:rPr>
          <w:rFonts w:cs="Times New Roman"/>
        </w:rPr>
        <w:t xml:space="preserve"> </w:t>
      </w:r>
      <w:r w:rsidR="00CC7AE1">
        <w:rPr>
          <w:rFonts w:cs="Times New Roman"/>
        </w:rPr>
        <w:fldChar w:fldCharType="begin" w:fldLock="1"/>
      </w:r>
      <w:r w:rsidR="00014208">
        <w:rPr>
          <w:rFonts w:cs="Times New Roman"/>
        </w:rPr>
        <w:instrText>ADDIN CSL_CITATION { "citationItems" : [ { "id" : "ITEM-1", "itemData" : { "DOI" : "10.1016/j.adiac.2013.05.003", "ISSN" : "0882-6110", "author" : [ { "dropping-particle" : "", "family" : "Lee", "given" : "Cheol", "non-dropping-particle" : "", "parse-names" : false, "suffix" : "" }, { "dropping-particle" : "", "family" : "Park", "given" : "Myung S", "non-dropping-particle" : "", "parse-names" : false, "suffix" : "" } ], "container-title" : "Advances in Accounting, incorporating Advances in International Accounting", "id" : "ITEM-1", "issue" : "2", "issued" : { "date-parts" : [ [ "2013" ] ] }, "page" : "218-231", "publisher" : "Elsevier Ltd", "title" : "Subjectivity in fair-value estimates , audit quality , and informativeness of other comprehensive income", "type" : "article-journal", "volume" : "29" }, "uris" : [ "http://www.mendeley.com/documents/?uuid=be218cea-3ca2-4b28-96b3-0a0a2122e5c4" ] }, { "id" : "ITEM-2", "itemData" : { "author" : [ { "dropping-particle" : "", "family" : "Z\u00fclch", "given" : "Henning", "non-dropping-particle" : "", "parse-names" : false, "suffix" : "" }, { "dropping-particle" : "", "family" : "Pronobis", "given" : "Paul", "non-dropping-particle" : "", "parse-names" : false, "suffix" : "" } ], "id" : "ITEM-2", "issue" : "95", "issued" : { "date-parts" : [ [ "2010" ] ] }, "number" : "095", "number-of-pages" : "45", "publisher-place" : "Leipzig", "title" : "The Predictive Power of Comprehensive Income and Its Individual Components under IFRS", "type" : "report" }, "uris" : [ "http://www.mendeley.com/documents/?uuid=defd9389-1c23-4548-a6a5-42ea6e2499b8" ] }, { "id" : "ITEM-3", "itemData" : { "DOI" : "10.1016/j.jaccpubpol.2009.06.004", "ISSN" : "0278-4254", "author" : [ { "dropping-particle" : "", "family" : "Kanagaretnam", "given" : "Kiridaran", "non-dropping-particle" : "", "parse-names" : false, "suffix" : "" }, { "dropping-particle" : "", "family" : "Mathieu", "given" : "Robert", "non-dropping-particle" : "", "parse-names" : false, "suffix" : "" }, { "dropping-particle" : "", "family" : "Shehata", "given" : "Mohamed", "non-dropping-particle" : "", "parse-names" : false, "suffix" : "" } ], "container-title" : "Journal of Accounting and Public Policy", "id" : "ITEM-3", "issue" : "4", "issued" : { "date-parts" : [ [ "2009" ] ] }, "page" : "349-365", "publisher" : "Elsevier Inc.", "title" : "J . Account . Public Policy Usefulness of comprehensive income reporting in Canada", "type" : "article-journal", "volume" : "28" }, "uris" : [ "http://www.mendeley.com/documents/?uuid=cd304030-31c3-47ea-a9a3-dac29f0401c6" ] } ], "mendeley" : { "formattedCitation" : "(KANAGARETNAM; MATHIEU; SHEHATA, 2009; LEE; PARK, 2013; Z\u00dcLCH; PRONOBIS, 2010)", "plainTextFormattedCitation" : "(KANAGARETNAM; MATHIEU; SHEHATA, 2009; LEE; PARK, 2013; Z\u00dcLCH; PRONOBIS, 2010)", "previouslyFormattedCitation" : "(KANAGARETNAM; MATHIEU; SHEHATA, 2009; LEE; PARK, 2013; Z\u00dcLCH; PRONOBIS, 2010)" }, "properties" : { "noteIndex" : 0 }, "schema" : "https://github.com/citation-style-language/schema/raw/master/csl-citation.json" }</w:instrText>
      </w:r>
      <w:r w:rsidR="00CC7AE1">
        <w:rPr>
          <w:rFonts w:cs="Times New Roman"/>
        </w:rPr>
        <w:fldChar w:fldCharType="separate"/>
      </w:r>
      <w:r w:rsidR="00CC7AE1" w:rsidRPr="00CC7AE1">
        <w:rPr>
          <w:rFonts w:cs="Times New Roman"/>
          <w:noProof/>
        </w:rPr>
        <w:t>K</w:t>
      </w:r>
      <w:r w:rsidR="00D730CD" w:rsidRPr="00CC7AE1">
        <w:rPr>
          <w:rFonts w:cs="Times New Roman"/>
          <w:noProof/>
        </w:rPr>
        <w:t>anagaretnam</w:t>
      </w:r>
      <w:r w:rsidR="00D730CD">
        <w:rPr>
          <w:rFonts w:cs="Times New Roman"/>
          <w:noProof/>
        </w:rPr>
        <w:t>,</w:t>
      </w:r>
      <w:r w:rsidR="00D730CD" w:rsidRPr="00CC7AE1">
        <w:rPr>
          <w:rFonts w:cs="Times New Roman"/>
          <w:noProof/>
        </w:rPr>
        <w:t xml:space="preserve"> Mathieu</w:t>
      </w:r>
      <w:r w:rsidR="00D730CD">
        <w:rPr>
          <w:rFonts w:cs="Times New Roman"/>
          <w:noProof/>
        </w:rPr>
        <w:t xml:space="preserve"> e</w:t>
      </w:r>
      <w:r w:rsidR="00D730CD" w:rsidRPr="00CC7AE1">
        <w:rPr>
          <w:rFonts w:cs="Times New Roman"/>
          <w:noProof/>
        </w:rPr>
        <w:t xml:space="preserve"> Shehata</w:t>
      </w:r>
      <w:r w:rsidR="00D730CD">
        <w:rPr>
          <w:rFonts w:cs="Times New Roman"/>
          <w:noProof/>
        </w:rPr>
        <w:t xml:space="preserve"> (</w:t>
      </w:r>
      <w:r w:rsidR="00CC7AE1" w:rsidRPr="00CC7AE1">
        <w:rPr>
          <w:rFonts w:cs="Times New Roman"/>
          <w:noProof/>
        </w:rPr>
        <w:t>2009</w:t>
      </w:r>
      <w:r w:rsidR="00D730CD">
        <w:rPr>
          <w:rFonts w:cs="Times New Roman"/>
          <w:noProof/>
        </w:rPr>
        <w:t xml:space="preserve">), </w:t>
      </w:r>
      <w:r w:rsidR="00CC7AE1" w:rsidRPr="00CC7AE1">
        <w:rPr>
          <w:rFonts w:cs="Times New Roman"/>
          <w:noProof/>
        </w:rPr>
        <w:t>L</w:t>
      </w:r>
      <w:r w:rsidR="00D730CD">
        <w:rPr>
          <w:rFonts w:cs="Times New Roman"/>
          <w:noProof/>
        </w:rPr>
        <w:t xml:space="preserve">ee e </w:t>
      </w:r>
      <w:r w:rsidR="00CC7AE1" w:rsidRPr="00CC7AE1">
        <w:rPr>
          <w:rFonts w:cs="Times New Roman"/>
          <w:noProof/>
        </w:rPr>
        <w:t>P</w:t>
      </w:r>
      <w:r w:rsidR="00D730CD">
        <w:rPr>
          <w:rFonts w:cs="Times New Roman"/>
          <w:noProof/>
        </w:rPr>
        <w:t>ark (</w:t>
      </w:r>
      <w:r w:rsidR="00CC7AE1" w:rsidRPr="00CC7AE1">
        <w:rPr>
          <w:rFonts w:cs="Times New Roman"/>
          <w:noProof/>
        </w:rPr>
        <w:t>2013</w:t>
      </w:r>
      <w:r w:rsidR="00D730CD">
        <w:rPr>
          <w:rFonts w:cs="Times New Roman"/>
          <w:noProof/>
        </w:rPr>
        <w:t xml:space="preserve">) e </w:t>
      </w:r>
      <w:r w:rsidR="00CC7AE1" w:rsidRPr="00CC7AE1">
        <w:rPr>
          <w:rFonts w:cs="Times New Roman"/>
          <w:noProof/>
        </w:rPr>
        <w:t>Z</w:t>
      </w:r>
      <w:r w:rsidR="00D730CD">
        <w:rPr>
          <w:rFonts w:cs="Times New Roman"/>
          <w:noProof/>
        </w:rPr>
        <w:t xml:space="preserve">ülch e </w:t>
      </w:r>
      <w:r w:rsidR="00CC7AE1" w:rsidRPr="00CC7AE1">
        <w:rPr>
          <w:rFonts w:cs="Times New Roman"/>
          <w:noProof/>
        </w:rPr>
        <w:t xml:space="preserve"> P</w:t>
      </w:r>
      <w:r w:rsidR="00D730CD">
        <w:rPr>
          <w:rFonts w:cs="Times New Roman"/>
          <w:noProof/>
        </w:rPr>
        <w:t>ronobis (</w:t>
      </w:r>
      <w:r w:rsidR="00CC7AE1" w:rsidRPr="00CC7AE1">
        <w:rPr>
          <w:rFonts w:cs="Times New Roman"/>
          <w:noProof/>
        </w:rPr>
        <w:t>2010)</w:t>
      </w:r>
      <w:r w:rsidR="00CC7AE1">
        <w:rPr>
          <w:rFonts w:cs="Times New Roman"/>
        </w:rPr>
        <w:fldChar w:fldCharType="end"/>
      </w:r>
      <w:r w:rsidR="00CC7AE1">
        <w:rPr>
          <w:rFonts w:cs="Times New Roman"/>
        </w:rPr>
        <w:t>.</w:t>
      </w:r>
    </w:p>
    <w:p w:rsidR="00983C55" w:rsidRDefault="00983C55" w:rsidP="000C01B5">
      <w:pPr>
        <w:spacing w:line="360" w:lineRule="auto"/>
        <w:jc w:val="both"/>
        <w:rPr>
          <w:rFonts w:cs="Times New Roman"/>
        </w:rPr>
      </w:pPr>
    </w:p>
    <w:p w:rsidR="00F808D2" w:rsidRDefault="00F808D2" w:rsidP="000C01B5">
      <w:pPr>
        <w:spacing w:line="360" w:lineRule="auto"/>
        <w:jc w:val="both"/>
        <w:rPr>
          <w:rFonts w:cs="Times New Roman"/>
          <w:b/>
        </w:rPr>
      </w:pPr>
      <w:r w:rsidRPr="006667FD">
        <w:rPr>
          <w:rFonts w:cs="Times New Roman"/>
          <w:b/>
        </w:rPr>
        <w:t>3.</w:t>
      </w:r>
      <w:r w:rsidR="00F37B82">
        <w:rPr>
          <w:rFonts w:cs="Times New Roman"/>
          <w:b/>
        </w:rPr>
        <w:t>3</w:t>
      </w:r>
      <w:r w:rsidRPr="006667FD">
        <w:rPr>
          <w:rFonts w:cs="Times New Roman"/>
          <w:b/>
        </w:rPr>
        <w:t xml:space="preserve">. Modelos </w:t>
      </w:r>
      <w:r w:rsidR="000C01B5">
        <w:rPr>
          <w:rFonts w:cs="Times New Roman"/>
          <w:b/>
        </w:rPr>
        <w:t>E</w:t>
      </w:r>
      <w:r w:rsidRPr="006667FD">
        <w:rPr>
          <w:rFonts w:cs="Times New Roman"/>
          <w:b/>
        </w:rPr>
        <w:t>mpíricos</w:t>
      </w:r>
    </w:p>
    <w:p w:rsidR="0056333F" w:rsidRPr="00F53227" w:rsidRDefault="0056333F" w:rsidP="000C01B5">
      <w:pPr>
        <w:spacing w:line="360" w:lineRule="auto"/>
        <w:jc w:val="both"/>
        <w:rPr>
          <w:rFonts w:cs="Times New Roman"/>
        </w:rPr>
      </w:pPr>
      <w:r w:rsidRPr="00F53227">
        <w:rPr>
          <w:rFonts w:cs="Times New Roman"/>
        </w:rPr>
        <w:t xml:space="preserve">3.3.1 </w:t>
      </w:r>
      <w:r w:rsidR="001A717D" w:rsidRPr="00F53227">
        <w:rPr>
          <w:rFonts w:cs="Times New Roman"/>
        </w:rPr>
        <w:t>Poder Preditivo</w:t>
      </w:r>
    </w:p>
    <w:p w:rsidR="00F808D2" w:rsidRPr="006052A9" w:rsidRDefault="00B96FA4" w:rsidP="008146B7">
      <w:pPr>
        <w:spacing w:line="360" w:lineRule="auto"/>
        <w:ind w:firstLine="709"/>
        <w:jc w:val="both"/>
        <w:rPr>
          <w:rFonts w:cs="Times New Roman"/>
        </w:rPr>
      </w:pPr>
      <w:r>
        <w:rPr>
          <w:rFonts w:cs="Times New Roman"/>
        </w:rPr>
        <w:t>Considerando que</w:t>
      </w:r>
      <w:r w:rsidR="00F808D2" w:rsidRPr="006052A9">
        <w:rPr>
          <w:rFonts w:cs="Times New Roman"/>
        </w:rPr>
        <w:t xml:space="preserve"> o</w:t>
      </w:r>
      <w:r>
        <w:rPr>
          <w:rFonts w:cs="Times New Roman"/>
        </w:rPr>
        <w:t>s</w:t>
      </w:r>
      <w:r w:rsidR="00F808D2" w:rsidRPr="006052A9">
        <w:rPr>
          <w:rFonts w:cs="Times New Roman"/>
        </w:rPr>
        <w:t xml:space="preserve"> </w:t>
      </w:r>
      <w:r w:rsidR="000F7B10">
        <w:rPr>
          <w:rFonts w:cs="Times New Roman"/>
        </w:rPr>
        <w:t xml:space="preserve">outros </w:t>
      </w:r>
      <w:r w:rsidR="00F808D2" w:rsidRPr="006052A9">
        <w:rPr>
          <w:rFonts w:cs="Times New Roman"/>
        </w:rPr>
        <w:t xml:space="preserve">resultados abrangentes captam todas as fontes de criação de valor e os investidores incorporam </w:t>
      </w:r>
      <w:r>
        <w:rPr>
          <w:rFonts w:cs="Times New Roman"/>
        </w:rPr>
        <w:t>essa informação</w:t>
      </w:r>
      <w:r w:rsidR="00F808D2" w:rsidRPr="006052A9">
        <w:rPr>
          <w:rFonts w:cs="Times New Roman"/>
        </w:rPr>
        <w:t xml:space="preserve"> em seus processos de avaliação, espera-se que </w:t>
      </w:r>
      <w:r>
        <w:rPr>
          <w:rFonts w:cs="Times New Roman"/>
        </w:rPr>
        <w:t xml:space="preserve">as informações da DRA </w:t>
      </w:r>
      <w:r w:rsidR="001F4694" w:rsidRPr="006052A9">
        <w:rPr>
          <w:rFonts w:cs="Times New Roman"/>
        </w:rPr>
        <w:t>apresente</w:t>
      </w:r>
      <w:r>
        <w:rPr>
          <w:rFonts w:cs="Times New Roman"/>
        </w:rPr>
        <w:t>m</w:t>
      </w:r>
      <w:r w:rsidR="00F808D2" w:rsidRPr="006052A9">
        <w:rPr>
          <w:rFonts w:cs="Times New Roman"/>
        </w:rPr>
        <w:t xml:space="preserve"> associação incremental com</w:t>
      </w:r>
      <w:r w:rsidR="001F4694" w:rsidRPr="006052A9">
        <w:rPr>
          <w:rFonts w:cs="Times New Roman"/>
        </w:rPr>
        <w:t xml:space="preserve"> </w:t>
      </w:r>
      <w:r>
        <w:rPr>
          <w:rFonts w:cs="Times New Roman"/>
        </w:rPr>
        <w:t>os fluxos de caixa futuros</w:t>
      </w:r>
      <w:r w:rsidR="00F808D2" w:rsidRPr="006052A9">
        <w:rPr>
          <w:rFonts w:cs="Times New Roman"/>
        </w:rPr>
        <w:t xml:space="preserve">. </w:t>
      </w:r>
      <w:r w:rsidR="001F4694" w:rsidRPr="006052A9">
        <w:rPr>
          <w:rFonts w:cs="Times New Roman"/>
        </w:rPr>
        <w:t>Assim sendo,</w:t>
      </w:r>
      <w:r w:rsidR="00F808D2" w:rsidRPr="006052A9">
        <w:rPr>
          <w:rFonts w:cs="Times New Roman"/>
        </w:rPr>
        <w:t xml:space="preserve"> </w:t>
      </w:r>
      <w:r w:rsidR="00C32424">
        <w:rPr>
          <w:rFonts w:cs="Times New Roman"/>
        </w:rPr>
        <w:t xml:space="preserve">foi estabelecida </w:t>
      </w:r>
      <w:r w:rsidR="001F4694" w:rsidRPr="006052A9">
        <w:rPr>
          <w:rFonts w:cs="Times New Roman"/>
        </w:rPr>
        <w:t>a seguinte hipótese</w:t>
      </w:r>
      <w:r w:rsidR="00C32424">
        <w:rPr>
          <w:rFonts w:cs="Times New Roman"/>
        </w:rPr>
        <w:t xml:space="preserve"> para a realização de testes utilizando regressão estatística</w:t>
      </w:r>
      <w:r w:rsidR="00F808D2" w:rsidRPr="006052A9">
        <w:rPr>
          <w:rFonts w:cs="Times New Roman"/>
        </w:rPr>
        <w:t>:</w:t>
      </w:r>
    </w:p>
    <w:p w:rsidR="00F808D2" w:rsidRPr="00486B86" w:rsidRDefault="00F808D2" w:rsidP="006C221E">
      <w:pPr>
        <w:spacing w:line="360" w:lineRule="auto"/>
        <w:ind w:left="709"/>
        <w:jc w:val="both"/>
        <w:rPr>
          <w:rFonts w:cs="Times New Roman"/>
          <w:b/>
          <w:i/>
        </w:rPr>
      </w:pPr>
      <w:r w:rsidRPr="00486B86">
        <w:rPr>
          <w:rFonts w:cs="Times New Roman"/>
          <w:b/>
          <w:i/>
        </w:rPr>
        <w:t>H</w:t>
      </w:r>
      <w:r w:rsidRPr="00486B86">
        <w:rPr>
          <w:rFonts w:cs="Times New Roman"/>
          <w:b/>
          <w:i/>
          <w:vertAlign w:val="subscript"/>
        </w:rPr>
        <w:t>1</w:t>
      </w:r>
      <w:r w:rsidR="0070403C" w:rsidRPr="00486B86">
        <w:rPr>
          <w:rFonts w:cs="Times New Roman"/>
          <w:b/>
          <w:i/>
        </w:rPr>
        <w:t xml:space="preserve">: </w:t>
      </w:r>
      <w:r w:rsidR="001F4694" w:rsidRPr="00486B86">
        <w:rPr>
          <w:rFonts w:cs="Times New Roman"/>
          <w:i/>
        </w:rPr>
        <w:t>O</w:t>
      </w:r>
      <w:r w:rsidRPr="00486B86">
        <w:rPr>
          <w:rFonts w:cs="Times New Roman"/>
          <w:i/>
        </w:rPr>
        <w:t xml:space="preserve"> </w:t>
      </w:r>
      <w:r w:rsidR="00B96FA4" w:rsidRPr="00486B86">
        <w:rPr>
          <w:rFonts w:cs="Times New Roman"/>
          <w:i/>
        </w:rPr>
        <w:t xml:space="preserve">Resultado Abrangente </w:t>
      </w:r>
      <w:r w:rsidR="008723E3">
        <w:rPr>
          <w:rFonts w:cs="Times New Roman"/>
          <w:i/>
        </w:rPr>
        <w:t xml:space="preserve">Consolidado </w:t>
      </w:r>
      <w:r w:rsidR="00B96FA4" w:rsidRPr="00486B86">
        <w:rPr>
          <w:rFonts w:cs="Times New Roman"/>
          <w:i/>
        </w:rPr>
        <w:t>possui maior poder preditivo</w:t>
      </w:r>
      <w:r w:rsidR="00F46B19" w:rsidRPr="00486B86">
        <w:rPr>
          <w:rFonts w:cs="Times New Roman"/>
          <w:i/>
        </w:rPr>
        <w:t xml:space="preserve"> </w:t>
      </w:r>
      <w:r w:rsidR="00B96FA4" w:rsidRPr="00486B86">
        <w:rPr>
          <w:rFonts w:cs="Times New Roman"/>
          <w:i/>
        </w:rPr>
        <w:t xml:space="preserve">que o Lucro Líquido para a </w:t>
      </w:r>
      <w:r w:rsidR="00B51FC3" w:rsidRPr="00486B86">
        <w:rPr>
          <w:rFonts w:cs="Times New Roman"/>
          <w:i/>
        </w:rPr>
        <w:t>previsão</w:t>
      </w:r>
      <w:r w:rsidR="00B96FA4" w:rsidRPr="00486B86">
        <w:rPr>
          <w:rFonts w:cs="Times New Roman"/>
          <w:i/>
        </w:rPr>
        <w:t xml:space="preserve"> do Fluxo de Caixa </w:t>
      </w:r>
      <w:r w:rsidR="00B51FC3" w:rsidRPr="00486B86">
        <w:rPr>
          <w:rFonts w:cs="Times New Roman"/>
          <w:i/>
        </w:rPr>
        <w:t xml:space="preserve">Operacional </w:t>
      </w:r>
      <w:r w:rsidR="00B96FA4" w:rsidRPr="00486B86">
        <w:rPr>
          <w:rFonts w:cs="Times New Roman"/>
          <w:i/>
        </w:rPr>
        <w:t>do</w:t>
      </w:r>
      <w:r w:rsidR="00B51FC3" w:rsidRPr="00486B86">
        <w:rPr>
          <w:rFonts w:cs="Times New Roman"/>
          <w:i/>
        </w:rPr>
        <w:t xml:space="preserve"> período</w:t>
      </w:r>
      <w:r w:rsidR="00B96FA4" w:rsidRPr="00486B86">
        <w:rPr>
          <w:rFonts w:cs="Times New Roman"/>
          <w:i/>
        </w:rPr>
        <w:t xml:space="preserve"> </w:t>
      </w:r>
      <w:r w:rsidR="004E0BD4" w:rsidRPr="00486B86">
        <w:rPr>
          <w:rFonts w:cs="Times New Roman"/>
          <w:i/>
        </w:rPr>
        <w:t>subsequente</w:t>
      </w:r>
      <w:r w:rsidRPr="00486B86">
        <w:rPr>
          <w:rFonts w:cs="Times New Roman"/>
          <w:i/>
        </w:rPr>
        <w:t>.</w:t>
      </w:r>
    </w:p>
    <w:p w:rsidR="001954D7" w:rsidRDefault="0070622B" w:rsidP="008146B7">
      <w:pPr>
        <w:spacing w:line="360" w:lineRule="auto"/>
        <w:ind w:firstLine="709"/>
        <w:jc w:val="both"/>
        <w:rPr>
          <w:rFonts w:cs="Times New Roman"/>
        </w:rPr>
      </w:pPr>
      <w:r w:rsidRPr="006052A9">
        <w:rPr>
          <w:rFonts w:cs="Times New Roman"/>
        </w:rPr>
        <w:t>Com relação ao conteúdo informa</w:t>
      </w:r>
      <w:r w:rsidR="004E0BD4">
        <w:rPr>
          <w:rFonts w:cs="Times New Roman"/>
        </w:rPr>
        <w:t>cional</w:t>
      </w:r>
      <w:r w:rsidRPr="006052A9">
        <w:rPr>
          <w:rFonts w:cs="Times New Roman"/>
        </w:rPr>
        <w:t xml:space="preserve"> d</w:t>
      </w:r>
      <w:r w:rsidR="004E0BD4">
        <w:rPr>
          <w:rFonts w:cs="Times New Roman"/>
        </w:rPr>
        <w:t>a</w:t>
      </w:r>
      <w:r w:rsidRPr="006052A9">
        <w:rPr>
          <w:rFonts w:cs="Times New Roman"/>
        </w:rPr>
        <w:t xml:space="preserve"> </w:t>
      </w:r>
      <w:r w:rsidR="004E0BD4">
        <w:rPr>
          <w:rFonts w:cs="Times New Roman"/>
        </w:rPr>
        <w:t>D</w:t>
      </w:r>
      <w:r w:rsidR="000F03F7" w:rsidRPr="006052A9">
        <w:rPr>
          <w:rFonts w:cs="Times New Roman"/>
        </w:rPr>
        <w:t>RA</w:t>
      </w:r>
      <w:r w:rsidRPr="006052A9">
        <w:rPr>
          <w:rFonts w:cs="Times New Roman"/>
        </w:rPr>
        <w:t>, estudos prévios expressar</w:t>
      </w:r>
      <w:r w:rsidR="000F03F7" w:rsidRPr="006052A9">
        <w:rPr>
          <w:rFonts w:cs="Times New Roman"/>
        </w:rPr>
        <w:t xml:space="preserve">am o </w:t>
      </w:r>
      <w:r w:rsidR="004E0BD4">
        <w:rPr>
          <w:rFonts w:cs="Times New Roman"/>
        </w:rPr>
        <w:t>fluxo de caixa</w:t>
      </w:r>
      <w:r w:rsidRPr="006052A9">
        <w:rPr>
          <w:rFonts w:cs="Times New Roman"/>
        </w:rPr>
        <w:t xml:space="preserve"> em função </w:t>
      </w:r>
      <w:r w:rsidR="006D5B3E">
        <w:rPr>
          <w:rFonts w:cs="Times New Roman"/>
        </w:rPr>
        <w:t xml:space="preserve">do lucro líquido, </w:t>
      </w:r>
      <w:r w:rsidRPr="006052A9">
        <w:rPr>
          <w:rFonts w:cs="Times New Roman"/>
        </w:rPr>
        <w:t>d</w:t>
      </w:r>
      <w:r w:rsidR="000F03F7" w:rsidRPr="006052A9">
        <w:rPr>
          <w:rFonts w:cs="Times New Roman"/>
        </w:rPr>
        <w:t>os</w:t>
      </w:r>
      <w:r w:rsidR="008723E3">
        <w:rPr>
          <w:rFonts w:cs="Times New Roman"/>
        </w:rPr>
        <w:t xml:space="preserve"> outros</w:t>
      </w:r>
      <w:r w:rsidR="000F03F7" w:rsidRPr="006052A9">
        <w:rPr>
          <w:rFonts w:cs="Times New Roman"/>
        </w:rPr>
        <w:t xml:space="preserve"> resultados abrangentes</w:t>
      </w:r>
      <w:r w:rsidRPr="006052A9">
        <w:rPr>
          <w:rFonts w:cs="Times New Roman"/>
        </w:rPr>
        <w:t xml:space="preserve"> e seus componentes. Para testar </w:t>
      </w:r>
      <w:r w:rsidR="000F03F7" w:rsidRPr="006052A9">
        <w:rPr>
          <w:rFonts w:cs="Times New Roman"/>
        </w:rPr>
        <w:t xml:space="preserve">a hipótese </w:t>
      </w:r>
      <w:r w:rsidRPr="006052A9">
        <w:rPr>
          <w:rFonts w:cs="Times New Roman"/>
        </w:rPr>
        <w:t>H</w:t>
      </w:r>
      <w:r w:rsidRPr="00532A5F">
        <w:rPr>
          <w:rFonts w:cs="Times New Roman"/>
          <w:vertAlign w:val="subscript"/>
        </w:rPr>
        <w:t>1</w:t>
      </w:r>
      <w:r w:rsidRPr="006052A9">
        <w:rPr>
          <w:rFonts w:cs="Times New Roman"/>
        </w:rPr>
        <w:t xml:space="preserve"> </w:t>
      </w:r>
      <w:r w:rsidR="001434D1">
        <w:rPr>
          <w:rFonts w:cs="Times New Roman"/>
        </w:rPr>
        <w:t>foram</w:t>
      </w:r>
      <w:r w:rsidR="000F03F7" w:rsidRPr="006052A9">
        <w:rPr>
          <w:rFonts w:cs="Times New Roman"/>
        </w:rPr>
        <w:t xml:space="preserve"> </w:t>
      </w:r>
      <w:r w:rsidRPr="006052A9">
        <w:rPr>
          <w:rFonts w:cs="Times New Roman"/>
        </w:rPr>
        <w:t>estima</w:t>
      </w:r>
      <w:r w:rsidR="000F03F7" w:rsidRPr="006052A9">
        <w:rPr>
          <w:rFonts w:cs="Times New Roman"/>
        </w:rPr>
        <w:t>dos</w:t>
      </w:r>
      <w:r w:rsidRPr="006052A9">
        <w:rPr>
          <w:rFonts w:cs="Times New Roman"/>
        </w:rPr>
        <w:t xml:space="preserve"> modelos de regressão</w:t>
      </w:r>
      <w:r w:rsidR="00B51FC3">
        <w:rPr>
          <w:rFonts w:cs="Times New Roman"/>
        </w:rPr>
        <w:t xml:space="preserve"> adaptados de </w:t>
      </w:r>
      <w:r w:rsidR="00B51FC3">
        <w:rPr>
          <w:rFonts w:cs="Times New Roman"/>
        </w:rPr>
        <w:fldChar w:fldCharType="begin" w:fldLock="1"/>
      </w:r>
      <w:r w:rsidR="00B51FC3">
        <w:rPr>
          <w:rFonts w:cs="Times New Roman"/>
        </w:rPr>
        <w:instrText>ADDIN CSL_CITATION { "citationItems" : [ { "id" : "ITEM-1", "itemData" : { "author" : [ { "dropping-particle" : "", "family" : "Z\u00fclch", "given" : "Henning", "non-dropping-particle" : "", "parse-names" : false, "suffix" : "" }, { "dropping-particle" : "", "family" : "Pronobis", "given" : "Paul", "non-dropping-particle" : "", "parse-names" : false, "suffix" : "" } ], "id" : "ITEM-1", "issue" : "95", "issued" : { "date-parts" : [ [ "2010" ] ] }, "number" : "095", "number-of-pages" : "45", "publisher-place" : "Leipzig", "title" : "The Predictive Power of Comprehensive Income and Its Individual Components under IFRS", "type" : "report" }, "uris" : [ "http://www.mendeley.com/documents/?uuid=defd9389-1c23-4548-a6a5-42ea6e2499b8" ] } ], "mendeley" : { "formattedCitation" : "(Z\u00dcLCH; PRONOBIS, 2010)", "manualFormatting" : "Z\u00fclch e Pronobis (2010)", "plainTextFormattedCitation" : "(Z\u00dcLCH; PRONOBIS, 2010)", "previouslyFormattedCitation" : "(Z\u00dcLCH; PRONOBIS, 2010)" }, "properties" : { "noteIndex" : 0 }, "schema" : "https://github.com/citation-style-language/schema/raw/master/csl-citation.json" }</w:instrText>
      </w:r>
      <w:r w:rsidR="00B51FC3">
        <w:rPr>
          <w:rFonts w:cs="Times New Roman"/>
        </w:rPr>
        <w:fldChar w:fldCharType="separate"/>
      </w:r>
      <w:r w:rsidR="00B51FC3">
        <w:rPr>
          <w:rFonts w:cs="Times New Roman"/>
          <w:noProof/>
        </w:rPr>
        <w:t>Z</w:t>
      </w:r>
      <w:r w:rsidR="00B51FC3" w:rsidRPr="00B51FC3">
        <w:rPr>
          <w:rFonts w:cs="Times New Roman"/>
          <w:noProof/>
        </w:rPr>
        <w:t>ülch</w:t>
      </w:r>
      <w:r w:rsidR="00B51FC3">
        <w:rPr>
          <w:rFonts w:cs="Times New Roman"/>
          <w:noProof/>
        </w:rPr>
        <w:t xml:space="preserve"> e</w:t>
      </w:r>
      <w:r w:rsidR="00B51FC3" w:rsidRPr="00B51FC3">
        <w:rPr>
          <w:rFonts w:cs="Times New Roman"/>
          <w:noProof/>
        </w:rPr>
        <w:t xml:space="preserve"> Pronobis</w:t>
      </w:r>
      <w:r w:rsidR="00B51FC3">
        <w:rPr>
          <w:rFonts w:cs="Times New Roman"/>
          <w:noProof/>
        </w:rPr>
        <w:t xml:space="preserve"> (</w:t>
      </w:r>
      <w:r w:rsidR="00B51FC3" w:rsidRPr="00B51FC3">
        <w:rPr>
          <w:rFonts w:cs="Times New Roman"/>
          <w:noProof/>
        </w:rPr>
        <w:t>2010)</w:t>
      </w:r>
      <w:r w:rsidR="00B51FC3">
        <w:rPr>
          <w:rFonts w:cs="Times New Roman"/>
        </w:rPr>
        <w:fldChar w:fldCharType="end"/>
      </w:r>
      <w:r w:rsidR="00B51FC3">
        <w:rPr>
          <w:rFonts w:cs="Times New Roman"/>
        </w:rPr>
        <w:t xml:space="preserve"> conforme especificado nas equações 1-5 abaixo descritas</w:t>
      </w:r>
      <w:r w:rsidR="000F03F7" w:rsidRPr="006052A9">
        <w:rPr>
          <w:rFonts w:cs="Times New Roman"/>
        </w:rPr>
        <w:t>:</w:t>
      </w:r>
    </w:p>
    <w:p w:rsidR="007941A1" w:rsidRPr="005E1941" w:rsidRDefault="00890852" w:rsidP="00CB0ED4">
      <w:pPr>
        <w:tabs>
          <w:tab w:val="right" w:pos="8931"/>
        </w:tabs>
        <w:spacing w:line="360" w:lineRule="auto"/>
        <w:jc w:val="both"/>
        <w:rPr>
          <w:rFonts w:eastAsiaTheme="minorEastAsia" w:cs="Times New Roman"/>
          <w:sz w:val="19"/>
          <w:szCs w:val="19"/>
        </w:rPr>
      </w:pPr>
      <m:oMath>
        <m:sSub>
          <m:sSubPr>
            <m:ctrlPr>
              <w:rPr>
                <w:rFonts w:ascii="Cambria Math" w:hAnsi="Cambria Math" w:cs="Times New Roman"/>
                <w:i/>
                <w:sz w:val="19"/>
                <w:szCs w:val="19"/>
              </w:rPr>
            </m:ctrlPr>
          </m:sSubPr>
          <m:e>
            <m:r>
              <w:rPr>
                <w:rFonts w:ascii="Cambria Math" w:hAnsi="Cambria Math" w:cs="Times New Roman"/>
                <w:sz w:val="19"/>
                <w:szCs w:val="19"/>
              </w:rPr>
              <m:t>FCO</m:t>
            </m:r>
          </m:e>
          <m:sub>
            <m:r>
              <w:rPr>
                <w:rFonts w:ascii="Cambria Math" w:hAnsi="Cambria Math" w:cs="Times New Roman"/>
                <w:sz w:val="19"/>
                <w:szCs w:val="19"/>
              </w:rPr>
              <m:t>t+1</m:t>
            </m:r>
          </m:sub>
        </m:sSub>
        <m:r>
          <w:rPr>
            <w:rFonts w:ascii="Cambria Math" w:hAnsi="Cambria Math" w:cs="Times New Roman"/>
            <w:sz w:val="19"/>
            <w:szCs w:val="19"/>
          </w:rPr>
          <m:t>=</m:t>
        </m:r>
        <m:sSub>
          <m:sSubPr>
            <m:ctrlPr>
              <w:rPr>
                <w:rFonts w:ascii="Cambria Math" w:hAnsi="Cambria Math" w:cs="Times New Roman"/>
                <w:i/>
                <w:sz w:val="19"/>
                <w:szCs w:val="19"/>
              </w:rPr>
            </m:ctrlPr>
          </m:sSubPr>
          <m:e>
            <m:r>
              <w:rPr>
                <w:rFonts w:ascii="Cambria Math" w:hAnsi="Cambria Math" w:cs="Times New Roman"/>
                <w:sz w:val="19"/>
                <w:szCs w:val="19"/>
              </w:rPr>
              <m:t>β</m:t>
            </m:r>
          </m:e>
          <m:sub>
            <m:r>
              <w:rPr>
                <w:rFonts w:ascii="Cambria Math" w:hAnsi="Cambria Math" w:cs="Times New Roman"/>
                <w:sz w:val="19"/>
                <w:szCs w:val="19"/>
              </w:rPr>
              <m:t>0</m:t>
            </m:r>
          </m:sub>
        </m:sSub>
        <m:r>
          <w:rPr>
            <w:rFonts w:ascii="Cambria Math" w:hAnsi="Cambria Math" w:cs="Times New Roman"/>
            <w:sz w:val="19"/>
            <w:szCs w:val="19"/>
          </w:rPr>
          <m:t>+</m:t>
        </m:r>
        <m:sSub>
          <m:sSubPr>
            <m:ctrlPr>
              <w:rPr>
                <w:rFonts w:ascii="Cambria Math" w:hAnsi="Cambria Math" w:cs="Times New Roman"/>
                <w:i/>
                <w:sz w:val="19"/>
                <w:szCs w:val="19"/>
              </w:rPr>
            </m:ctrlPr>
          </m:sSubPr>
          <m:e>
            <m:r>
              <w:rPr>
                <w:rFonts w:ascii="Cambria Math" w:hAnsi="Cambria Math" w:cs="Times New Roman"/>
                <w:sz w:val="19"/>
                <w:szCs w:val="19"/>
              </w:rPr>
              <m:t>β</m:t>
            </m:r>
          </m:e>
          <m:sub>
            <m:r>
              <w:rPr>
                <w:rFonts w:ascii="Cambria Math" w:hAnsi="Cambria Math" w:cs="Times New Roman"/>
                <w:sz w:val="19"/>
                <w:szCs w:val="19"/>
              </w:rPr>
              <m:t>1</m:t>
            </m:r>
          </m:sub>
        </m:sSub>
        <m:r>
          <w:rPr>
            <w:rFonts w:ascii="Cambria Math" w:hAnsi="Cambria Math" w:cs="Times New Roman"/>
            <w:sz w:val="19"/>
            <w:szCs w:val="19"/>
          </w:rPr>
          <m:t>LL+</m:t>
        </m:r>
        <m:sSub>
          <m:sSubPr>
            <m:ctrlPr>
              <w:rPr>
                <w:rFonts w:ascii="Cambria Math" w:hAnsi="Cambria Math" w:cs="Times New Roman"/>
                <w:i/>
                <w:sz w:val="19"/>
                <w:szCs w:val="19"/>
              </w:rPr>
            </m:ctrlPr>
          </m:sSubPr>
          <m:e>
            <m:r>
              <w:rPr>
                <w:rFonts w:ascii="Cambria Math" w:hAnsi="Cambria Math" w:cs="Times New Roman"/>
                <w:sz w:val="19"/>
                <w:szCs w:val="19"/>
              </w:rPr>
              <m:t>β</m:t>
            </m:r>
          </m:e>
          <m:sub>
            <m:r>
              <w:rPr>
                <w:rFonts w:ascii="Cambria Math" w:hAnsi="Cambria Math" w:cs="Times New Roman"/>
                <w:sz w:val="19"/>
                <w:szCs w:val="19"/>
              </w:rPr>
              <m:t>2</m:t>
            </m:r>
          </m:sub>
        </m:sSub>
        <m:sSub>
          <m:sSubPr>
            <m:ctrlPr>
              <w:rPr>
                <w:rFonts w:ascii="Cambria Math" w:hAnsi="Cambria Math" w:cs="Times New Roman"/>
                <w:i/>
                <w:sz w:val="19"/>
                <w:szCs w:val="19"/>
              </w:rPr>
            </m:ctrlPr>
          </m:sSubPr>
          <m:e>
            <m:r>
              <w:rPr>
                <w:rFonts w:ascii="Cambria Math" w:hAnsi="Cambria Math" w:cs="Times New Roman"/>
                <w:sz w:val="19"/>
                <w:szCs w:val="19"/>
              </w:rPr>
              <m:t>d</m:t>
            </m:r>
          </m:e>
          <m:sub>
            <m:r>
              <w:rPr>
                <w:rFonts w:ascii="Cambria Math" w:hAnsi="Cambria Math" w:cs="Times New Roman"/>
                <w:sz w:val="19"/>
                <w:szCs w:val="19"/>
              </w:rPr>
              <m:t xml:space="preserve">neg </m:t>
            </m:r>
          </m:sub>
        </m:sSub>
        <m:r>
          <w:rPr>
            <w:rFonts w:ascii="Cambria Math" w:hAnsi="Cambria Math" w:cs="Times New Roman"/>
            <w:sz w:val="19"/>
            <w:szCs w:val="19"/>
          </w:rPr>
          <m:t>(LL)+</m:t>
        </m:r>
        <m:sSub>
          <m:sSubPr>
            <m:ctrlPr>
              <w:rPr>
                <w:rFonts w:ascii="Cambria Math" w:hAnsi="Cambria Math" w:cs="Times New Roman"/>
                <w:i/>
                <w:sz w:val="19"/>
                <w:szCs w:val="19"/>
              </w:rPr>
            </m:ctrlPr>
          </m:sSubPr>
          <m:e>
            <m:r>
              <w:rPr>
                <w:rFonts w:ascii="Cambria Math" w:hAnsi="Cambria Math" w:cs="Times New Roman"/>
                <w:sz w:val="19"/>
                <w:szCs w:val="19"/>
              </w:rPr>
              <m:t>β</m:t>
            </m:r>
          </m:e>
          <m:sub>
            <m:r>
              <w:rPr>
                <w:rFonts w:ascii="Cambria Math" w:hAnsi="Cambria Math" w:cs="Times New Roman"/>
                <w:sz w:val="19"/>
                <w:szCs w:val="19"/>
              </w:rPr>
              <m:t>3</m:t>
            </m:r>
          </m:sub>
        </m:sSub>
        <m:sSub>
          <m:sSubPr>
            <m:ctrlPr>
              <w:rPr>
                <w:rFonts w:ascii="Cambria Math" w:hAnsi="Cambria Math" w:cs="Times New Roman"/>
                <w:i/>
                <w:sz w:val="19"/>
                <w:szCs w:val="19"/>
              </w:rPr>
            </m:ctrlPr>
          </m:sSubPr>
          <m:e>
            <m:r>
              <w:rPr>
                <w:rFonts w:ascii="Cambria Math" w:hAnsi="Cambria Math" w:cs="Times New Roman"/>
                <w:sz w:val="19"/>
                <w:szCs w:val="19"/>
              </w:rPr>
              <m:t>d</m:t>
            </m:r>
          </m:e>
          <m:sub>
            <m:r>
              <w:rPr>
                <w:rFonts w:ascii="Cambria Math" w:hAnsi="Cambria Math" w:cs="Times New Roman"/>
                <w:sz w:val="19"/>
                <w:szCs w:val="19"/>
              </w:rPr>
              <m:t>neg</m:t>
            </m:r>
          </m:sub>
        </m:sSub>
        <m:r>
          <w:rPr>
            <w:rFonts w:ascii="Cambria Math" w:hAnsi="Cambria Math" w:cs="Times New Roman"/>
            <w:sz w:val="19"/>
            <w:szCs w:val="19"/>
          </w:rPr>
          <m:t>*LL+</m:t>
        </m:r>
        <m:sSub>
          <m:sSubPr>
            <m:ctrlPr>
              <w:rPr>
                <w:rFonts w:ascii="Cambria Math" w:hAnsi="Cambria Math" w:cs="Times New Roman"/>
                <w:i/>
                <w:sz w:val="19"/>
                <w:szCs w:val="19"/>
              </w:rPr>
            </m:ctrlPr>
          </m:sSubPr>
          <m:e>
            <m:r>
              <w:rPr>
                <w:rFonts w:ascii="Cambria Math" w:hAnsi="Cambria Math" w:cs="Times New Roman"/>
                <w:sz w:val="19"/>
                <w:szCs w:val="19"/>
              </w:rPr>
              <m:t>ε</m:t>
            </m:r>
          </m:e>
          <m:sub>
            <m:r>
              <w:rPr>
                <w:rFonts w:ascii="Cambria Math" w:hAnsi="Cambria Math" w:cs="Times New Roman"/>
                <w:sz w:val="19"/>
                <w:szCs w:val="19"/>
              </w:rPr>
              <m:t>i</m:t>
            </m:r>
          </m:sub>
        </m:sSub>
      </m:oMath>
      <w:r w:rsidR="007941A1" w:rsidRPr="005E1941">
        <w:rPr>
          <w:rFonts w:eastAsiaTheme="minorEastAsia" w:cs="Times New Roman"/>
          <w:sz w:val="19"/>
          <w:szCs w:val="19"/>
        </w:rPr>
        <w:tab/>
        <w:t>(1)</w:t>
      </w:r>
    </w:p>
    <w:p w:rsidR="007941A1" w:rsidRPr="005E1941" w:rsidRDefault="00890852" w:rsidP="00CB0ED4">
      <w:pPr>
        <w:tabs>
          <w:tab w:val="right" w:pos="8931"/>
        </w:tabs>
        <w:spacing w:line="360" w:lineRule="auto"/>
        <w:jc w:val="both"/>
        <w:rPr>
          <w:rFonts w:eastAsiaTheme="minorEastAsia" w:cs="Times New Roman"/>
          <w:sz w:val="19"/>
          <w:szCs w:val="19"/>
        </w:rPr>
      </w:pPr>
      <m:oMath>
        <m:sSub>
          <m:sSubPr>
            <m:ctrlPr>
              <w:rPr>
                <w:rFonts w:ascii="Cambria Math" w:hAnsi="Cambria Math" w:cs="Times New Roman"/>
                <w:i/>
                <w:sz w:val="19"/>
                <w:szCs w:val="19"/>
              </w:rPr>
            </m:ctrlPr>
          </m:sSubPr>
          <m:e>
            <m:r>
              <w:rPr>
                <w:rFonts w:ascii="Cambria Math" w:hAnsi="Cambria Math" w:cs="Times New Roman"/>
                <w:sz w:val="19"/>
                <w:szCs w:val="19"/>
              </w:rPr>
              <m:t>FCO</m:t>
            </m:r>
          </m:e>
          <m:sub>
            <m:r>
              <w:rPr>
                <w:rFonts w:ascii="Cambria Math" w:hAnsi="Cambria Math" w:cs="Times New Roman"/>
                <w:sz w:val="19"/>
                <w:szCs w:val="19"/>
              </w:rPr>
              <m:t>t+1</m:t>
            </m:r>
          </m:sub>
        </m:sSub>
        <m:r>
          <w:rPr>
            <w:rFonts w:ascii="Cambria Math" w:hAnsi="Cambria Math" w:cs="Times New Roman"/>
            <w:sz w:val="19"/>
            <w:szCs w:val="19"/>
          </w:rPr>
          <m:t>=</m:t>
        </m:r>
        <m:sSub>
          <m:sSubPr>
            <m:ctrlPr>
              <w:rPr>
                <w:rFonts w:ascii="Cambria Math" w:hAnsi="Cambria Math" w:cs="Times New Roman"/>
                <w:i/>
                <w:sz w:val="19"/>
                <w:szCs w:val="19"/>
              </w:rPr>
            </m:ctrlPr>
          </m:sSubPr>
          <m:e>
            <m:r>
              <w:rPr>
                <w:rFonts w:ascii="Cambria Math" w:hAnsi="Cambria Math" w:cs="Times New Roman"/>
                <w:sz w:val="19"/>
                <w:szCs w:val="19"/>
              </w:rPr>
              <m:t>β</m:t>
            </m:r>
          </m:e>
          <m:sub>
            <m:r>
              <w:rPr>
                <w:rFonts w:ascii="Cambria Math" w:hAnsi="Cambria Math" w:cs="Times New Roman"/>
                <w:sz w:val="19"/>
                <w:szCs w:val="19"/>
              </w:rPr>
              <m:t>0</m:t>
            </m:r>
          </m:sub>
        </m:sSub>
        <m:r>
          <w:rPr>
            <w:rFonts w:ascii="Cambria Math" w:hAnsi="Cambria Math" w:cs="Times New Roman"/>
            <w:sz w:val="19"/>
            <w:szCs w:val="19"/>
          </w:rPr>
          <m:t>+</m:t>
        </m:r>
        <m:sSub>
          <m:sSubPr>
            <m:ctrlPr>
              <w:rPr>
                <w:rFonts w:ascii="Cambria Math" w:hAnsi="Cambria Math" w:cs="Times New Roman"/>
                <w:i/>
                <w:sz w:val="19"/>
                <w:szCs w:val="19"/>
              </w:rPr>
            </m:ctrlPr>
          </m:sSubPr>
          <m:e>
            <m:r>
              <w:rPr>
                <w:rFonts w:ascii="Cambria Math" w:hAnsi="Cambria Math" w:cs="Times New Roman"/>
                <w:sz w:val="19"/>
                <w:szCs w:val="19"/>
              </w:rPr>
              <m:t>β</m:t>
            </m:r>
          </m:e>
          <m:sub>
            <m:r>
              <w:rPr>
                <w:rFonts w:ascii="Cambria Math" w:hAnsi="Cambria Math" w:cs="Times New Roman"/>
                <w:sz w:val="19"/>
                <w:szCs w:val="19"/>
              </w:rPr>
              <m:t>1</m:t>
            </m:r>
          </m:sub>
        </m:sSub>
        <m:r>
          <w:rPr>
            <w:rFonts w:ascii="Cambria Math" w:hAnsi="Cambria Math" w:cs="Times New Roman"/>
            <w:sz w:val="19"/>
            <w:szCs w:val="19"/>
          </w:rPr>
          <m:t>RAC+</m:t>
        </m:r>
        <m:sSub>
          <m:sSubPr>
            <m:ctrlPr>
              <w:rPr>
                <w:rFonts w:ascii="Cambria Math" w:hAnsi="Cambria Math" w:cs="Times New Roman"/>
                <w:i/>
                <w:sz w:val="19"/>
                <w:szCs w:val="19"/>
              </w:rPr>
            </m:ctrlPr>
          </m:sSubPr>
          <m:e>
            <m:r>
              <w:rPr>
                <w:rFonts w:ascii="Cambria Math" w:hAnsi="Cambria Math" w:cs="Times New Roman"/>
                <w:sz w:val="19"/>
                <w:szCs w:val="19"/>
              </w:rPr>
              <m:t>β</m:t>
            </m:r>
          </m:e>
          <m:sub>
            <m:r>
              <w:rPr>
                <w:rFonts w:ascii="Cambria Math" w:hAnsi="Cambria Math" w:cs="Times New Roman"/>
                <w:sz w:val="19"/>
                <w:szCs w:val="19"/>
              </w:rPr>
              <m:t>2</m:t>
            </m:r>
          </m:sub>
        </m:sSub>
        <m:sSub>
          <m:sSubPr>
            <m:ctrlPr>
              <w:rPr>
                <w:rFonts w:ascii="Cambria Math" w:hAnsi="Cambria Math" w:cs="Times New Roman"/>
                <w:i/>
                <w:sz w:val="19"/>
                <w:szCs w:val="19"/>
              </w:rPr>
            </m:ctrlPr>
          </m:sSubPr>
          <m:e>
            <m:r>
              <w:rPr>
                <w:rFonts w:ascii="Cambria Math" w:hAnsi="Cambria Math" w:cs="Times New Roman"/>
                <w:sz w:val="19"/>
                <w:szCs w:val="19"/>
              </w:rPr>
              <m:t>dRAC</m:t>
            </m:r>
          </m:e>
          <m:sub>
            <m:r>
              <w:rPr>
                <w:rFonts w:ascii="Cambria Math" w:hAnsi="Cambria Math" w:cs="Times New Roman"/>
                <w:sz w:val="19"/>
                <w:szCs w:val="19"/>
              </w:rPr>
              <m:t>neg</m:t>
            </m:r>
          </m:sub>
        </m:sSub>
        <m:r>
          <w:rPr>
            <w:rFonts w:ascii="Cambria Math" w:hAnsi="Cambria Math" w:cs="Times New Roman"/>
            <w:sz w:val="19"/>
            <w:szCs w:val="19"/>
          </w:rPr>
          <m:t>+</m:t>
        </m:r>
        <m:sSub>
          <m:sSubPr>
            <m:ctrlPr>
              <w:rPr>
                <w:rFonts w:ascii="Cambria Math" w:hAnsi="Cambria Math" w:cs="Times New Roman"/>
                <w:i/>
                <w:sz w:val="19"/>
                <w:szCs w:val="19"/>
              </w:rPr>
            </m:ctrlPr>
          </m:sSubPr>
          <m:e>
            <m:r>
              <w:rPr>
                <w:rFonts w:ascii="Cambria Math" w:hAnsi="Cambria Math" w:cs="Times New Roman"/>
                <w:sz w:val="19"/>
                <w:szCs w:val="19"/>
              </w:rPr>
              <m:t>β</m:t>
            </m:r>
          </m:e>
          <m:sub>
            <m:r>
              <w:rPr>
                <w:rFonts w:ascii="Cambria Math" w:hAnsi="Cambria Math" w:cs="Times New Roman"/>
                <w:sz w:val="19"/>
                <w:szCs w:val="19"/>
              </w:rPr>
              <m:t>3</m:t>
            </m:r>
          </m:sub>
        </m:sSub>
        <m:sSub>
          <m:sSubPr>
            <m:ctrlPr>
              <w:rPr>
                <w:rFonts w:ascii="Cambria Math" w:hAnsi="Cambria Math" w:cs="Times New Roman"/>
                <w:i/>
                <w:sz w:val="19"/>
                <w:szCs w:val="19"/>
              </w:rPr>
            </m:ctrlPr>
          </m:sSubPr>
          <m:e>
            <m:r>
              <w:rPr>
                <w:rFonts w:ascii="Cambria Math" w:hAnsi="Cambria Math" w:cs="Times New Roman"/>
                <w:sz w:val="19"/>
                <w:szCs w:val="19"/>
              </w:rPr>
              <m:t>dRAC</m:t>
            </m:r>
          </m:e>
          <m:sub>
            <m:r>
              <w:rPr>
                <w:rFonts w:ascii="Cambria Math" w:hAnsi="Cambria Math" w:cs="Times New Roman"/>
                <w:sz w:val="19"/>
                <w:szCs w:val="19"/>
              </w:rPr>
              <m:t>neg</m:t>
            </m:r>
          </m:sub>
        </m:sSub>
        <m:r>
          <w:rPr>
            <w:rFonts w:ascii="Cambria Math" w:hAnsi="Cambria Math" w:cs="Times New Roman"/>
            <w:sz w:val="19"/>
            <w:szCs w:val="19"/>
          </w:rPr>
          <m:t>*RAC+</m:t>
        </m:r>
        <m:sSub>
          <m:sSubPr>
            <m:ctrlPr>
              <w:rPr>
                <w:rFonts w:ascii="Cambria Math" w:hAnsi="Cambria Math" w:cs="Times New Roman"/>
                <w:i/>
                <w:sz w:val="19"/>
                <w:szCs w:val="19"/>
              </w:rPr>
            </m:ctrlPr>
          </m:sSubPr>
          <m:e>
            <m:r>
              <w:rPr>
                <w:rFonts w:ascii="Cambria Math" w:hAnsi="Cambria Math" w:cs="Times New Roman"/>
                <w:sz w:val="19"/>
                <w:szCs w:val="19"/>
              </w:rPr>
              <m:t>ε</m:t>
            </m:r>
          </m:e>
          <m:sub>
            <m:r>
              <w:rPr>
                <w:rFonts w:ascii="Cambria Math" w:hAnsi="Cambria Math" w:cs="Times New Roman"/>
                <w:sz w:val="19"/>
                <w:szCs w:val="19"/>
              </w:rPr>
              <m:t>i</m:t>
            </m:r>
          </m:sub>
        </m:sSub>
      </m:oMath>
      <w:r w:rsidR="007941A1" w:rsidRPr="005E1941">
        <w:rPr>
          <w:rFonts w:eastAsiaTheme="minorEastAsia" w:cs="Times New Roman"/>
          <w:sz w:val="19"/>
          <w:szCs w:val="19"/>
        </w:rPr>
        <w:tab/>
        <w:t>(2)</w:t>
      </w:r>
    </w:p>
    <w:p w:rsidR="007941A1" w:rsidRPr="005E1941" w:rsidRDefault="00890852" w:rsidP="00CB0ED4">
      <w:pPr>
        <w:tabs>
          <w:tab w:val="right" w:pos="8931"/>
        </w:tabs>
        <w:spacing w:line="360" w:lineRule="auto"/>
        <w:jc w:val="both"/>
        <w:rPr>
          <w:rFonts w:eastAsiaTheme="minorEastAsia" w:cs="Times New Roman"/>
          <w:sz w:val="19"/>
          <w:szCs w:val="19"/>
        </w:rPr>
      </w:pPr>
      <m:oMath>
        <m:sSub>
          <m:sSubPr>
            <m:ctrlPr>
              <w:rPr>
                <w:rFonts w:ascii="Cambria Math" w:hAnsi="Cambria Math" w:cs="Times New Roman"/>
                <w:i/>
                <w:sz w:val="19"/>
                <w:szCs w:val="19"/>
              </w:rPr>
            </m:ctrlPr>
          </m:sSubPr>
          <m:e>
            <m:r>
              <w:rPr>
                <w:rFonts w:ascii="Cambria Math" w:hAnsi="Cambria Math" w:cs="Times New Roman"/>
                <w:sz w:val="19"/>
                <w:szCs w:val="19"/>
              </w:rPr>
              <m:t>FCO</m:t>
            </m:r>
          </m:e>
          <m:sub>
            <m:r>
              <w:rPr>
                <w:rFonts w:ascii="Cambria Math" w:hAnsi="Cambria Math" w:cs="Times New Roman"/>
                <w:sz w:val="19"/>
                <w:szCs w:val="19"/>
              </w:rPr>
              <m:t>t+1</m:t>
            </m:r>
          </m:sub>
        </m:sSub>
        <m:r>
          <w:rPr>
            <w:rFonts w:ascii="Cambria Math" w:hAnsi="Cambria Math" w:cs="Times New Roman"/>
            <w:sz w:val="19"/>
            <w:szCs w:val="19"/>
          </w:rPr>
          <m:t>=</m:t>
        </m:r>
        <m:sSub>
          <m:sSubPr>
            <m:ctrlPr>
              <w:rPr>
                <w:rFonts w:ascii="Cambria Math" w:hAnsi="Cambria Math" w:cs="Times New Roman"/>
                <w:i/>
                <w:sz w:val="19"/>
                <w:szCs w:val="19"/>
              </w:rPr>
            </m:ctrlPr>
          </m:sSubPr>
          <m:e>
            <m:r>
              <w:rPr>
                <w:rFonts w:ascii="Cambria Math" w:hAnsi="Cambria Math" w:cs="Times New Roman"/>
                <w:sz w:val="19"/>
                <w:szCs w:val="19"/>
              </w:rPr>
              <m:t>β</m:t>
            </m:r>
          </m:e>
          <m:sub>
            <m:r>
              <w:rPr>
                <w:rFonts w:ascii="Cambria Math" w:hAnsi="Cambria Math" w:cs="Times New Roman"/>
                <w:sz w:val="19"/>
                <w:szCs w:val="19"/>
              </w:rPr>
              <m:t>0</m:t>
            </m:r>
          </m:sub>
        </m:sSub>
        <m:r>
          <w:rPr>
            <w:rFonts w:ascii="Cambria Math" w:hAnsi="Cambria Math" w:cs="Times New Roman"/>
            <w:sz w:val="19"/>
            <w:szCs w:val="19"/>
          </w:rPr>
          <m:t>+</m:t>
        </m:r>
        <m:sSub>
          <m:sSubPr>
            <m:ctrlPr>
              <w:rPr>
                <w:rFonts w:ascii="Cambria Math" w:hAnsi="Cambria Math" w:cs="Times New Roman"/>
                <w:i/>
                <w:sz w:val="19"/>
                <w:szCs w:val="19"/>
              </w:rPr>
            </m:ctrlPr>
          </m:sSubPr>
          <m:e>
            <m:r>
              <w:rPr>
                <w:rFonts w:ascii="Cambria Math" w:hAnsi="Cambria Math" w:cs="Times New Roman"/>
                <w:sz w:val="19"/>
                <w:szCs w:val="19"/>
              </w:rPr>
              <m:t>β</m:t>
            </m:r>
          </m:e>
          <m:sub>
            <m:r>
              <w:rPr>
                <w:rFonts w:ascii="Cambria Math" w:hAnsi="Cambria Math" w:cs="Times New Roman"/>
                <w:sz w:val="19"/>
                <w:szCs w:val="19"/>
              </w:rPr>
              <m:t>1</m:t>
            </m:r>
          </m:sub>
        </m:sSub>
        <m:r>
          <w:rPr>
            <w:rFonts w:ascii="Cambria Math" w:hAnsi="Cambria Math" w:cs="Times New Roman"/>
            <w:sz w:val="19"/>
            <w:szCs w:val="19"/>
          </w:rPr>
          <m:t>LL+</m:t>
        </m:r>
        <m:sSub>
          <m:sSubPr>
            <m:ctrlPr>
              <w:rPr>
                <w:rFonts w:ascii="Cambria Math" w:hAnsi="Cambria Math" w:cs="Times New Roman"/>
                <w:i/>
                <w:sz w:val="19"/>
                <w:szCs w:val="19"/>
              </w:rPr>
            </m:ctrlPr>
          </m:sSubPr>
          <m:e>
            <m:r>
              <w:rPr>
                <w:rFonts w:ascii="Cambria Math" w:hAnsi="Cambria Math" w:cs="Times New Roman"/>
                <w:sz w:val="19"/>
                <w:szCs w:val="19"/>
              </w:rPr>
              <m:t>β</m:t>
            </m:r>
          </m:e>
          <m:sub>
            <m:r>
              <w:rPr>
                <w:rFonts w:ascii="Cambria Math" w:hAnsi="Cambria Math" w:cs="Times New Roman"/>
                <w:sz w:val="19"/>
                <w:szCs w:val="19"/>
              </w:rPr>
              <m:t>2</m:t>
            </m:r>
          </m:sub>
        </m:sSub>
        <m:r>
          <w:rPr>
            <w:rFonts w:ascii="Cambria Math" w:hAnsi="Cambria Math" w:cs="Times New Roman"/>
            <w:sz w:val="19"/>
            <w:szCs w:val="19"/>
          </w:rPr>
          <m:t>ORA+</m:t>
        </m:r>
        <m:sSub>
          <m:sSubPr>
            <m:ctrlPr>
              <w:rPr>
                <w:rFonts w:ascii="Cambria Math" w:hAnsi="Cambria Math" w:cs="Times New Roman"/>
                <w:i/>
                <w:sz w:val="19"/>
                <w:szCs w:val="19"/>
              </w:rPr>
            </m:ctrlPr>
          </m:sSubPr>
          <m:e>
            <m:r>
              <w:rPr>
                <w:rFonts w:ascii="Cambria Math" w:hAnsi="Cambria Math" w:cs="Times New Roman"/>
                <w:sz w:val="19"/>
                <w:szCs w:val="19"/>
              </w:rPr>
              <m:t>β</m:t>
            </m:r>
          </m:e>
          <m:sub>
            <m:r>
              <w:rPr>
                <w:rFonts w:ascii="Cambria Math" w:hAnsi="Cambria Math" w:cs="Times New Roman"/>
                <w:sz w:val="19"/>
                <w:szCs w:val="19"/>
              </w:rPr>
              <m:t>3; 4</m:t>
            </m:r>
          </m:sub>
        </m:sSub>
        <m:sSub>
          <m:sSubPr>
            <m:ctrlPr>
              <w:rPr>
                <w:rFonts w:ascii="Cambria Math" w:hAnsi="Cambria Math" w:cs="Times New Roman"/>
                <w:i/>
                <w:sz w:val="19"/>
                <w:szCs w:val="19"/>
              </w:rPr>
            </m:ctrlPr>
          </m:sSubPr>
          <m:e>
            <m:r>
              <w:rPr>
                <w:rFonts w:ascii="Cambria Math" w:hAnsi="Cambria Math" w:cs="Times New Roman"/>
                <w:sz w:val="19"/>
                <w:szCs w:val="19"/>
              </w:rPr>
              <m:t>d</m:t>
            </m:r>
          </m:e>
          <m:sub>
            <m:r>
              <w:rPr>
                <w:rFonts w:ascii="Cambria Math" w:hAnsi="Cambria Math" w:cs="Times New Roman"/>
                <w:sz w:val="19"/>
                <w:szCs w:val="19"/>
              </w:rPr>
              <m:t>neg</m:t>
            </m:r>
          </m:sub>
        </m:sSub>
        <m:d>
          <m:dPr>
            <m:ctrlPr>
              <w:rPr>
                <w:rFonts w:ascii="Cambria Math" w:hAnsi="Cambria Math" w:cs="Times New Roman"/>
                <w:i/>
                <w:sz w:val="19"/>
                <w:szCs w:val="19"/>
              </w:rPr>
            </m:ctrlPr>
          </m:dPr>
          <m:e>
            <m:r>
              <w:rPr>
                <w:rFonts w:ascii="Cambria Math" w:hAnsi="Cambria Math" w:cs="Times New Roman"/>
                <w:sz w:val="19"/>
                <w:szCs w:val="19"/>
              </w:rPr>
              <m:t>LL;ORA</m:t>
            </m:r>
          </m:e>
        </m:d>
        <m:r>
          <w:rPr>
            <w:rFonts w:ascii="Cambria Math" w:hAnsi="Cambria Math" w:cs="Times New Roman"/>
            <w:sz w:val="19"/>
            <w:szCs w:val="19"/>
          </w:rPr>
          <m:t>+</m:t>
        </m:r>
        <m:sSub>
          <m:sSubPr>
            <m:ctrlPr>
              <w:rPr>
                <w:rFonts w:ascii="Cambria Math" w:hAnsi="Cambria Math" w:cs="Times New Roman"/>
                <w:i/>
                <w:sz w:val="19"/>
                <w:szCs w:val="19"/>
              </w:rPr>
            </m:ctrlPr>
          </m:sSubPr>
          <m:e>
            <m:r>
              <w:rPr>
                <w:rFonts w:ascii="Cambria Math" w:hAnsi="Cambria Math" w:cs="Times New Roman"/>
                <w:sz w:val="19"/>
                <w:szCs w:val="19"/>
              </w:rPr>
              <m:t>β</m:t>
            </m:r>
          </m:e>
          <m:sub>
            <m:r>
              <w:rPr>
                <w:rFonts w:ascii="Cambria Math" w:hAnsi="Cambria Math" w:cs="Times New Roman"/>
                <w:sz w:val="19"/>
                <w:szCs w:val="19"/>
              </w:rPr>
              <m:t>5; 6</m:t>
            </m:r>
          </m:sub>
        </m:sSub>
        <m:sSub>
          <m:sSubPr>
            <m:ctrlPr>
              <w:rPr>
                <w:rFonts w:ascii="Cambria Math" w:hAnsi="Cambria Math" w:cs="Times New Roman"/>
                <w:i/>
                <w:sz w:val="19"/>
                <w:szCs w:val="19"/>
              </w:rPr>
            </m:ctrlPr>
          </m:sSubPr>
          <m:e>
            <m:r>
              <w:rPr>
                <w:rFonts w:ascii="Cambria Math" w:hAnsi="Cambria Math" w:cs="Times New Roman"/>
                <w:sz w:val="19"/>
                <w:szCs w:val="19"/>
              </w:rPr>
              <m:t>d</m:t>
            </m:r>
          </m:e>
          <m:sub>
            <m:r>
              <w:rPr>
                <w:rFonts w:ascii="Cambria Math" w:hAnsi="Cambria Math" w:cs="Times New Roman"/>
                <w:sz w:val="19"/>
                <w:szCs w:val="19"/>
              </w:rPr>
              <m:t>neg</m:t>
            </m:r>
          </m:sub>
        </m:sSub>
        <m:r>
          <w:rPr>
            <w:rFonts w:ascii="Cambria Math" w:hAnsi="Cambria Math" w:cs="Times New Roman"/>
            <w:sz w:val="19"/>
            <w:szCs w:val="19"/>
          </w:rPr>
          <m:t>*</m:t>
        </m:r>
        <m:d>
          <m:dPr>
            <m:ctrlPr>
              <w:rPr>
                <w:rFonts w:ascii="Cambria Math" w:hAnsi="Cambria Math" w:cs="Times New Roman"/>
                <w:i/>
                <w:sz w:val="19"/>
                <w:szCs w:val="19"/>
              </w:rPr>
            </m:ctrlPr>
          </m:dPr>
          <m:e>
            <m:r>
              <w:rPr>
                <w:rFonts w:ascii="Cambria Math" w:hAnsi="Cambria Math" w:cs="Times New Roman"/>
                <w:sz w:val="19"/>
                <w:szCs w:val="19"/>
              </w:rPr>
              <m:t>LL;ORA</m:t>
            </m:r>
          </m:e>
        </m:d>
        <m:r>
          <w:rPr>
            <w:rFonts w:ascii="Cambria Math" w:hAnsi="Cambria Math" w:cs="Times New Roman"/>
            <w:sz w:val="19"/>
            <w:szCs w:val="19"/>
          </w:rPr>
          <m:t>+</m:t>
        </m:r>
        <m:sSub>
          <m:sSubPr>
            <m:ctrlPr>
              <w:rPr>
                <w:rFonts w:ascii="Cambria Math" w:hAnsi="Cambria Math" w:cs="Times New Roman"/>
                <w:i/>
                <w:sz w:val="19"/>
                <w:szCs w:val="19"/>
              </w:rPr>
            </m:ctrlPr>
          </m:sSubPr>
          <m:e>
            <m:r>
              <w:rPr>
                <w:rFonts w:ascii="Cambria Math" w:hAnsi="Cambria Math" w:cs="Times New Roman"/>
                <w:sz w:val="19"/>
                <w:szCs w:val="19"/>
              </w:rPr>
              <m:t>ε</m:t>
            </m:r>
          </m:e>
          <m:sub>
            <m:r>
              <w:rPr>
                <w:rFonts w:ascii="Cambria Math" w:hAnsi="Cambria Math" w:cs="Times New Roman"/>
                <w:sz w:val="19"/>
                <w:szCs w:val="19"/>
              </w:rPr>
              <m:t>i</m:t>
            </m:r>
          </m:sub>
        </m:sSub>
      </m:oMath>
      <w:r w:rsidR="007941A1" w:rsidRPr="005E1941">
        <w:rPr>
          <w:rFonts w:eastAsiaTheme="minorEastAsia" w:cs="Times New Roman"/>
          <w:sz w:val="19"/>
          <w:szCs w:val="19"/>
        </w:rPr>
        <w:tab/>
        <w:t>(3)</w:t>
      </w:r>
    </w:p>
    <w:p w:rsidR="007941A1" w:rsidRPr="005E1941" w:rsidRDefault="00890852" w:rsidP="00CB0ED4">
      <w:pPr>
        <w:tabs>
          <w:tab w:val="right" w:pos="8931"/>
        </w:tabs>
        <w:spacing w:line="360" w:lineRule="auto"/>
        <w:jc w:val="both"/>
        <w:rPr>
          <w:rFonts w:eastAsiaTheme="minorEastAsia" w:cs="Times New Roman"/>
          <w:sz w:val="19"/>
          <w:szCs w:val="19"/>
        </w:rPr>
      </w:pPr>
      <m:oMath>
        <m:sSub>
          <m:sSubPr>
            <m:ctrlPr>
              <w:rPr>
                <w:rFonts w:ascii="Cambria Math" w:hAnsi="Cambria Math" w:cs="Times New Roman"/>
                <w:i/>
                <w:sz w:val="19"/>
                <w:szCs w:val="19"/>
              </w:rPr>
            </m:ctrlPr>
          </m:sSubPr>
          <m:e>
            <m:r>
              <w:rPr>
                <w:rFonts w:ascii="Cambria Math" w:hAnsi="Cambria Math" w:cs="Times New Roman"/>
                <w:sz w:val="19"/>
                <w:szCs w:val="19"/>
              </w:rPr>
              <m:t>FCO</m:t>
            </m:r>
          </m:e>
          <m:sub>
            <m:r>
              <w:rPr>
                <w:rFonts w:ascii="Cambria Math" w:hAnsi="Cambria Math" w:cs="Times New Roman"/>
                <w:sz w:val="19"/>
                <w:szCs w:val="19"/>
              </w:rPr>
              <m:t>t+1</m:t>
            </m:r>
          </m:sub>
        </m:sSub>
        <m:r>
          <w:rPr>
            <w:rFonts w:ascii="Cambria Math" w:hAnsi="Cambria Math" w:cs="Times New Roman"/>
            <w:sz w:val="19"/>
            <w:szCs w:val="19"/>
          </w:rPr>
          <m:t>=</m:t>
        </m:r>
        <m:sSub>
          <m:sSubPr>
            <m:ctrlPr>
              <w:rPr>
                <w:rFonts w:ascii="Cambria Math" w:hAnsi="Cambria Math" w:cs="Times New Roman"/>
                <w:i/>
                <w:sz w:val="19"/>
                <w:szCs w:val="19"/>
              </w:rPr>
            </m:ctrlPr>
          </m:sSubPr>
          <m:e>
            <m:r>
              <w:rPr>
                <w:rFonts w:ascii="Cambria Math" w:hAnsi="Cambria Math" w:cs="Times New Roman"/>
                <w:sz w:val="19"/>
                <w:szCs w:val="19"/>
              </w:rPr>
              <m:t>β</m:t>
            </m:r>
          </m:e>
          <m:sub>
            <m:r>
              <w:rPr>
                <w:rFonts w:ascii="Cambria Math" w:hAnsi="Cambria Math" w:cs="Times New Roman"/>
                <w:sz w:val="19"/>
                <w:szCs w:val="19"/>
              </w:rPr>
              <m:t>0</m:t>
            </m:r>
          </m:sub>
        </m:sSub>
        <m:r>
          <w:rPr>
            <w:rFonts w:ascii="Cambria Math" w:hAnsi="Cambria Math" w:cs="Times New Roman"/>
            <w:sz w:val="19"/>
            <w:szCs w:val="19"/>
          </w:rPr>
          <m:t>+</m:t>
        </m:r>
        <m:sSub>
          <m:sSubPr>
            <m:ctrlPr>
              <w:rPr>
                <w:rFonts w:ascii="Cambria Math" w:hAnsi="Cambria Math" w:cs="Times New Roman"/>
                <w:i/>
                <w:sz w:val="19"/>
                <w:szCs w:val="19"/>
              </w:rPr>
            </m:ctrlPr>
          </m:sSubPr>
          <m:e>
            <m:r>
              <w:rPr>
                <w:rFonts w:ascii="Cambria Math" w:hAnsi="Cambria Math" w:cs="Times New Roman"/>
                <w:sz w:val="19"/>
                <w:szCs w:val="19"/>
              </w:rPr>
              <m:t>β</m:t>
            </m:r>
          </m:e>
          <m:sub>
            <m:r>
              <w:rPr>
                <w:rFonts w:ascii="Cambria Math" w:hAnsi="Cambria Math" w:cs="Times New Roman"/>
                <w:sz w:val="19"/>
                <w:szCs w:val="19"/>
              </w:rPr>
              <m:t>1</m:t>
            </m:r>
          </m:sub>
        </m:sSub>
        <m:r>
          <w:rPr>
            <w:rFonts w:ascii="Cambria Math" w:hAnsi="Cambria Math" w:cs="Times New Roman"/>
            <w:sz w:val="19"/>
            <w:szCs w:val="19"/>
          </w:rPr>
          <m:t>LL+</m:t>
        </m:r>
        <m:sSub>
          <m:sSubPr>
            <m:ctrlPr>
              <w:rPr>
                <w:rFonts w:ascii="Cambria Math" w:hAnsi="Cambria Math" w:cs="Times New Roman"/>
                <w:i/>
                <w:sz w:val="19"/>
                <w:szCs w:val="19"/>
              </w:rPr>
            </m:ctrlPr>
          </m:sSubPr>
          <m:e>
            <m:r>
              <w:rPr>
                <w:rFonts w:ascii="Cambria Math" w:hAnsi="Cambria Math" w:cs="Times New Roman"/>
                <w:sz w:val="19"/>
                <w:szCs w:val="19"/>
              </w:rPr>
              <m:t>β</m:t>
            </m:r>
          </m:e>
          <m:sub>
            <m:r>
              <w:rPr>
                <w:rFonts w:ascii="Cambria Math" w:hAnsi="Cambria Math" w:cs="Times New Roman"/>
                <w:sz w:val="19"/>
                <w:szCs w:val="19"/>
              </w:rPr>
              <m:t>2</m:t>
            </m:r>
          </m:sub>
        </m:sSub>
        <m:r>
          <w:rPr>
            <w:rFonts w:ascii="Cambria Math" w:hAnsi="Cambria Math" w:cs="Times New Roman"/>
            <w:sz w:val="19"/>
            <w:szCs w:val="19"/>
          </w:rPr>
          <m:t>TVM+</m:t>
        </m:r>
        <m:sSub>
          <m:sSubPr>
            <m:ctrlPr>
              <w:rPr>
                <w:rFonts w:ascii="Cambria Math" w:hAnsi="Cambria Math" w:cs="Times New Roman"/>
                <w:i/>
                <w:sz w:val="19"/>
                <w:szCs w:val="19"/>
              </w:rPr>
            </m:ctrlPr>
          </m:sSubPr>
          <m:e>
            <m:r>
              <w:rPr>
                <w:rFonts w:ascii="Cambria Math" w:hAnsi="Cambria Math" w:cs="Times New Roman"/>
                <w:sz w:val="19"/>
                <w:szCs w:val="19"/>
              </w:rPr>
              <m:t>β</m:t>
            </m:r>
          </m:e>
          <m:sub>
            <m:r>
              <w:rPr>
                <w:rFonts w:ascii="Cambria Math" w:hAnsi="Cambria Math" w:cs="Times New Roman"/>
                <w:sz w:val="19"/>
                <w:szCs w:val="19"/>
              </w:rPr>
              <m:t>3</m:t>
            </m:r>
          </m:sub>
        </m:sSub>
        <m:r>
          <w:rPr>
            <w:rFonts w:ascii="Cambria Math" w:hAnsi="Cambria Math" w:cs="Times New Roman"/>
            <w:sz w:val="19"/>
            <w:szCs w:val="19"/>
          </w:rPr>
          <m:t>NVM+</m:t>
        </m:r>
        <m:sSub>
          <m:sSubPr>
            <m:ctrlPr>
              <w:rPr>
                <w:rFonts w:ascii="Cambria Math" w:hAnsi="Cambria Math" w:cs="Times New Roman"/>
                <w:i/>
                <w:sz w:val="19"/>
                <w:szCs w:val="19"/>
              </w:rPr>
            </m:ctrlPr>
          </m:sSubPr>
          <m:e>
            <m:r>
              <w:rPr>
                <w:rFonts w:ascii="Cambria Math" w:hAnsi="Cambria Math" w:cs="Times New Roman"/>
                <w:sz w:val="19"/>
                <w:szCs w:val="19"/>
              </w:rPr>
              <m:t>β</m:t>
            </m:r>
          </m:e>
          <m:sub>
            <m:r>
              <w:rPr>
                <w:rFonts w:ascii="Cambria Math" w:hAnsi="Cambria Math" w:cs="Times New Roman"/>
                <w:sz w:val="19"/>
                <w:szCs w:val="19"/>
              </w:rPr>
              <m:t>4; 5; 6</m:t>
            </m:r>
          </m:sub>
        </m:sSub>
        <m:sSub>
          <m:sSubPr>
            <m:ctrlPr>
              <w:rPr>
                <w:rFonts w:ascii="Cambria Math" w:hAnsi="Cambria Math" w:cs="Times New Roman"/>
                <w:i/>
                <w:sz w:val="19"/>
                <w:szCs w:val="19"/>
              </w:rPr>
            </m:ctrlPr>
          </m:sSubPr>
          <m:e>
            <m:r>
              <w:rPr>
                <w:rFonts w:ascii="Cambria Math" w:hAnsi="Cambria Math" w:cs="Times New Roman"/>
                <w:sz w:val="19"/>
                <w:szCs w:val="19"/>
              </w:rPr>
              <m:t>d</m:t>
            </m:r>
          </m:e>
          <m:sub>
            <m:r>
              <w:rPr>
                <w:rFonts w:ascii="Cambria Math" w:hAnsi="Cambria Math" w:cs="Times New Roman"/>
                <w:sz w:val="19"/>
                <w:szCs w:val="19"/>
              </w:rPr>
              <m:t>neg</m:t>
            </m:r>
          </m:sub>
        </m:sSub>
        <m:d>
          <m:dPr>
            <m:ctrlPr>
              <w:rPr>
                <w:rFonts w:ascii="Cambria Math" w:hAnsi="Cambria Math" w:cs="Times New Roman"/>
                <w:i/>
                <w:sz w:val="19"/>
                <w:szCs w:val="19"/>
              </w:rPr>
            </m:ctrlPr>
          </m:dPr>
          <m:e>
            <m:r>
              <w:rPr>
                <w:rFonts w:ascii="Cambria Math" w:hAnsi="Cambria Math" w:cs="Times New Roman"/>
                <w:sz w:val="19"/>
                <w:szCs w:val="19"/>
              </w:rPr>
              <m:t>LL;TVM;NVM</m:t>
            </m:r>
          </m:e>
        </m:d>
        <m:r>
          <w:rPr>
            <w:rFonts w:ascii="Cambria Math" w:hAnsi="Cambria Math" w:cs="Times New Roman"/>
            <w:sz w:val="19"/>
            <w:szCs w:val="19"/>
          </w:rPr>
          <m:t>+</m:t>
        </m:r>
        <m:sSub>
          <m:sSubPr>
            <m:ctrlPr>
              <w:rPr>
                <w:rFonts w:ascii="Cambria Math" w:hAnsi="Cambria Math" w:cs="Times New Roman"/>
                <w:i/>
                <w:sz w:val="19"/>
                <w:szCs w:val="19"/>
              </w:rPr>
            </m:ctrlPr>
          </m:sSubPr>
          <m:e>
            <m:r>
              <w:rPr>
                <w:rFonts w:ascii="Cambria Math" w:hAnsi="Cambria Math" w:cs="Times New Roman"/>
                <w:sz w:val="19"/>
                <w:szCs w:val="19"/>
              </w:rPr>
              <m:t>β</m:t>
            </m:r>
          </m:e>
          <m:sub>
            <m:r>
              <w:rPr>
                <w:rFonts w:ascii="Cambria Math" w:hAnsi="Cambria Math" w:cs="Times New Roman"/>
                <w:sz w:val="19"/>
                <w:szCs w:val="19"/>
              </w:rPr>
              <m:t>7;8; 9</m:t>
            </m:r>
          </m:sub>
        </m:sSub>
        <m:sSub>
          <m:sSubPr>
            <m:ctrlPr>
              <w:rPr>
                <w:rFonts w:ascii="Cambria Math" w:hAnsi="Cambria Math" w:cs="Times New Roman"/>
                <w:i/>
                <w:sz w:val="19"/>
                <w:szCs w:val="19"/>
              </w:rPr>
            </m:ctrlPr>
          </m:sSubPr>
          <m:e>
            <m:r>
              <w:rPr>
                <w:rFonts w:ascii="Cambria Math" w:hAnsi="Cambria Math" w:cs="Times New Roman"/>
                <w:sz w:val="19"/>
                <w:szCs w:val="19"/>
              </w:rPr>
              <m:t>d</m:t>
            </m:r>
          </m:e>
          <m:sub>
            <m:r>
              <w:rPr>
                <w:rFonts w:ascii="Cambria Math" w:hAnsi="Cambria Math" w:cs="Times New Roman"/>
                <w:sz w:val="19"/>
                <w:szCs w:val="19"/>
              </w:rPr>
              <m:t>neg</m:t>
            </m:r>
          </m:sub>
        </m:sSub>
        <m:r>
          <w:rPr>
            <w:rFonts w:ascii="Cambria Math" w:hAnsi="Cambria Math" w:cs="Times New Roman"/>
            <w:sz w:val="19"/>
            <w:szCs w:val="19"/>
          </w:rPr>
          <m:t>*</m:t>
        </m:r>
        <m:d>
          <m:dPr>
            <m:ctrlPr>
              <w:rPr>
                <w:rFonts w:ascii="Cambria Math" w:hAnsi="Cambria Math" w:cs="Times New Roman"/>
                <w:i/>
                <w:sz w:val="19"/>
                <w:szCs w:val="19"/>
              </w:rPr>
            </m:ctrlPr>
          </m:dPr>
          <m:e>
            <m:r>
              <w:rPr>
                <w:rFonts w:ascii="Cambria Math" w:hAnsi="Cambria Math" w:cs="Times New Roman"/>
                <w:sz w:val="19"/>
                <w:szCs w:val="19"/>
              </w:rPr>
              <m:t>LL;TVM;NVM</m:t>
            </m:r>
          </m:e>
        </m:d>
        <m:r>
          <w:rPr>
            <w:rFonts w:ascii="Cambria Math" w:hAnsi="Cambria Math" w:cs="Times New Roman"/>
            <w:sz w:val="19"/>
            <w:szCs w:val="19"/>
          </w:rPr>
          <m:t>+</m:t>
        </m:r>
        <m:sSub>
          <m:sSubPr>
            <m:ctrlPr>
              <w:rPr>
                <w:rFonts w:ascii="Cambria Math" w:hAnsi="Cambria Math" w:cs="Times New Roman"/>
                <w:i/>
                <w:sz w:val="19"/>
                <w:szCs w:val="19"/>
              </w:rPr>
            </m:ctrlPr>
          </m:sSubPr>
          <m:e>
            <m:r>
              <w:rPr>
                <w:rFonts w:ascii="Cambria Math" w:hAnsi="Cambria Math" w:cs="Times New Roman"/>
                <w:sz w:val="19"/>
                <w:szCs w:val="19"/>
              </w:rPr>
              <m:t>ε</m:t>
            </m:r>
          </m:e>
          <m:sub>
            <m:r>
              <w:rPr>
                <w:rFonts w:ascii="Cambria Math" w:hAnsi="Cambria Math" w:cs="Times New Roman"/>
                <w:sz w:val="19"/>
                <w:szCs w:val="19"/>
              </w:rPr>
              <m:t>i</m:t>
            </m:r>
          </m:sub>
        </m:sSub>
      </m:oMath>
      <w:r w:rsidR="007941A1" w:rsidRPr="005E1941">
        <w:rPr>
          <w:rFonts w:eastAsiaTheme="minorEastAsia" w:cs="Times New Roman"/>
          <w:sz w:val="19"/>
          <w:szCs w:val="19"/>
        </w:rPr>
        <w:tab/>
        <w:t>(4)</w:t>
      </w:r>
    </w:p>
    <w:p w:rsidR="009362EC" w:rsidRPr="005E1941" w:rsidRDefault="00890852" w:rsidP="00CB0ED4">
      <w:pPr>
        <w:tabs>
          <w:tab w:val="right" w:pos="8931"/>
        </w:tabs>
        <w:spacing w:line="360" w:lineRule="auto"/>
        <w:jc w:val="both"/>
        <w:rPr>
          <w:rFonts w:eastAsiaTheme="minorEastAsia" w:cs="Times New Roman"/>
          <w:sz w:val="19"/>
          <w:szCs w:val="19"/>
        </w:rPr>
      </w:pPr>
      <m:oMath>
        <m:sSub>
          <m:sSubPr>
            <m:ctrlPr>
              <w:rPr>
                <w:rFonts w:ascii="Cambria Math" w:hAnsi="Cambria Math" w:cs="Times New Roman"/>
                <w:i/>
                <w:sz w:val="19"/>
                <w:szCs w:val="19"/>
              </w:rPr>
            </m:ctrlPr>
          </m:sSubPr>
          <m:e>
            <m:r>
              <w:rPr>
                <w:rFonts w:ascii="Cambria Math" w:hAnsi="Cambria Math" w:cs="Times New Roman"/>
                <w:sz w:val="19"/>
                <w:szCs w:val="19"/>
              </w:rPr>
              <m:t>FCO</m:t>
            </m:r>
          </m:e>
          <m:sub>
            <m:r>
              <w:rPr>
                <w:rFonts w:ascii="Cambria Math" w:hAnsi="Cambria Math" w:cs="Times New Roman"/>
                <w:sz w:val="19"/>
                <w:szCs w:val="19"/>
              </w:rPr>
              <m:t>t+1</m:t>
            </m:r>
          </m:sub>
        </m:sSub>
        <m:r>
          <w:rPr>
            <w:rFonts w:ascii="Cambria Math" w:hAnsi="Cambria Math" w:cs="Times New Roman"/>
            <w:sz w:val="19"/>
            <w:szCs w:val="19"/>
          </w:rPr>
          <m:t>=</m:t>
        </m:r>
        <m:sSub>
          <m:sSubPr>
            <m:ctrlPr>
              <w:rPr>
                <w:rFonts w:ascii="Cambria Math" w:hAnsi="Cambria Math" w:cs="Times New Roman"/>
                <w:i/>
                <w:sz w:val="19"/>
                <w:szCs w:val="19"/>
              </w:rPr>
            </m:ctrlPr>
          </m:sSubPr>
          <m:e>
            <m:r>
              <w:rPr>
                <w:rFonts w:ascii="Cambria Math" w:hAnsi="Cambria Math" w:cs="Times New Roman"/>
                <w:sz w:val="19"/>
                <w:szCs w:val="19"/>
              </w:rPr>
              <m:t>β</m:t>
            </m:r>
          </m:e>
          <m:sub>
            <m:r>
              <w:rPr>
                <w:rFonts w:ascii="Cambria Math" w:hAnsi="Cambria Math" w:cs="Times New Roman"/>
                <w:sz w:val="19"/>
                <w:szCs w:val="19"/>
              </w:rPr>
              <m:t>0</m:t>
            </m:r>
          </m:sub>
        </m:sSub>
        <m:r>
          <w:rPr>
            <w:rFonts w:ascii="Cambria Math" w:hAnsi="Cambria Math" w:cs="Times New Roman"/>
            <w:sz w:val="19"/>
            <w:szCs w:val="19"/>
          </w:rPr>
          <m:t>+</m:t>
        </m:r>
        <m:sSub>
          <m:sSubPr>
            <m:ctrlPr>
              <w:rPr>
                <w:rFonts w:ascii="Cambria Math" w:hAnsi="Cambria Math" w:cs="Times New Roman"/>
                <w:i/>
                <w:sz w:val="19"/>
                <w:szCs w:val="19"/>
              </w:rPr>
            </m:ctrlPr>
          </m:sSubPr>
          <m:e>
            <m:r>
              <w:rPr>
                <w:rFonts w:ascii="Cambria Math" w:hAnsi="Cambria Math" w:cs="Times New Roman"/>
                <w:sz w:val="19"/>
                <w:szCs w:val="19"/>
              </w:rPr>
              <m:t>β</m:t>
            </m:r>
          </m:e>
          <m:sub>
            <m:r>
              <w:rPr>
                <w:rFonts w:ascii="Cambria Math" w:hAnsi="Cambria Math" w:cs="Times New Roman"/>
                <w:sz w:val="19"/>
                <w:szCs w:val="19"/>
              </w:rPr>
              <m:t>1</m:t>
            </m:r>
          </m:sub>
        </m:sSub>
        <m:r>
          <w:rPr>
            <w:rFonts w:ascii="Cambria Math" w:hAnsi="Cambria Math" w:cs="Times New Roman"/>
            <w:sz w:val="19"/>
            <w:szCs w:val="19"/>
          </w:rPr>
          <m:t>LL+</m:t>
        </m:r>
        <m:sSub>
          <m:sSubPr>
            <m:ctrlPr>
              <w:rPr>
                <w:rFonts w:ascii="Cambria Math" w:hAnsi="Cambria Math" w:cs="Times New Roman"/>
                <w:i/>
                <w:sz w:val="19"/>
                <w:szCs w:val="19"/>
              </w:rPr>
            </m:ctrlPr>
          </m:sSubPr>
          <m:e>
            <m:r>
              <w:rPr>
                <w:rFonts w:ascii="Cambria Math" w:hAnsi="Cambria Math" w:cs="Times New Roman"/>
                <w:sz w:val="19"/>
                <w:szCs w:val="19"/>
              </w:rPr>
              <m:t>β</m:t>
            </m:r>
          </m:e>
          <m:sub>
            <m:r>
              <w:rPr>
                <w:rFonts w:ascii="Cambria Math" w:hAnsi="Cambria Math" w:cs="Times New Roman"/>
                <w:sz w:val="19"/>
                <w:szCs w:val="19"/>
              </w:rPr>
              <m:t>2</m:t>
            </m:r>
          </m:sub>
        </m:sSub>
        <m:r>
          <w:rPr>
            <w:rFonts w:ascii="Cambria Math" w:hAnsi="Cambria Math" w:cs="Times New Roman"/>
            <w:sz w:val="19"/>
            <w:szCs w:val="19"/>
          </w:rPr>
          <m:t>TVM+</m:t>
        </m:r>
        <m:sSub>
          <m:sSubPr>
            <m:ctrlPr>
              <w:rPr>
                <w:rFonts w:ascii="Cambria Math" w:hAnsi="Cambria Math" w:cs="Times New Roman"/>
                <w:i/>
                <w:sz w:val="19"/>
                <w:szCs w:val="19"/>
              </w:rPr>
            </m:ctrlPr>
          </m:sSubPr>
          <m:e>
            <m:r>
              <w:rPr>
                <w:rFonts w:ascii="Cambria Math" w:hAnsi="Cambria Math" w:cs="Times New Roman"/>
                <w:sz w:val="19"/>
                <w:szCs w:val="19"/>
              </w:rPr>
              <m:t>β</m:t>
            </m:r>
          </m:e>
          <m:sub>
            <m:r>
              <w:rPr>
                <w:rFonts w:ascii="Cambria Math" w:hAnsi="Cambria Math" w:cs="Times New Roman"/>
                <w:sz w:val="19"/>
                <w:szCs w:val="19"/>
              </w:rPr>
              <m:t>3</m:t>
            </m:r>
          </m:sub>
        </m:sSub>
        <m:r>
          <w:rPr>
            <w:rFonts w:ascii="Cambria Math" w:hAnsi="Cambria Math" w:cs="Times New Roman"/>
            <w:sz w:val="19"/>
            <w:szCs w:val="19"/>
          </w:rPr>
          <m:t>CON+</m:t>
        </m:r>
        <m:sSub>
          <m:sSubPr>
            <m:ctrlPr>
              <w:rPr>
                <w:rFonts w:ascii="Cambria Math" w:hAnsi="Cambria Math" w:cs="Times New Roman"/>
                <w:i/>
                <w:sz w:val="19"/>
                <w:szCs w:val="19"/>
              </w:rPr>
            </m:ctrlPr>
          </m:sSubPr>
          <m:e>
            <m:r>
              <w:rPr>
                <w:rFonts w:ascii="Cambria Math" w:hAnsi="Cambria Math" w:cs="Times New Roman"/>
                <w:sz w:val="19"/>
                <w:szCs w:val="19"/>
              </w:rPr>
              <m:t>β</m:t>
            </m:r>
          </m:e>
          <m:sub>
            <m:r>
              <w:rPr>
                <w:rFonts w:ascii="Cambria Math" w:hAnsi="Cambria Math" w:cs="Times New Roman"/>
                <w:sz w:val="19"/>
                <w:szCs w:val="19"/>
              </w:rPr>
              <m:t>4</m:t>
            </m:r>
          </m:sub>
        </m:sSub>
        <m:r>
          <w:rPr>
            <w:rFonts w:ascii="Cambria Math" w:hAnsi="Cambria Math" w:cs="Times New Roman"/>
            <w:sz w:val="19"/>
            <w:szCs w:val="19"/>
          </w:rPr>
          <m:t>PEN+</m:t>
        </m:r>
        <m:sSub>
          <m:sSubPr>
            <m:ctrlPr>
              <w:rPr>
                <w:rFonts w:ascii="Cambria Math" w:hAnsi="Cambria Math" w:cs="Times New Roman"/>
                <w:i/>
                <w:sz w:val="19"/>
                <w:szCs w:val="19"/>
              </w:rPr>
            </m:ctrlPr>
          </m:sSubPr>
          <m:e>
            <m:r>
              <w:rPr>
                <w:rFonts w:ascii="Cambria Math" w:hAnsi="Cambria Math" w:cs="Times New Roman"/>
                <w:sz w:val="19"/>
                <w:szCs w:val="19"/>
              </w:rPr>
              <m:t>β</m:t>
            </m:r>
          </m:e>
          <m:sub>
            <m:r>
              <w:rPr>
                <w:rFonts w:ascii="Cambria Math" w:hAnsi="Cambria Math" w:cs="Times New Roman"/>
                <w:sz w:val="19"/>
                <w:szCs w:val="19"/>
              </w:rPr>
              <m:t>5</m:t>
            </m:r>
          </m:sub>
        </m:sSub>
        <m:r>
          <w:rPr>
            <w:rFonts w:ascii="Cambria Math" w:hAnsi="Cambria Math" w:cs="Times New Roman"/>
            <w:sz w:val="19"/>
            <w:szCs w:val="19"/>
          </w:rPr>
          <m:t>HED+</m:t>
        </m:r>
        <m:sSub>
          <m:sSubPr>
            <m:ctrlPr>
              <w:rPr>
                <w:rFonts w:ascii="Cambria Math" w:hAnsi="Cambria Math" w:cs="Times New Roman"/>
                <w:i/>
                <w:sz w:val="19"/>
                <w:szCs w:val="19"/>
              </w:rPr>
            </m:ctrlPr>
          </m:sSubPr>
          <m:e>
            <m:r>
              <w:rPr>
                <w:rFonts w:ascii="Cambria Math" w:hAnsi="Cambria Math" w:cs="Times New Roman"/>
                <w:sz w:val="19"/>
                <w:szCs w:val="19"/>
              </w:rPr>
              <m:t>β</m:t>
            </m:r>
          </m:e>
          <m:sub>
            <m:r>
              <w:rPr>
                <w:rFonts w:ascii="Cambria Math" w:hAnsi="Cambria Math" w:cs="Times New Roman"/>
                <w:sz w:val="19"/>
                <w:szCs w:val="19"/>
              </w:rPr>
              <m:t>6-10</m:t>
            </m:r>
          </m:sub>
        </m:sSub>
        <m:sSub>
          <m:sSubPr>
            <m:ctrlPr>
              <w:rPr>
                <w:rFonts w:ascii="Cambria Math" w:hAnsi="Cambria Math" w:cs="Times New Roman"/>
                <w:i/>
                <w:sz w:val="19"/>
                <w:szCs w:val="19"/>
              </w:rPr>
            </m:ctrlPr>
          </m:sSubPr>
          <m:e>
            <m:r>
              <w:rPr>
                <w:rFonts w:ascii="Cambria Math" w:hAnsi="Cambria Math" w:cs="Times New Roman"/>
                <w:sz w:val="19"/>
                <w:szCs w:val="19"/>
              </w:rPr>
              <m:t>d</m:t>
            </m:r>
          </m:e>
          <m:sub>
            <m:r>
              <w:rPr>
                <w:rFonts w:ascii="Cambria Math" w:hAnsi="Cambria Math" w:cs="Times New Roman"/>
                <w:sz w:val="19"/>
                <w:szCs w:val="19"/>
              </w:rPr>
              <m:t>neg</m:t>
            </m:r>
          </m:sub>
        </m:sSub>
        <m:d>
          <m:dPr>
            <m:ctrlPr>
              <w:rPr>
                <w:rFonts w:ascii="Cambria Math" w:hAnsi="Cambria Math" w:cs="Times New Roman"/>
                <w:i/>
                <w:sz w:val="19"/>
                <w:szCs w:val="19"/>
              </w:rPr>
            </m:ctrlPr>
          </m:dPr>
          <m:e>
            <m:r>
              <w:rPr>
                <w:rFonts w:ascii="Cambria Math" w:hAnsi="Cambria Math" w:cs="Times New Roman"/>
                <w:sz w:val="19"/>
                <w:szCs w:val="19"/>
              </w:rPr>
              <m:t>LL;TVM;CON;PEN;HED</m:t>
            </m:r>
          </m:e>
        </m:d>
        <m:r>
          <w:rPr>
            <w:rFonts w:ascii="Cambria Math" w:hAnsi="Cambria Math" w:cs="Times New Roman"/>
            <w:sz w:val="19"/>
            <w:szCs w:val="19"/>
          </w:rPr>
          <m:t>+</m:t>
        </m:r>
        <m:sSub>
          <m:sSubPr>
            <m:ctrlPr>
              <w:rPr>
                <w:rFonts w:ascii="Cambria Math" w:hAnsi="Cambria Math" w:cs="Times New Roman"/>
                <w:i/>
                <w:sz w:val="19"/>
                <w:szCs w:val="19"/>
              </w:rPr>
            </m:ctrlPr>
          </m:sSubPr>
          <m:e>
            <m:r>
              <w:rPr>
                <w:rFonts w:ascii="Cambria Math" w:hAnsi="Cambria Math" w:cs="Times New Roman"/>
                <w:sz w:val="19"/>
                <w:szCs w:val="19"/>
              </w:rPr>
              <m:t>ε</m:t>
            </m:r>
          </m:e>
          <m:sub>
            <m:r>
              <w:rPr>
                <w:rFonts w:ascii="Cambria Math" w:hAnsi="Cambria Math" w:cs="Times New Roman"/>
                <w:sz w:val="19"/>
                <w:szCs w:val="19"/>
              </w:rPr>
              <m:t>i</m:t>
            </m:r>
          </m:sub>
        </m:sSub>
      </m:oMath>
      <w:r w:rsidR="009362EC" w:rsidRPr="005E1941">
        <w:rPr>
          <w:rFonts w:eastAsiaTheme="minorEastAsia" w:cs="Times New Roman"/>
          <w:sz w:val="19"/>
          <w:szCs w:val="19"/>
        </w:rPr>
        <w:tab/>
        <w:t>(5)</w:t>
      </w:r>
    </w:p>
    <w:p w:rsidR="00280F47" w:rsidRDefault="00280F47" w:rsidP="00532A5F">
      <w:pPr>
        <w:spacing w:line="360" w:lineRule="auto"/>
        <w:ind w:firstLine="709"/>
        <w:jc w:val="both"/>
        <w:rPr>
          <w:rFonts w:cs="Times New Roman"/>
        </w:rPr>
      </w:pPr>
      <w:r>
        <w:rPr>
          <w:rFonts w:cs="Times New Roman"/>
        </w:rPr>
        <w:lastRenderedPageBreak/>
        <w:t>Nestes modelos as variáveis são assim definidas:</w:t>
      </w:r>
    </w:p>
    <w:p w:rsidR="00280F47" w:rsidRPr="00FE0523" w:rsidRDefault="00890852" w:rsidP="00415904">
      <w:pPr>
        <w:pStyle w:val="PargrafodaLista"/>
        <w:numPr>
          <w:ilvl w:val="0"/>
          <w:numId w:val="10"/>
        </w:numPr>
        <w:spacing w:line="360" w:lineRule="auto"/>
        <w:ind w:left="993" w:hanging="284"/>
        <w:jc w:val="both"/>
        <w:rPr>
          <w:rFonts w:cs="Times New Roman"/>
        </w:rPr>
      </w:pPr>
      <m:oMath>
        <m:sSub>
          <m:sSubPr>
            <m:ctrlPr>
              <w:rPr>
                <w:rFonts w:ascii="Cambria Math" w:hAnsi="Cambria Math" w:cs="Times New Roman"/>
                <w:i/>
              </w:rPr>
            </m:ctrlPr>
          </m:sSubPr>
          <m:e>
            <m:r>
              <w:rPr>
                <w:rFonts w:ascii="Cambria Math" w:hAnsi="Cambria Math" w:cs="Times New Roman"/>
              </w:rPr>
              <m:t>FCO</m:t>
            </m:r>
          </m:e>
          <m:sub>
            <m:r>
              <w:rPr>
                <w:rFonts w:ascii="Cambria Math" w:hAnsi="Cambria Math" w:cs="Times New Roman"/>
              </w:rPr>
              <m:t>t+1</m:t>
            </m:r>
          </m:sub>
        </m:sSub>
      </m:oMath>
      <w:r w:rsidR="002614A5" w:rsidRPr="00577CF6">
        <w:rPr>
          <w:rFonts w:cs="Times New Roman"/>
        </w:rPr>
        <w:t xml:space="preserve"> </w:t>
      </w:r>
      <w:proofErr w:type="gramStart"/>
      <w:r w:rsidR="001425F3" w:rsidRPr="00577CF6">
        <w:rPr>
          <w:rFonts w:cs="Times New Roman"/>
        </w:rPr>
        <w:t>é</w:t>
      </w:r>
      <w:proofErr w:type="gramEnd"/>
      <w:r w:rsidR="002614A5" w:rsidRPr="00577CF6">
        <w:rPr>
          <w:rFonts w:cs="Times New Roman"/>
        </w:rPr>
        <w:t xml:space="preserve"> o Fluxo de Caixa Operacional do ano </w:t>
      </w:r>
      <w:r w:rsidR="001425F3" w:rsidRPr="00577CF6">
        <w:rPr>
          <w:rFonts w:cs="Times New Roman"/>
        </w:rPr>
        <w:t>subsequente</w:t>
      </w:r>
      <w:r w:rsidR="00B31B16" w:rsidRPr="00577CF6">
        <w:rPr>
          <w:rFonts w:cs="Times New Roman"/>
        </w:rPr>
        <w:t>, divulgado na D</w:t>
      </w:r>
      <w:r w:rsidR="00B31B16" w:rsidRPr="00FE0523">
        <w:rPr>
          <w:rFonts w:cs="Times New Roman"/>
        </w:rPr>
        <w:t>FC</w:t>
      </w:r>
      <w:r w:rsidR="00280F47" w:rsidRPr="00FE0523">
        <w:rPr>
          <w:rFonts w:cs="Times New Roman"/>
        </w:rPr>
        <w:t>;</w:t>
      </w:r>
    </w:p>
    <w:p w:rsidR="00EB4747" w:rsidRPr="00577CF6" w:rsidRDefault="00044E38" w:rsidP="00415904">
      <w:pPr>
        <w:pStyle w:val="PargrafodaLista"/>
        <w:numPr>
          <w:ilvl w:val="0"/>
          <w:numId w:val="10"/>
        </w:numPr>
        <w:spacing w:line="360" w:lineRule="auto"/>
        <w:ind w:left="993" w:hanging="284"/>
        <w:jc w:val="both"/>
        <w:rPr>
          <w:rFonts w:cs="Times New Roman"/>
        </w:rPr>
      </w:pPr>
      <m:oMath>
        <m:r>
          <w:rPr>
            <w:rFonts w:ascii="Cambria Math" w:hAnsi="Cambria Math" w:cs="Times New Roman"/>
          </w:rPr>
          <m:t>LL</m:t>
        </m:r>
      </m:oMath>
      <w:r w:rsidR="002614A5" w:rsidRPr="00044E38">
        <w:rPr>
          <w:rFonts w:cs="Times New Roman"/>
        </w:rPr>
        <w:t xml:space="preserve"> </w:t>
      </w:r>
      <w:proofErr w:type="gramStart"/>
      <w:r w:rsidR="001425F3" w:rsidRPr="00044E38">
        <w:rPr>
          <w:rFonts w:cs="Times New Roman"/>
        </w:rPr>
        <w:t>é</w:t>
      </w:r>
      <w:proofErr w:type="gramEnd"/>
      <w:r w:rsidR="001425F3" w:rsidRPr="00044E38">
        <w:rPr>
          <w:rFonts w:cs="Times New Roman"/>
        </w:rPr>
        <w:t xml:space="preserve"> o</w:t>
      </w:r>
      <w:r w:rsidR="002614A5" w:rsidRPr="00044E38">
        <w:rPr>
          <w:rFonts w:cs="Times New Roman"/>
        </w:rPr>
        <w:t xml:space="preserve"> Lucro Líquido </w:t>
      </w:r>
      <w:r w:rsidR="00C106C1" w:rsidRPr="00577CF6">
        <w:rPr>
          <w:rFonts w:cs="Times New Roman"/>
        </w:rPr>
        <w:t xml:space="preserve">anual </w:t>
      </w:r>
      <w:r w:rsidR="002614A5" w:rsidRPr="00577CF6">
        <w:rPr>
          <w:rFonts w:cs="Times New Roman"/>
        </w:rPr>
        <w:t>do período</w:t>
      </w:r>
      <w:r w:rsidR="00EB4747" w:rsidRPr="00577CF6">
        <w:rPr>
          <w:rFonts w:cs="Times New Roman"/>
        </w:rPr>
        <w:t>;</w:t>
      </w:r>
    </w:p>
    <w:p w:rsidR="00577CF6" w:rsidRDefault="00044E38" w:rsidP="00415904">
      <w:pPr>
        <w:pStyle w:val="PargrafodaLista"/>
        <w:numPr>
          <w:ilvl w:val="0"/>
          <w:numId w:val="10"/>
        </w:numPr>
        <w:spacing w:line="360" w:lineRule="auto"/>
        <w:ind w:left="993" w:hanging="284"/>
        <w:jc w:val="both"/>
        <w:rPr>
          <w:rFonts w:cs="Times New Roman"/>
        </w:rPr>
      </w:pPr>
      <m:oMath>
        <m:r>
          <w:rPr>
            <w:rFonts w:ascii="Cambria Math" w:hAnsi="Cambria Math" w:cs="Times New Roman"/>
          </w:rPr>
          <m:t>RAC</m:t>
        </m:r>
      </m:oMath>
      <w:r w:rsidR="00C106C1" w:rsidRPr="00577CF6">
        <w:rPr>
          <w:rFonts w:cs="Times New Roman"/>
        </w:rPr>
        <w:t xml:space="preserve"> </w:t>
      </w:r>
      <w:proofErr w:type="gramStart"/>
      <w:r w:rsidR="001425F3" w:rsidRPr="00577CF6">
        <w:rPr>
          <w:rFonts w:cs="Times New Roman"/>
        </w:rPr>
        <w:t>corresponde</w:t>
      </w:r>
      <w:proofErr w:type="gramEnd"/>
      <w:r w:rsidR="001425F3" w:rsidRPr="00577CF6">
        <w:rPr>
          <w:rFonts w:cs="Times New Roman"/>
        </w:rPr>
        <w:t xml:space="preserve"> ao</w:t>
      </w:r>
      <w:r w:rsidR="00C106C1" w:rsidRPr="00577CF6">
        <w:rPr>
          <w:rFonts w:cs="Times New Roman"/>
        </w:rPr>
        <w:t xml:space="preserve"> </w:t>
      </w:r>
      <w:r w:rsidR="002614A5" w:rsidRPr="00577CF6">
        <w:rPr>
          <w:rFonts w:cs="Times New Roman"/>
        </w:rPr>
        <w:t xml:space="preserve">Resultado Abrangente Consolidado do período, </w:t>
      </w:r>
      <w:r w:rsidR="000A71C9" w:rsidRPr="00577CF6">
        <w:rPr>
          <w:rFonts w:cs="Times New Roman"/>
        </w:rPr>
        <w:t xml:space="preserve">ou seja, a </w:t>
      </w:r>
      <w:r w:rsidR="002614A5" w:rsidRPr="00577CF6">
        <w:rPr>
          <w:rFonts w:cs="Times New Roman"/>
        </w:rPr>
        <w:t xml:space="preserve">soma do </w:t>
      </w:r>
      <m:oMath>
        <m:r>
          <w:rPr>
            <w:rFonts w:ascii="Cambria Math" w:hAnsi="Cambria Math" w:cs="Times New Roman"/>
          </w:rPr>
          <m:t>LL</m:t>
        </m:r>
      </m:oMath>
      <w:r w:rsidR="002614A5" w:rsidRPr="00577CF6">
        <w:rPr>
          <w:rFonts w:cs="Times New Roman"/>
        </w:rPr>
        <w:t xml:space="preserve"> </w:t>
      </w:r>
      <w:r w:rsidR="00C106C1" w:rsidRPr="00577CF6">
        <w:rPr>
          <w:rFonts w:cs="Times New Roman"/>
        </w:rPr>
        <w:t>com os</w:t>
      </w:r>
      <w:r w:rsidR="002614A5" w:rsidRPr="00577CF6">
        <w:rPr>
          <w:rFonts w:cs="Times New Roman"/>
        </w:rPr>
        <w:t xml:space="preserve"> </w:t>
      </w:r>
      <w:r w:rsidR="00C106C1" w:rsidRPr="00577CF6">
        <w:rPr>
          <w:rFonts w:cs="Times New Roman"/>
        </w:rPr>
        <w:t>O</w:t>
      </w:r>
      <w:r w:rsidR="00EB4747" w:rsidRPr="00577CF6">
        <w:rPr>
          <w:rFonts w:cs="Times New Roman"/>
        </w:rPr>
        <w:t xml:space="preserve">utros </w:t>
      </w:r>
      <w:r w:rsidR="00C106C1" w:rsidRPr="00577CF6">
        <w:rPr>
          <w:rFonts w:cs="Times New Roman"/>
        </w:rPr>
        <w:t>R</w:t>
      </w:r>
      <w:r w:rsidR="00EB4747" w:rsidRPr="004E2444">
        <w:rPr>
          <w:rFonts w:cs="Times New Roman"/>
        </w:rPr>
        <w:t xml:space="preserve">esultados </w:t>
      </w:r>
      <w:r w:rsidR="00C106C1" w:rsidRPr="004E2444">
        <w:rPr>
          <w:rFonts w:cs="Times New Roman"/>
        </w:rPr>
        <w:t>A</w:t>
      </w:r>
      <w:r w:rsidR="00EB4747" w:rsidRPr="004E2444">
        <w:rPr>
          <w:rFonts w:cs="Times New Roman"/>
        </w:rPr>
        <w:t>brangentes (</w:t>
      </w:r>
      <m:oMath>
        <m:r>
          <w:rPr>
            <w:rFonts w:ascii="Cambria Math" w:hAnsi="Cambria Math" w:cs="Times New Roman"/>
          </w:rPr>
          <m:t>ORA</m:t>
        </m:r>
      </m:oMath>
      <w:r w:rsidR="00EB4747" w:rsidRPr="004E2444">
        <w:rPr>
          <w:rFonts w:cs="Times New Roman"/>
        </w:rPr>
        <w:t>) do per</w:t>
      </w:r>
      <w:proofErr w:type="spellStart"/>
      <w:r w:rsidR="00EB4747" w:rsidRPr="00B07482">
        <w:rPr>
          <w:rFonts w:cs="Times New Roman"/>
        </w:rPr>
        <w:t>íodo</w:t>
      </w:r>
      <w:proofErr w:type="spellEnd"/>
      <w:r w:rsidR="00EB4747" w:rsidRPr="00B07482">
        <w:rPr>
          <w:rFonts w:cs="Times New Roman"/>
        </w:rPr>
        <w:t>;</w:t>
      </w:r>
    </w:p>
    <w:p w:rsidR="00577CF6" w:rsidRDefault="00577CF6" w:rsidP="00415904">
      <w:pPr>
        <w:pStyle w:val="PargrafodaLista"/>
        <w:numPr>
          <w:ilvl w:val="0"/>
          <w:numId w:val="10"/>
        </w:numPr>
        <w:spacing w:line="360" w:lineRule="auto"/>
        <w:ind w:left="993" w:hanging="284"/>
        <w:jc w:val="both"/>
        <w:rPr>
          <w:rFonts w:cs="Times New Roman"/>
        </w:rPr>
      </w:pPr>
      <m:oMath>
        <m:r>
          <w:rPr>
            <w:rFonts w:ascii="Cambria Math" w:hAnsi="Cambria Math" w:cs="Times New Roman"/>
          </w:rPr>
          <m:t>TVM</m:t>
        </m:r>
      </m:oMath>
      <w:r w:rsidR="00EB4747" w:rsidRPr="00577CF6">
        <w:rPr>
          <w:rFonts w:cs="Times New Roman"/>
        </w:rPr>
        <w:t xml:space="preserve"> </w:t>
      </w:r>
      <w:proofErr w:type="gramStart"/>
      <w:r w:rsidR="00EB4747" w:rsidRPr="00577CF6">
        <w:rPr>
          <w:rFonts w:cs="Times New Roman"/>
        </w:rPr>
        <w:t>são</w:t>
      </w:r>
      <w:proofErr w:type="gramEnd"/>
      <w:r w:rsidR="00EB4747" w:rsidRPr="00577CF6">
        <w:rPr>
          <w:rFonts w:cs="Times New Roman"/>
        </w:rPr>
        <w:t xml:space="preserve"> os</w:t>
      </w:r>
      <w:r w:rsidR="002614A5" w:rsidRPr="00577CF6">
        <w:rPr>
          <w:rFonts w:cs="Times New Roman"/>
        </w:rPr>
        <w:t xml:space="preserve"> </w:t>
      </w:r>
      <w:r w:rsidR="00FA0934" w:rsidRPr="00577CF6">
        <w:rPr>
          <w:sz w:val="23"/>
          <w:szCs w:val="23"/>
        </w:rPr>
        <w:t>ganhos e perdas na mensuração a valor justo de instrumentos financeiros classificados como disponíveis para venda</w:t>
      </w:r>
      <w:r>
        <w:rPr>
          <w:rFonts w:cs="Times New Roman"/>
        </w:rPr>
        <w:t>;</w:t>
      </w:r>
    </w:p>
    <w:p w:rsidR="00577CF6" w:rsidRDefault="00577CF6" w:rsidP="00415904">
      <w:pPr>
        <w:pStyle w:val="PargrafodaLista"/>
        <w:numPr>
          <w:ilvl w:val="0"/>
          <w:numId w:val="10"/>
        </w:numPr>
        <w:spacing w:line="360" w:lineRule="auto"/>
        <w:ind w:left="993" w:hanging="284"/>
        <w:jc w:val="both"/>
        <w:rPr>
          <w:rFonts w:cs="Times New Roman"/>
        </w:rPr>
      </w:pPr>
      <m:oMath>
        <m:r>
          <w:rPr>
            <w:rFonts w:ascii="Cambria Math" w:hAnsi="Cambria Math" w:cs="Times New Roman"/>
          </w:rPr>
          <m:t>CON</m:t>
        </m:r>
      </m:oMath>
      <w:r w:rsidR="00B21A37" w:rsidRPr="00577CF6">
        <w:rPr>
          <w:rFonts w:cs="Times New Roman"/>
        </w:rPr>
        <w:t xml:space="preserve"> </w:t>
      </w:r>
      <w:proofErr w:type="gramStart"/>
      <w:r w:rsidR="00FA0934" w:rsidRPr="00577CF6">
        <w:rPr>
          <w:rFonts w:cs="Times New Roman"/>
        </w:rPr>
        <w:t>designa</w:t>
      </w:r>
      <w:proofErr w:type="gramEnd"/>
      <w:r w:rsidR="00C526DC" w:rsidRPr="00577CF6">
        <w:rPr>
          <w:rFonts w:cs="Times New Roman"/>
        </w:rPr>
        <w:t xml:space="preserve"> os </w:t>
      </w:r>
      <w:r w:rsidR="00FA0934" w:rsidRPr="00577CF6">
        <w:rPr>
          <w:sz w:val="23"/>
          <w:szCs w:val="23"/>
        </w:rPr>
        <w:t>ganhos e perdas decorrentes da conversão de demonstrações contábeis de empresas no exterior</w:t>
      </w:r>
      <w:r>
        <w:rPr>
          <w:rFonts w:cs="Times New Roman"/>
        </w:rPr>
        <w:t>;</w:t>
      </w:r>
    </w:p>
    <w:p w:rsidR="004E2444" w:rsidRDefault="00577CF6" w:rsidP="00415904">
      <w:pPr>
        <w:pStyle w:val="PargrafodaLista"/>
        <w:numPr>
          <w:ilvl w:val="0"/>
          <w:numId w:val="10"/>
        </w:numPr>
        <w:spacing w:line="360" w:lineRule="auto"/>
        <w:ind w:left="993" w:hanging="284"/>
        <w:jc w:val="both"/>
        <w:rPr>
          <w:rFonts w:cs="Times New Roman"/>
        </w:rPr>
      </w:pPr>
      <m:oMath>
        <m:r>
          <w:rPr>
            <w:rFonts w:ascii="Cambria Math" w:hAnsi="Cambria Math" w:cs="Times New Roman"/>
          </w:rPr>
          <m:t>PEN</m:t>
        </m:r>
      </m:oMath>
      <w:r w:rsidR="00C526DC" w:rsidRPr="00577CF6">
        <w:rPr>
          <w:rFonts w:cs="Times New Roman"/>
        </w:rPr>
        <w:t xml:space="preserve"> </w:t>
      </w:r>
      <w:proofErr w:type="gramStart"/>
      <w:r w:rsidR="00FA0934" w:rsidRPr="00577CF6">
        <w:rPr>
          <w:rFonts w:cs="Times New Roman"/>
        </w:rPr>
        <w:t>retrata</w:t>
      </w:r>
      <w:proofErr w:type="gramEnd"/>
      <w:r w:rsidR="00C526DC" w:rsidRPr="00577CF6">
        <w:rPr>
          <w:rFonts w:cs="Times New Roman"/>
        </w:rPr>
        <w:t xml:space="preserve"> </w:t>
      </w:r>
      <w:r w:rsidR="004E2444">
        <w:rPr>
          <w:rFonts w:cs="Times New Roman"/>
        </w:rPr>
        <w:t xml:space="preserve">os </w:t>
      </w:r>
      <w:r w:rsidR="00FA0934" w:rsidRPr="00577CF6">
        <w:rPr>
          <w:sz w:val="23"/>
          <w:szCs w:val="23"/>
        </w:rPr>
        <w:t>ganhos e perdas</w:t>
      </w:r>
      <w:r w:rsidR="0048156B" w:rsidRPr="004E2444">
        <w:rPr>
          <w:sz w:val="23"/>
          <w:szCs w:val="23"/>
        </w:rPr>
        <w:t xml:space="preserve"> </w:t>
      </w:r>
      <w:r w:rsidR="00FA0934" w:rsidRPr="004E2444">
        <w:rPr>
          <w:sz w:val="23"/>
          <w:szCs w:val="23"/>
        </w:rPr>
        <w:t xml:space="preserve">atuarias em planos de pensão </w:t>
      </w:r>
      <w:r w:rsidR="00FA0934" w:rsidRPr="004E2444">
        <w:rPr>
          <w:rFonts w:cs="Times New Roman"/>
        </w:rPr>
        <w:t xml:space="preserve">ou </w:t>
      </w:r>
      <w:r w:rsidR="00C526DC" w:rsidRPr="004E2444">
        <w:rPr>
          <w:rFonts w:cs="Times New Roman"/>
        </w:rPr>
        <w:t>outros benefícios de aposentadoria</w:t>
      </w:r>
      <w:r w:rsidR="004E2444">
        <w:rPr>
          <w:rFonts w:cs="Times New Roman"/>
        </w:rPr>
        <w:t>;</w:t>
      </w:r>
    </w:p>
    <w:p w:rsidR="00B07482" w:rsidRDefault="004E2444" w:rsidP="00415904">
      <w:pPr>
        <w:pStyle w:val="PargrafodaLista"/>
        <w:numPr>
          <w:ilvl w:val="0"/>
          <w:numId w:val="10"/>
        </w:numPr>
        <w:spacing w:line="360" w:lineRule="auto"/>
        <w:ind w:left="993" w:hanging="284"/>
        <w:jc w:val="both"/>
        <w:rPr>
          <w:rFonts w:cs="Times New Roman"/>
        </w:rPr>
      </w:pPr>
      <m:oMath>
        <m:r>
          <w:rPr>
            <w:rFonts w:ascii="Cambria Math" w:hAnsi="Cambria Math" w:cs="Times New Roman"/>
          </w:rPr>
          <m:t>HED</m:t>
        </m:r>
      </m:oMath>
      <w:r w:rsidR="00C526DC" w:rsidRPr="004E2444">
        <w:rPr>
          <w:rFonts w:cs="Times New Roman"/>
        </w:rPr>
        <w:t xml:space="preserve"> </w:t>
      </w:r>
      <w:proofErr w:type="gramStart"/>
      <w:r w:rsidR="00C526DC" w:rsidRPr="004E2444">
        <w:rPr>
          <w:rFonts w:cs="Times New Roman"/>
        </w:rPr>
        <w:t>são</w:t>
      </w:r>
      <w:proofErr w:type="gramEnd"/>
      <w:r w:rsidR="00C526DC" w:rsidRPr="004E2444">
        <w:rPr>
          <w:rFonts w:cs="Times New Roman"/>
        </w:rPr>
        <w:t xml:space="preserve"> os </w:t>
      </w:r>
      <w:r w:rsidR="00FA0934" w:rsidRPr="004E2444">
        <w:rPr>
          <w:sz w:val="23"/>
          <w:szCs w:val="23"/>
        </w:rPr>
        <w:t xml:space="preserve">ganhos e perdas referente a parcela efetiva de </w:t>
      </w:r>
      <w:r w:rsidR="00FA0934" w:rsidRPr="004E2444">
        <w:rPr>
          <w:i/>
          <w:iCs/>
          <w:sz w:val="23"/>
          <w:szCs w:val="23"/>
        </w:rPr>
        <w:t xml:space="preserve">hedge </w:t>
      </w:r>
      <w:r w:rsidR="00FA0934" w:rsidRPr="00B07482">
        <w:rPr>
          <w:sz w:val="23"/>
          <w:szCs w:val="23"/>
        </w:rPr>
        <w:t>de fluxo de caixa</w:t>
      </w:r>
      <w:r w:rsidR="00B07482">
        <w:rPr>
          <w:sz w:val="23"/>
          <w:szCs w:val="23"/>
        </w:rPr>
        <w:t>;</w:t>
      </w:r>
    </w:p>
    <w:p w:rsidR="00643EF5" w:rsidRDefault="00B07482" w:rsidP="00415904">
      <w:pPr>
        <w:pStyle w:val="PargrafodaLista"/>
        <w:numPr>
          <w:ilvl w:val="0"/>
          <w:numId w:val="10"/>
        </w:numPr>
        <w:spacing w:line="360" w:lineRule="auto"/>
        <w:ind w:left="993" w:hanging="284"/>
        <w:jc w:val="both"/>
        <w:rPr>
          <w:rFonts w:cs="Times New Roman"/>
        </w:rPr>
      </w:pPr>
      <m:oMath>
        <m:r>
          <w:rPr>
            <w:rFonts w:ascii="Cambria Math" w:hAnsi="Cambria Math" w:cs="Times New Roman"/>
          </w:rPr>
          <m:t>NVM</m:t>
        </m:r>
      </m:oMath>
      <w:r w:rsidR="002614A5" w:rsidRPr="00B07482">
        <w:rPr>
          <w:rFonts w:cs="Times New Roman"/>
        </w:rPr>
        <w:t xml:space="preserve"> </w:t>
      </w:r>
      <w:proofErr w:type="gramStart"/>
      <w:r w:rsidR="00C526DC" w:rsidRPr="00B07482">
        <w:rPr>
          <w:rFonts w:cs="Times New Roman"/>
        </w:rPr>
        <w:t>é</w:t>
      </w:r>
      <w:proofErr w:type="gramEnd"/>
      <w:r w:rsidR="00C526DC" w:rsidRPr="00B07482">
        <w:rPr>
          <w:rFonts w:cs="Times New Roman"/>
        </w:rPr>
        <w:t xml:space="preserve"> a soma dos</w:t>
      </w:r>
      <w:r w:rsidR="002614A5" w:rsidRPr="00B07482">
        <w:rPr>
          <w:rFonts w:cs="Times New Roman"/>
        </w:rPr>
        <w:t xml:space="preserve"> </w:t>
      </w:r>
      <w:r w:rsidR="00B21A37" w:rsidRPr="00CA3EE2">
        <w:rPr>
          <w:rFonts w:cs="Times New Roman"/>
        </w:rPr>
        <w:t>a</w:t>
      </w:r>
      <w:r w:rsidR="002614A5" w:rsidRPr="00CA3EE2">
        <w:rPr>
          <w:rFonts w:cs="Times New Roman"/>
        </w:rPr>
        <w:t xml:space="preserve">justes dos componentes dos </w:t>
      </w:r>
      <m:oMath>
        <m:r>
          <w:rPr>
            <w:rFonts w:ascii="Cambria Math" w:hAnsi="Cambria Math" w:cs="Times New Roman"/>
          </w:rPr>
          <m:t>ORA</m:t>
        </m:r>
      </m:oMath>
      <w:r w:rsidR="00B21A37" w:rsidRPr="00CA3EE2">
        <w:rPr>
          <w:rFonts w:cs="Times New Roman"/>
        </w:rPr>
        <w:t>,</w:t>
      </w:r>
      <w:r w:rsidR="002614A5" w:rsidRPr="00CA3EE2">
        <w:rPr>
          <w:rFonts w:cs="Times New Roman"/>
        </w:rPr>
        <w:t xml:space="preserve"> </w:t>
      </w:r>
      <w:r w:rsidR="00B21A37" w:rsidRPr="00CA3EE2">
        <w:rPr>
          <w:rFonts w:cs="Times New Roman"/>
        </w:rPr>
        <w:t>exceto</w:t>
      </w:r>
      <w:r w:rsidR="002614A5" w:rsidRPr="00CA3EE2">
        <w:rPr>
          <w:rFonts w:cs="Times New Roman"/>
        </w:rPr>
        <w:t xml:space="preserve"> sobre títulos e valores mobiliários</w:t>
      </w:r>
      <w:r w:rsidR="00CE4AEC" w:rsidRPr="00C75C1A">
        <w:rPr>
          <w:rFonts w:cs="Times New Roman"/>
        </w:rPr>
        <w:t xml:space="preserve"> (</w:t>
      </w:r>
      <m:oMath>
        <m:r>
          <w:rPr>
            <w:rFonts w:ascii="Cambria Math" w:hAnsi="Cambria Math" w:cs="Times New Roman"/>
          </w:rPr>
          <m:t>CON+PEN+HED</m:t>
        </m:r>
      </m:oMath>
      <w:r w:rsidR="00CA3EE2" w:rsidRPr="00C75C1A">
        <w:rPr>
          <w:rFonts w:cs="Times New Roman"/>
        </w:rPr>
        <w:t>)</w:t>
      </w:r>
      <w:r w:rsidR="00CA3EE2">
        <w:rPr>
          <w:rFonts w:cs="Times New Roman"/>
        </w:rPr>
        <w:t>;</w:t>
      </w:r>
    </w:p>
    <w:p w:rsidR="002336CD" w:rsidRPr="00027717" w:rsidRDefault="00890852" w:rsidP="00415904">
      <w:pPr>
        <w:pStyle w:val="PargrafodaLista"/>
        <w:numPr>
          <w:ilvl w:val="0"/>
          <w:numId w:val="10"/>
        </w:numPr>
        <w:spacing w:line="360" w:lineRule="auto"/>
        <w:ind w:left="993" w:hanging="284"/>
        <w:jc w:val="both"/>
        <w:rPr>
          <w:rFonts w:cs="Times New Roman"/>
        </w:rPr>
      </w:pPr>
      <m:oMath>
        <m:sSub>
          <m:sSubPr>
            <m:ctrlPr>
              <w:rPr>
                <w:rFonts w:ascii="Cambria Math" w:hAnsi="Cambria Math" w:cs="Times New Roman"/>
                <w:i/>
              </w:rPr>
            </m:ctrlPr>
          </m:sSubPr>
          <m:e>
            <m:r>
              <w:rPr>
                <w:rFonts w:ascii="Cambria Math" w:hAnsi="Cambria Math" w:cs="Times New Roman"/>
              </w:rPr>
              <m:t>d[x]</m:t>
            </m:r>
          </m:e>
          <m:sub>
            <m:r>
              <w:rPr>
                <w:rFonts w:ascii="Cambria Math" w:hAnsi="Cambria Math" w:cs="Times New Roman"/>
              </w:rPr>
              <m:t>neg</m:t>
            </m:r>
          </m:sub>
        </m:sSub>
      </m:oMath>
      <w:r w:rsidR="00C75C1A">
        <w:rPr>
          <w:rFonts w:eastAsiaTheme="minorEastAsia" w:cs="Times New Roman"/>
        </w:rPr>
        <w:t xml:space="preserve"> </w:t>
      </w:r>
      <w:proofErr w:type="gramStart"/>
      <w:r w:rsidR="00C75C1A">
        <w:rPr>
          <w:rFonts w:eastAsiaTheme="minorEastAsia" w:cs="Times New Roman"/>
        </w:rPr>
        <w:t>são</w:t>
      </w:r>
      <w:proofErr w:type="gramEnd"/>
      <w:r w:rsidR="00C75C1A">
        <w:rPr>
          <w:rFonts w:eastAsiaTheme="minorEastAsia" w:cs="Times New Roman"/>
        </w:rPr>
        <w:t xml:space="preserve"> </w:t>
      </w:r>
      <w:r w:rsidR="00CE4AEC" w:rsidRPr="00CA3EE2">
        <w:rPr>
          <w:rFonts w:cs="Times New Roman"/>
        </w:rPr>
        <w:t>variáveis</w:t>
      </w:r>
      <w:r w:rsidR="002614A5" w:rsidRPr="00C75C1A">
        <w:rPr>
          <w:rFonts w:cs="Times New Roman"/>
        </w:rPr>
        <w:t xml:space="preserve"> </w:t>
      </w:r>
      <w:proofErr w:type="spellStart"/>
      <w:r w:rsidR="002614A5" w:rsidRPr="00C75C1A">
        <w:rPr>
          <w:rFonts w:cs="Times New Roman"/>
          <w:i/>
        </w:rPr>
        <w:t>dumm</w:t>
      </w:r>
      <w:r w:rsidR="00CE4AEC" w:rsidRPr="00C75C1A">
        <w:rPr>
          <w:rFonts w:cs="Times New Roman"/>
          <w:i/>
        </w:rPr>
        <w:t>ies</w:t>
      </w:r>
      <w:proofErr w:type="spellEnd"/>
      <w:r w:rsidR="00CE4AEC" w:rsidRPr="00C75C1A">
        <w:rPr>
          <w:rFonts w:cs="Times New Roman"/>
        </w:rPr>
        <w:t xml:space="preserve"> </w:t>
      </w:r>
      <w:r w:rsidR="00C75C1A">
        <w:rPr>
          <w:rFonts w:cs="Times New Roman"/>
        </w:rPr>
        <w:t xml:space="preserve">que </w:t>
      </w:r>
      <w:r w:rsidR="002614A5" w:rsidRPr="00C75C1A">
        <w:rPr>
          <w:rFonts w:cs="Times New Roman"/>
        </w:rPr>
        <w:t>assume</w:t>
      </w:r>
      <w:r w:rsidR="00CE4AEC" w:rsidRPr="00C75C1A">
        <w:rPr>
          <w:rFonts w:cs="Times New Roman"/>
        </w:rPr>
        <w:t>m</w:t>
      </w:r>
      <w:r w:rsidR="002614A5" w:rsidRPr="00C75C1A">
        <w:rPr>
          <w:rFonts w:cs="Times New Roman"/>
        </w:rPr>
        <w:t xml:space="preserve"> o valor 1 quando o resultado </w:t>
      </w:r>
      <w:r w:rsidR="00C75C1A">
        <w:rPr>
          <w:rFonts w:cs="Times New Roman"/>
        </w:rPr>
        <w:t xml:space="preserve">do </w:t>
      </w:r>
      <m:oMath>
        <m:r>
          <w:rPr>
            <w:rFonts w:ascii="Cambria Math" w:hAnsi="Cambria Math" w:cs="Times New Roman"/>
          </w:rPr>
          <m:t>LL</m:t>
        </m:r>
      </m:oMath>
      <w:r w:rsidR="002614A5" w:rsidRPr="00C75C1A">
        <w:rPr>
          <w:rFonts w:cs="Times New Roman"/>
        </w:rPr>
        <w:t xml:space="preserve">, </w:t>
      </w:r>
      <m:oMath>
        <m:r>
          <w:rPr>
            <w:rFonts w:ascii="Cambria Math" w:hAnsi="Cambria Math" w:cs="Times New Roman"/>
          </w:rPr>
          <m:t>RAC</m:t>
        </m:r>
      </m:oMath>
      <w:r w:rsidR="002614A5" w:rsidRPr="00C75C1A">
        <w:rPr>
          <w:rFonts w:cs="Times New Roman"/>
        </w:rPr>
        <w:t xml:space="preserve">, </w:t>
      </w:r>
      <m:oMath>
        <m:r>
          <w:rPr>
            <w:rFonts w:ascii="Cambria Math" w:hAnsi="Cambria Math" w:cs="Times New Roman"/>
          </w:rPr>
          <m:t>ORA</m:t>
        </m:r>
      </m:oMath>
      <w:r w:rsidR="002614A5" w:rsidRPr="00C75C1A">
        <w:rPr>
          <w:rFonts w:cs="Times New Roman"/>
        </w:rPr>
        <w:t xml:space="preserve">, </w:t>
      </w:r>
      <m:oMath>
        <m:r>
          <w:rPr>
            <w:rFonts w:ascii="Cambria Math" w:hAnsi="Cambria Math" w:cs="Times New Roman"/>
          </w:rPr>
          <m:t>TVM</m:t>
        </m:r>
      </m:oMath>
      <w:r w:rsidR="002614A5" w:rsidRPr="00C75C1A">
        <w:rPr>
          <w:rFonts w:cs="Times New Roman"/>
        </w:rPr>
        <w:t xml:space="preserve"> ou </w:t>
      </w:r>
      <m:oMath>
        <m:r>
          <w:rPr>
            <w:rFonts w:ascii="Cambria Math" w:hAnsi="Cambria Math" w:cs="Times New Roman"/>
          </w:rPr>
          <m:t>NVM</m:t>
        </m:r>
      </m:oMath>
      <w:r w:rsidR="002614A5" w:rsidRPr="00C75C1A">
        <w:rPr>
          <w:rFonts w:cs="Times New Roman"/>
        </w:rPr>
        <w:t xml:space="preserve"> for negativo</w:t>
      </w:r>
      <w:r w:rsidR="00CE4AEC" w:rsidRPr="00C75C1A">
        <w:rPr>
          <w:rFonts w:cs="Times New Roman"/>
        </w:rPr>
        <w:t>.</w:t>
      </w:r>
      <w:r w:rsidR="00B31B16" w:rsidRPr="00C75C1A">
        <w:rPr>
          <w:rFonts w:cs="Times New Roman"/>
        </w:rPr>
        <w:t xml:space="preserve"> A finalidade da inclusão dessa variável </w:t>
      </w:r>
      <w:proofErr w:type="spellStart"/>
      <w:r w:rsidR="00B31B16" w:rsidRPr="00C75C1A">
        <w:rPr>
          <w:rFonts w:cs="Times New Roman"/>
          <w:i/>
        </w:rPr>
        <w:t>dummy</w:t>
      </w:r>
      <w:proofErr w:type="spellEnd"/>
      <w:r w:rsidR="00B31B16" w:rsidRPr="00C75C1A">
        <w:rPr>
          <w:rFonts w:cs="Times New Roman"/>
        </w:rPr>
        <w:t xml:space="preserve"> consiste em discriminar empresa</w:t>
      </w:r>
      <w:r w:rsidR="009C648E" w:rsidRPr="00C75C1A">
        <w:rPr>
          <w:rFonts w:cs="Times New Roman"/>
        </w:rPr>
        <w:t>s que obtiveram lucro ou prejuízo, verificando se tal informação amplia o poder preditivo da variável lucro líquido.</w:t>
      </w:r>
    </w:p>
    <w:p w:rsidR="006F308E" w:rsidRDefault="006F308E" w:rsidP="00027717">
      <w:pPr>
        <w:spacing w:line="360" w:lineRule="auto"/>
        <w:jc w:val="both"/>
        <w:rPr>
          <w:rFonts w:cs="Times New Roman"/>
          <w:b/>
        </w:rPr>
      </w:pPr>
    </w:p>
    <w:p w:rsidR="00027717" w:rsidRPr="00F53227" w:rsidRDefault="00027717" w:rsidP="00027717">
      <w:pPr>
        <w:spacing w:line="360" w:lineRule="auto"/>
        <w:jc w:val="both"/>
        <w:rPr>
          <w:rFonts w:cs="Times New Roman"/>
          <w:i/>
        </w:rPr>
      </w:pPr>
      <w:r w:rsidRPr="00F53227">
        <w:rPr>
          <w:rFonts w:cs="Times New Roman"/>
        </w:rPr>
        <w:t xml:space="preserve">3.3.2 </w:t>
      </w:r>
      <w:proofErr w:type="spellStart"/>
      <w:r w:rsidRPr="00F53227">
        <w:rPr>
          <w:rFonts w:cs="Times New Roman"/>
          <w:i/>
        </w:rPr>
        <w:t>Value</w:t>
      </w:r>
      <w:proofErr w:type="spellEnd"/>
      <w:r w:rsidRPr="00F53227">
        <w:rPr>
          <w:rFonts w:cs="Times New Roman"/>
          <w:i/>
        </w:rPr>
        <w:t xml:space="preserve"> </w:t>
      </w:r>
      <w:proofErr w:type="spellStart"/>
      <w:r w:rsidRPr="00F53227">
        <w:rPr>
          <w:rFonts w:cs="Times New Roman"/>
          <w:i/>
        </w:rPr>
        <w:t>relevance</w:t>
      </w:r>
      <w:proofErr w:type="spellEnd"/>
    </w:p>
    <w:p w:rsidR="0048156B" w:rsidRPr="00A1497A" w:rsidRDefault="006A6F59" w:rsidP="00C06401">
      <w:pPr>
        <w:spacing w:line="360" w:lineRule="auto"/>
        <w:ind w:firstLine="708"/>
        <w:jc w:val="both"/>
        <w:rPr>
          <w:rFonts w:cs="Times New Roman"/>
          <w:lang w:val="pt-PT"/>
        </w:rPr>
      </w:pPr>
      <w:r w:rsidRPr="00C06401">
        <w:rPr>
          <w:rStyle w:val="hps"/>
          <w:rFonts w:cs="Times New Roman"/>
          <w:lang w:val="pt-PT"/>
        </w:rPr>
        <w:t>Na presente</w:t>
      </w:r>
      <w:r w:rsidR="005071AE" w:rsidRPr="00C06401">
        <w:rPr>
          <w:rStyle w:val="hps"/>
          <w:rFonts w:cs="Times New Roman"/>
          <w:lang w:val="pt-PT"/>
        </w:rPr>
        <w:t xml:space="preserve"> pesquisa</w:t>
      </w:r>
      <w:r w:rsidR="005071AE" w:rsidRPr="00C06401">
        <w:rPr>
          <w:rFonts w:cs="Times New Roman"/>
          <w:lang w:val="pt-PT"/>
        </w:rPr>
        <w:t xml:space="preserve"> </w:t>
      </w:r>
      <w:r w:rsidRPr="00C06401">
        <w:rPr>
          <w:rFonts w:cs="Times New Roman"/>
          <w:lang w:val="pt-PT"/>
        </w:rPr>
        <w:t xml:space="preserve">as </w:t>
      </w:r>
      <w:r w:rsidR="005071AE" w:rsidRPr="00C06401">
        <w:rPr>
          <w:rStyle w:val="hps"/>
          <w:rFonts w:cs="Times New Roman"/>
          <w:lang w:val="pt-PT"/>
        </w:rPr>
        <w:t>regressões</w:t>
      </w:r>
      <w:r w:rsidR="005071AE" w:rsidRPr="00C06401">
        <w:rPr>
          <w:rFonts w:cs="Times New Roman"/>
          <w:lang w:val="pt-PT"/>
        </w:rPr>
        <w:t xml:space="preserve"> </w:t>
      </w:r>
      <w:r w:rsidRPr="00106369">
        <w:rPr>
          <w:rFonts w:cs="Times New Roman"/>
          <w:lang w:val="pt-PT"/>
        </w:rPr>
        <w:t xml:space="preserve">para o </w:t>
      </w:r>
      <w:r w:rsidR="005071AE" w:rsidRPr="00D968B1">
        <w:rPr>
          <w:rStyle w:val="hps"/>
          <w:rFonts w:cs="Times New Roman"/>
          <w:lang w:val="pt-PT"/>
        </w:rPr>
        <w:t>preço</w:t>
      </w:r>
      <w:r w:rsidR="005071AE" w:rsidRPr="00B73BD5">
        <w:rPr>
          <w:rFonts w:cs="Times New Roman"/>
          <w:lang w:val="pt-PT"/>
        </w:rPr>
        <w:t xml:space="preserve"> </w:t>
      </w:r>
      <w:r w:rsidR="00CC5463" w:rsidRPr="00B73BD5">
        <w:rPr>
          <w:rStyle w:val="hps"/>
          <w:rFonts w:cs="Times New Roman"/>
          <w:lang w:val="pt-PT"/>
        </w:rPr>
        <w:t>segu</w:t>
      </w:r>
      <w:r w:rsidR="00CC5463" w:rsidRPr="00173734">
        <w:rPr>
          <w:rStyle w:val="hps"/>
          <w:rFonts w:cs="Times New Roman"/>
          <w:lang w:val="pt-PT"/>
        </w:rPr>
        <w:t xml:space="preserve">iram </w:t>
      </w:r>
      <w:r w:rsidR="005071AE" w:rsidRPr="00173734">
        <w:rPr>
          <w:rStyle w:val="hps"/>
          <w:rFonts w:cs="Times New Roman"/>
          <w:lang w:val="pt-PT"/>
        </w:rPr>
        <w:t>o</w:t>
      </w:r>
      <w:r w:rsidR="005071AE" w:rsidRPr="00173734">
        <w:rPr>
          <w:rFonts w:cs="Times New Roman"/>
          <w:lang w:val="pt-PT"/>
        </w:rPr>
        <w:t xml:space="preserve"> </w:t>
      </w:r>
      <w:r w:rsidR="005071AE" w:rsidRPr="00A61973">
        <w:rPr>
          <w:rStyle w:val="hps"/>
          <w:rFonts w:cs="Times New Roman"/>
          <w:lang w:val="pt-PT"/>
        </w:rPr>
        <w:t>trabalho teórico</w:t>
      </w:r>
      <w:r w:rsidR="005071AE" w:rsidRPr="00A61973">
        <w:rPr>
          <w:rFonts w:cs="Times New Roman"/>
          <w:lang w:val="pt-PT"/>
        </w:rPr>
        <w:t xml:space="preserve"> </w:t>
      </w:r>
      <w:r w:rsidR="005071AE" w:rsidRPr="00A61973">
        <w:rPr>
          <w:rStyle w:val="hps"/>
          <w:rFonts w:cs="Times New Roman"/>
          <w:lang w:val="pt-PT"/>
        </w:rPr>
        <w:t>de</w:t>
      </w:r>
      <w:r w:rsidR="005071AE" w:rsidRPr="00A61973">
        <w:rPr>
          <w:rFonts w:cs="Times New Roman"/>
          <w:lang w:val="pt-PT"/>
        </w:rPr>
        <w:t xml:space="preserve"> </w:t>
      </w:r>
      <w:r w:rsidR="005071AE" w:rsidRPr="00A61973">
        <w:rPr>
          <w:rStyle w:val="hps"/>
          <w:rFonts w:cs="Times New Roman"/>
          <w:lang w:val="pt-PT"/>
        </w:rPr>
        <w:t>Ohlson</w:t>
      </w:r>
      <w:r w:rsidR="005071AE" w:rsidRPr="00041FA0">
        <w:rPr>
          <w:rFonts w:cs="Times New Roman"/>
          <w:lang w:val="pt-PT"/>
        </w:rPr>
        <w:t xml:space="preserve"> </w:t>
      </w:r>
      <w:r w:rsidRPr="00C06401">
        <w:rPr>
          <w:rStyle w:val="hps"/>
          <w:rFonts w:cs="Times New Roman"/>
          <w:lang w:val="pt-PT"/>
        </w:rPr>
        <w:fldChar w:fldCharType="begin" w:fldLock="1"/>
      </w:r>
      <w:r w:rsidRPr="00C06401">
        <w:rPr>
          <w:rStyle w:val="hps"/>
          <w:rFonts w:cs="Times New Roman"/>
          <w:lang w:val="pt-PT"/>
        </w:rPr>
        <w:instrText>ADDIN CSL_CITATION { "citationItems" : [ { "id" : "ITEM-1", "itemData" : { "DOI" : "10.1111/j.1911-3846.1995.tb00461.x", "ISBN" : "08239150", "ISSN" : "08239150", "abstract" : "A study develops and analyzes a model of a firm's market value as it relates to contemporaneous and future earnings, book values, and dividends. Two owners' equity accounting constructs provide the underpinnings of the model: the clean surplus relation applies, and dividends reduce current book value but do not affect current earnings. The model satisfies many appealing properties, and it provides a useful benchmark when one conceptualizes how market value relates to accounting data and other information.", "author" : [ { "dropping-particle" : "", "family" : "Ohlson", "given" : "James a.", "non-dropping-particle" : "", "parse-names" : false, "suffix" : "" } ], "container-title" : "Contemporary Accounting Research", "id" : "ITEM-1", "issue" : "2", "issued" : { "date-parts" : [ [ "1995" ] ] }, "page" : "661", "title" : "Earnings, book values, and dividends in equity valuation", "type" : "article-journal", "volume" : "11" }, "uris" : [ "http://www.mendeley.com/documents/?uuid=24950e5a-eebe-4bc9-a792-8d2034c30b01" ] } ], "mendeley" : { "formattedCitation" : "(OHLSON, 1995)", "manualFormatting" : "(1995)", "plainTextFormattedCitation" : "(OHLSON, 1995)", "previouslyFormattedCitation" : "(OHLSON, 1995)" }, "properties" : { "noteIndex" : 0 }, "schema" : "https://github.com/citation-style-language/schema/raw/master/csl-citation.json" }</w:instrText>
      </w:r>
      <w:r w:rsidRPr="00C06401">
        <w:rPr>
          <w:rStyle w:val="hps"/>
          <w:rFonts w:cs="Times New Roman"/>
          <w:lang w:val="pt-PT"/>
        </w:rPr>
        <w:fldChar w:fldCharType="separate"/>
      </w:r>
      <w:r w:rsidRPr="00C06401">
        <w:rPr>
          <w:rStyle w:val="hps"/>
          <w:rFonts w:cs="Times New Roman"/>
          <w:noProof/>
          <w:lang w:val="pt-PT"/>
        </w:rPr>
        <w:t>(1995)</w:t>
      </w:r>
      <w:r w:rsidRPr="00C06401">
        <w:rPr>
          <w:rStyle w:val="hps"/>
          <w:rFonts w:cs="Times New Roman"/>
          <w:lang w:val="pt-PT"/>
        </w:rPr>
        <w:fldChar w:fldCharType="end"/>
      </w:r>
      <w:r w:rsidR="005071AE" w:rsidRPr="00C06401">
        <w:rPr>
          <w:rFonts w:cs="Times New Roman"/>
          <w:lang w:val="pt-PT"/>
        </w:rPr>
        <w:t xml:space="preserve"> </w:t>
      </w:r>
      <w:r w:rsidR="005071AE" w:rsidRPr="00C06401">
        <w:rPr>
          <w:rStyle w:val="hps"/>
          <w:rFonts w:cs="Times New Roman"/>
          <w:lang w:val="pt-PT"/>
        </w:rPr>
        <w:t>que expressa</w:t>
      </w:r>
      <w:r w:rsidR="005071AE" w:rsidRPr="00C06401">
        <w:rPr>
          <w:rFonts w:cs="Times New Roman"/>
          <w:lang w:val="pt-PT"/>
        </w:rPr>
        <w:t xml:space="preserve"> </w:t>
      </w:r>
      <w:r w:rsidR="005071AE" w:rsidRPr="00C06401">
        <w:rPr>
          <w:rStyle w:val="hps"/>
          <w:rFonts w:cs="Times New Roman"/>
          <w:lang w:val="pt-PT"/>
        </w:rPr>
        <w:t>o valor da empresa</w:t>
      </w:r>
      <w:r w:rsidR="005071AE" w:rsidRPr="00C06401">
        <w:rPr>
          <w:rFonts w:cs="Times New Roman"/>
          <w:lang w:val="pt-PT"/>
        </w:rPr>
        <w:t xml:space="preserve"> </w:t>
      </w:r>
      <w:r w:rsidR="005071AE" w:rsidRPr="00C06401">
        <w:rPr>
          <w:rStyle w:val="hps"/>
          <w:rFonts w:cs="Times New Roman"/>
          <w:lang w:val="pt-PT"/>
        </w:rPr>
        <w:t>em função do</w:t>
      </w:r>
      <w:r w:rsidR="005071AE" w:rsidRPr="00106369">
        <w:rPr>
          <w:rFonts w:cs="Times New Roman"/>
          <w:lang w:val="pt-PT"/>
        </w:rPr>
        <w:t xml:space="preserve"> </w:t>
      </w:r>
      <w:r w:rsidR="005071AE" w:rsidRPr="00D968B1">
        <w:rPr>
          <w:rStyle w:val="hps"/>
          <w:rFonts w:cs="Times New Roman"/>
          <w:lang w:val="pt-PT"/>
        </w:rPr>
        <w:t>valor contábil</w:t>
      </w:r>
      <w:r w:rsidR="005071AE" w:rsidRPr="00B73BD5">
        <w:rPr>
          <w:rFonts w:cs="Times New Roman"/>
          <w:lang w:val="pt-PT"/>
        </w:rPr>
        <w:t xml:space="preserve"> </w:t>
      </w:r>
      <w:r w:rsidR="005071AE" w:rsidRPr="00B73BD5">
        <w:rPr>
          <w:rStyle w:val="hps"/>
          <w:rFonts w:cs="Times New Roman"/>
          <w:lang w:val="pt-PT"/>
        </w:rPr>
        <w:t>e</w:t>
      </w:r>
      <w:r w:rsidR="005071AE" w:rsidRPr="00B73BD5">
        <w:rPr>
          <w:rFonts w:cs="Times New Roman"/>
          <w:lang w:val="pt-PT"/>
        </w:rPr>
        <w:t xml:space="preserve"> </w:t>
      </w:r>
      <w:r w:rsidRPr="00B73BD5">
        <w:rPr>
          <w:rFonts w:cs="Times New Roman"/>
          <w:lang w:val="pt-PT"/>
        </w:rPr>
        <w:t xml:space="preserve">os </w:t>
      </w:r>
      <w:r w:rsidRPr="00B73BD5">
        <w:rPr>
          <w:rStyle w:val="hps"/>
          <w:rFonts w:cs="Times New Roman"/>
          <w:lang w:val="pt-PT"/>
        </w:rPr>
        <w:t>lucros</w:t>
      </w:r>
      <w:r w:rsidR="005071AE" w:rsidRPr="00173734">
        <w:rPr>
          <w:rStyle w:val="hps"/>
          <w:rFonts w:cs="Times New Roman"/>
          <w:lang w:val="pt-PT"/>
        </w:rPr>
        <w:t xml:space="preserve"> residuais</w:t>
      </w:r>
      <w:r w:rsidR="005071AE" w:rsidRPr="00173734">
        <w:rPr>
          <w:rFonts w:cs="Times New Roman"/>
          <w:lang w:val="pt-PT"/>
        </w:rPr>
        <w:t xml:space="preserve">. </w:t>
      </w:r>
      <w:r w:rsidR="005071AE" w:rsidRPr="00173734">
        <w:rPr>
          <w:rStyle w:val="hps"/>
          <w:rFonts w:cs="Times New Roman"/>
          <w:lang w:val="pt-PT"/>
        </w:rPr>
        <w:t>Semelhante a</w:t>
      </w:r>
      <w:r w:rsidR="00AD305F" w:rsidRPr="00173734">
        <w:rPr>
          <w:rStyle w:val="hps"/>
          <w:rFonts w:cs="Times New Roman"/>
          <w:lang w:val="pt-PT"/>
        </w:rPr>
        <w:t xml:space="preserve"> </w:t>
      </w:r>
      <w:r w:rsidR="00AD305F" w:rsidRPr="00C06401">
        <w:rPr>
          <w:rStyle w:val="hps"/>
          <w:rFonts w:cs="Times New Roman"/>
          <w:lang w:val="pt-PT"/>
        </w:rPr>
        <w:fldChar w:fldCharType="begin" w:fldLock="1"/>
      </w:r>
      <w:r w:rsidR="00AD305F" w:rsidRPr="00C06401">
        <w:rPr>
          <w:rStyle w:val="hps"/>
          <w:rFonts w:cs="Times New Roman"/>
          <w:lang w:val="pt-PT"/>
        </w:rPr>
        <w:instrText>ADDIN CSL_CITATION { "citationItems" : [ { "id" : "ITEM-1", "itemData" : { "DOI" : "10.1111/1468-5957.05426", "ISSN" : "0306-686X", "author" : [ { "dropping-particle" : "", "family" : "Graham", "given" : "Roger C.", "non-dropping-particle" : "", "parse-names" : false, "suffix" : "" }, { "dropping-particle" : "", "family" : "Lefanowicz", "given" : "Craig E.", "non-dropping-particle" : "", "parse-names" : false, "suffix" : "" }, { "dropping-particle" : "", "family" : "Petroni", "given" : "Kathy R.", "non-dropping-particle" : "", "parse-names" : false, "suffix" : "" } ], "container-title" : "Journal of Business Finance &lt;html_ent glyph=\"@amp;\" ascii=\"&amp;amp;\"/&gt; Accounting", "id" : "ITEM-1", "issue" : "7-8", "issued" : { "date-parts" : [ [ "2003", "9" ] ] }, "page" : "1065-1088", "title" : "The Value Relevance of Equity Method Fair Value Disclosures", "type" : "article-journal", "volume" : "30" }, "uris" : [ "http://www.mendeley.com/documents/?uuid=a9ece028-01dc-4e23-b910-7adb83c74465" ] } ], "mendeley" : { "formattedCitation" : "(GRAHAM; LEFANOWICZ; PETRONI, 2003)", "manualFormatting" : "Graham, Lefanowicz e Petroni (2003)", "plainTextFormattedCitation" : "(GRAHAM; LEFANOWICZ; PETRONI, 2003)", "previouslyFormattedCitation" : "(GRAHAM; LEFANOWICZ; PETRONI, 2003)" }, "properties" : { "noteIndex" : 0 }, "schema" : "https://github.com/citation-style-language/schema/raw/master/csl-citation.json" }</w:instrText>
      </w:r>
      <w:r w:rsidR="00AD305F" w:rsidRPr="00C06401">
        <w:rPr>
          <w:rStyle w:val="hps"/>
          <w:rFonts w:cs="Times New Roman"/>
          <w:lang w:val="pt-PT"/>
        </w:rPr>
        <w:fldChar w:fldCharType="separate"/>
      </w:r>
      <w:r w:rsidR="00AD305F" w:rsidRPr="00C06401">
        <w:rPr>
          <w:rStyle w:val="hps"/>
          <w:rFonts w:cs="Times New Roman"/>
          <w:noProof/>
          <w:lang w:val="pt-PT"/>
        </w:rPr>
        <w:t>Graham, Lefanowicz e Petroni (2003)</w:t>
      </w:r>
      <w:r w:rsidR="00AD305F" w:rsidRPr="00C06401">
        <w:rPr>
          <w:rStyle w:val="hps"/>
          <w:rFonts w:cs="Times New Roman"/>
          <w:lang w:val="pt-PT"/>
        </w:rPr>
        <w:fldChar w:fldCharType="end"/>
      </w:r>
      <w:r w:rsidR="005071AE" w:rsidRPr="00C06401">
        <w:rPr>
          <w:rFonts w:cs="Times New Roman"/>
          <w:lang w:val="pt-PT"/>
        </w:rPr>
        <w:t xml:space="preserve"> </w:t>
      </w:r>
      <w:r w:rsidR="00AD305F" w:rsidRPr="00C06401">
        <w:rPr>
          <w:rFonts w:cs="Times New Roman"/>
          <w:lang w:val="pt-PT"/>
        </w:rPr>
        <w:t>utiliza</w:t>
      </w:r>
      <w:r w:rsidR="00551E7F" w:rsidRPr="00C06401">
        <w:rPr>
          <w:rFonts w:cs="Times New Roman"/>
          <w:lang w:val="pt-PT"/>
        </w:rPr>
        <w:t>-se</w:t>
      </w:r>
      <w:r w:rsidR="00AD305F" w:rsidRPr="00C06401">
        <w:rPr>
          <w:rFonts w:cs="Times New Roman"/>
          <w:lang w:val="pt-PT"/>
        </w:rPr>
        <w:t xml:space="preserve"> a </w:t>
      </w:r>
      <w:r w:rsidR="00DA298D" w:rsidRPr="00C06401">
        <w:rPr>
          <w:rFonts w:cs="Times New Roman"/>
          <w:lang w:val="pt-PT"/>
        </w:rPr>
        <w:t>Modelo</w:t>
      </w:r>
      <w:r w:rsidR="00B01155" w:rsidRPr="00C06401">
        <w:rPr>
          <w:rFonts w:cs="Times New Roman"/>
          <w:lang w:val="pt-PT"/>
        </w:rPr>
        <w:t xml:space="preserve"> para o Valor de Mercado da empresa (</w:t>
      </w:r>
      <m:oMath>
        <m:r>
          <w:rPr>
            <w:rFonts w:ascii="Cambria Math" w:hAnsi="Cambria Math" w:cs="Times New Roman"/>
            <w:lang w:val="pt-PT"/>
          </w:rPr>
          <m:t>VME</m:t>
        </m:r>
      </m:oMath>
      <w:r w:rsidR="00B01155" w:rsidRPr="00D968B1">
        <w:rPr>
          <w:rFonts w:cs="Times New Roman"/>
          <w:lang w:val="pt-PT"/>
        </w:rPr>
        <w:t xml:space="preserve">) em função do </w:t>
      </w:r>
      <w:r w:rsidR="00E83D16">
        <w:rPr>
          <w:rFonts w:cs="Times New Roman"/>
          <w:lang w:val="pt-PT"/>
        </w:rPr>
        <w:t>p</w:t>
      </w:r>
      <w:r w:rsidR="00B01155" w:rsidRPr="00D968B1">
        <w:rPr>
          <w:rFonts w:cs="Times New Roman"/>
          <w:lang w:val="pt-PT"/>
        </w:rPr>
        <w:t xml:space="preserve">atrimônio </w:t>
      </w:r>
      <w:r w:rsidR="00E83D16">
        <w:rPr>
          <w:rFonts w:cs="Times New Roman"/>
          <w:lang w:val="pt-PT"/>
        </w:rPr>
        <w:t>l</w:t>
      </w:r>
      <w:r w:rsidR="00B01155" w:rsidRPr="00D968B1">
        <w:rPr>
          <w:rFonts w:cs="Times New Roman"/>
          <w:lang w:val="pt-PT"/>
        </w:rPr>
        <w:t xml:space="preserve">íquido, do </w:t>
      </w:r>
      <w:r w:rsidR="00E83D16">
        <w:rPr>
          <w:rFonts w:cs="Times New Roman"/>
          <w:lang w:val="pt-PT"/>
        </w:rPr>
        <w:t>l</w:t>
      </w:r>
      <w:r w:rsidR="00B01155" w:rsidRPr="00D968B1">
        <w:rPr>
          <w:rFonts w:cs="Times New Roman"/>
          <w:lang w:val="pt-PT"/>
        </w:rPr>
        <w:t xml:space="preserve">ucro </w:t>
      </w:r>
      <w:r w:rsidR="00E83D16">
        <w:rPr>
          <w:rFonts w:cs="Times New Roman"/>
          <w:lang w:val="pt-PT"/>
        </w:rPr>
        <w:t>l</w:t>
      </w:r>
      <w:r w:rsidR="00B01155" w:rsidRPr="00D968B1">
        <w:rPr>
          <w:rFonts w:cs="Times New Roman"/>
          <w:lang w:val="pt-PT"/>
        </w:rPr>
        <w:t xml:space="preserve">íquido e dos </w:t>
      </w:r>
      <w:r w:rsidR="00E83D16">
        <w:rPr>
          <w:rFonts w:cs="Times New Roman"/>
          <w:lang w:val="pt-PT"/>
        </w:rPr>
        <w:t>l</w:t>
      </w:r>
      <w:r w:rsidR="00B01155" w:rsidRPr="00D968B1">
        <w:rPr>
          <w:rFonts w:cs="Times New Roman"/>
          <w:lang w:val="pt-PT"/>
        </w:rPr>
        <w:t xml:space="preserve">ucros </w:t>
      </w:r>
      <w:r w:rsidR="00E83D16">
        <w:rPr>
          <w:rFonts w:cs="Times New Roman"/>
          <w:lang w:val="pt-PT"/>
        </w:rPr>
        <w:t>r</w:t>
      </w:r>
      <w:r w:rsidR="00B01155" w:rsidRPr="00D968B1">
        <w:rPr>
          <w:rFonts w:cs="Times New Roman"/>
          <w:lang w:val="pt-PT"/>
        </w:rPr>
        <w:t>esiduais</w:t>
      </w:r>
      <w:r w:rsidR="00551E7F" w:rsidRPr="00550963">
        <w:rPr>
          <w:rFonts w:cs="Times New Roman"/>
          <w:lang w:val="pt-PT"/>
        </w:rPr>
        <w:t xml:space="preserve">. Nesse contento, tem-se a </w:t>
      </w:r>
      <w:r w:rsidR="00551E7F" w:rsidRPr="00A1497A">
        <w:rPr>
          <w:rFonts w:cs="Times New Roman"/>
          <w:lang w:val="pt-PT"/>
        </w:rPr>
        <w:t>segunda hipótese avaliada:</w:t>
      </w:r>
    </w:p>
    <w:p w:rsidR="00551E7F" w:rsidRDefault="00551E7F" w:rsidP="00C06401">
      <w:pPr>
        <w:spacing w:line="360" w:lineRule="auto"/>
        <w:ind w:left="709"/>
        <w:jc w:val="both"/>
        <w:rPr>
          <w:rFonts w:cs="Times New Roman"/>
          <w:i/>
        </w:rPr>
      </w:pPr>
      <w:r w:rsidRPr="001954D7">
        <w:rPr>
          <w:rFonts w:cs="Times New Roman"/>
          <w:b/>
          <w:i/>
        </w:rPr>
        <w:t>H</w:t>
      </w:r>
      <w:r w:rsidRPr="001954D7">
        <w:rPr>
          <w:rFonts w:cs="Times New Roman"/>
          <w:b/>
          <w:i/>
          <w:vertAlign w:val="subscript"/>
        </w:rPr>
        <w:t>2</w:t>
      </w:r>
      <w:r w:rsidR="00F47FD4" w:rsidRPr="001954D7">
        <w:rPr>
          <w:rFonts w:cs="Times New Roman"/>
          <w:b/>
          <w:i/>
        </w:rPr>
        <w:t xml:space="preserve">: </w:t>
      </w:r>
      <w:r w:rsidRPr="001954D7">
        <w:rPr>
          <w:rFonts w:cs="Times New Roman"/>
          <w:i/>
        </w:rPr>
        <w:t>O</w:t>
      </w:r>
      <w:r w:rsidR="00E83D16">
        <w:rPr>
          <w:rFonts w:cs="Times New Roman"/>
          <w:i/>
        </w:rPr>
        <w:t>s Outros</w:t>
      </w:r>
      <w:r w:rsidRPr="001954D7">
        <w:rPr>
          <w:rFonts w:cs="Times New Roman"/>
          <w:i/>
        </w:rPr>
        <w:t xml:space="preserve"> Resultado</w:t>
      </w:r>
      <w:r w:rsidR="00E83D16">
        <w:rPr>
          <w:rFonts w:cs="Times New Roman"/>
          <w:i/>
        </w:rPr>
        <w:t>s</w:t>
      </w:r>
      <w:r w:rsidRPr="001954D7">
        <w:rPr>
          <w:rFonts w:cs="Times New Roman"/>
          <w:i/>
        </w:rPr>
        <w:t xml:space="preserve"> Abrangente</w:t>
      </w:r>
      <w:r w:rsidR="00E83D16">
        <w:rPr>
          <w:rFonts w:cs="Times New Roman"/>
          <w:i/>
        </w:rPr>
        <w:t>s</w:t>
      </w:r>
      <w:r w:rsidRPr="001954D7">
        <w:rPr>
          <w:rFonts w:cs="Times New Roman"/>
          <w:i/>
        </w:rPr>
        <w:t xml:space="preserve"> e seus componentes possuem </w:t>
      </w:r>
      <w:proofErr w:type="spellStart"/>
      <w:r w:rsidRPr="001954D7">
        <w:rPr>
          <w:rFonts w:cs="Times New Roman"/>
          <w:i/>
        </w:rPr>
        <w:t>value</w:t>
      </w:r>
      <w:proofErr w:type="spellEnd"/>
      <w:r w:rsidRPr="001954D7">
        <w:rPr>
          <w:rFonts w:cs="Times New Roman"/>
          <w:i/>
        </w:rPr>
        <w:t xml:space="preserve"> </w:t>
      </w:r>
      <w:proofErr w:type="spellStart"/>
      <w:r w:rsidRPr="001954D7">
        <w:rPr>
          <w:rFonts w:cs="Times New Roman"/>
          <w:i/>
        </w:rPr>
        <w:t>relevance</w:t>
      </w:r>
      <w:proofErr w:type="spellEnd"/>
      <w:r w:rsidRPr="001954D7">
        <w:rPr>
          <w:rFonts w:cs="Times New Roman"/>
          <w:i/>
        </w:rPr>
        <w:t xml:space="preserve"> para o mercado de capitais no Brasil.</w:t>
      </w:r>
    </w:p>
    <w:p w:rsidR="00B73BD5" w:rsidRDefault="003B7E66" w:rsidP="00C06401">
      <w:pPr>
        <w:spacing w:line="360" w:lineRule="auto"/>
        <w:ind w:firstLine="709"/>
        <w:jc w:val="both"/>
        <w:rPr>
          <w:rStyle w:val="hps"/>
          <w:rFonts w:cs="Times New Roman"/>
          <w:lang w:val="pt-PT"/>
        </w:rPr>
      </w:pPr>
      <w:r w:rsidRPr="00C06401">
        <w:rPr>
          <w:rStyle w:val="hps"/>
          <w:rFonts w:cs="Times New Roman"/>
          <w:lang w:val="pt-PT"/>
        </w:rPr>
        <w:t>B</w:t>
      </w:r>
      <w:r w:rsidR="008B6D5A" w:rsidRPr="00C06401">
        <w:rPr>
          <w:rStyle w:val="hps"/>
          <w:rFonts w:cs="Times New Roman"/>
          <w:lang w:val="pt-PT"/>
        </w:rPr>
        <w:t>usca-se</w:t>
      </w:r>
      <w:r w:rsidRPr="00C06401">
        <w:rPr>
          <w:rStyle w:val="hps"/>
          <w:rFonts w:cs="Times New Roman"/>
          <w:lang w:val="pt-PT"/>
        </w:rPr>
        <w:t>, dessa forma,</w:t>
      </w:r>
      <w:r w:rsidR="008B6D5A" w:rsidRPr="00C06401">
        <w:rPr>
          <w:rStyle w:val="hps"/>
          <w:rFonts w:cs="Times New Roman"/>
          <w:lang w:val="pt-PT"/>
        </w:rPr>
        <w:t xml:space="preserve"> </w:t>
      </w:r>
      <w:r w:rsidRPr="00C06401">
        <w:rPr>
          <w:rStyle w:val="hps"/>
          <w:rFonts w:cs="Times New Roman"/>
          <w:lang w:val="pt-PT"/>
        </w:rPr>
        <w:t>verificar</w:t>
      </w:r>
      <w:r w:rsidR="00B01155" w:rsidRPr="00106369">
        <w:rPr>
          <w:rStyle w:val="hps"/>
          <w:rFonts w:cs="Times New Roman"/>
          <w:lang w:val="pt-PT"/>
        </w:rPr>
        <w:t xml:space="preserve"> se</w:t>
      </w:r>
      <w:r w:rsidR="00B01155" w:rsidRPr="00106369">
        <w:rPr>
          <w:rFonts w:cs="Times New Roman"/>
          <w:lang w:val="pt-PT"/>
        </w:rPr>
        <w:t xml:space="preserve"> </w:t>
      </w:r>
      <w:r w:rsidR="00B01155" w:rsidRPr="00D968B1">
        <w:rPr>
          <w:rStyle w:val="hps"/>
          <w:rFonts w:cs="Times New Roman"/>
          <w:lang w:val="pt-PT"/>
        </w:rPr>
        <w:t>os preços das ações</w:t>
      </w:r>
      <w:r w:rsidR="00B01155" w:rsidRPr="00D968B1">
        <w:rPr>
          <w:rFonts w:cs="Times New Roman"/>
          <w:lang w:val="pt-PT"/>
        </w:rPr>
        <w:t xml:space="preserve"> </w:t>
      </w:r>
      <w:r w:rsidR="00B01155" w:rsidRPr="004C4B0A">
        <w:rPr>
          <w:rStyle w:val="hps"/>
          <w:rFonts w:cs="Times New Roman"/>
          <w:lang w:val="pt-PT"/>
        </w:rPr>
        <w:t>refletem a</w:t>
      </w:r>
      <w:r w:rsidR="00B01155" w:rsidRPr="00B73BD5">
        <w:rPr>
          <w:rFonts w:cs="Times New Roman"/>
          <w:lang w:val="pt-PT"/>
        </w:rPr>
        <w:t xml:space="preserve"> </w:t>
      </w:r>
      <w:r w:rsidR="00B01155" w:rsidRPr="00B73BD5">
        <w:rPr>
          <w:rStyle w:val="hps"/>
          <w:rFonts w:cs="Times New Roman"/>
          <w:lang w:val="pt-PT"/>
        </w:rPr>
        <w:t>informação incremental</w:t>
      </w:r>
      <w:r w:rsidR="00B01155" w:rsidRPr="00B73BD5">
        <w:rPr>
          <w:rFonts w:cs="Times New Roman"/>
          <w:lang w:val="pt-PT"/>
        </w:rPr>
        <w:t xml:space="preserve"> </w:t>
      </w:r>
      <w:r w:rsidR="00B01155" w:rsidRPr="00B73BD5">
        <w:rPr>
          <w:rStyle w:val="hps"/>
          <w:rFonts w:cs="Times New Roman"/>
          <w:lang w:val="pt-PT"/>
        </w:rPr>
        <w:t xml:space="preserve">divulgada </w:t>
      </w:r>
      <w:r w:rsidR="008B6D5A" w:rsidRPr="00173734">
        <w:rPr>
          <w:rStyle w:val="hps"/>
          <w:rFonts w:cs="Times New Roman"/>
          <w:lang w:val="pt-PT"/>
        </w:rPr>
        <w:t>por meio dos</w:t>
      </w:r>
      <w:r w:rsidR="00B01155" w:rsidRPr="00173734">
        <w:rPr>
          <w:rStyle w:val="hps"/>
          <w:rFonts w:cs="Times New Roman"/>
          <w:lang w:val="pt-PT"/>
        </w:rPr>
        <w:t xml:space="preserve"> componentes</w:t>
      </w:r>
      <w:r w:rsidR="00B01155" w:rsidRPr="00173734">
        <w:rPr>
          <w:rFonts w:cs="Times New Roman"/>
          <w:lang w:val="pt-PT"/>
        </w:rPr>
        <w:t xml:space="preserve"> </w:t>
      </w:r>
      <w:r w:rsidR="008B6D5A" w:rsidRPr="00173734">
        <w:rPr>
          <w:rStyle w:val="hps"/>
          <w:rFonts w:cs="Times New Roman"/>
          <w:lang w:val="pt-PT"/>
        </w:rPr>
        <w:t>dos</w:t>
      </w:r>
      <w:r w:rsidR="00E83D16">
        <w:rPr>
          <w:rStyle w:val="hps"/>
          <w:rFonts w:cs="Times New Roman"/>
          <w:lang w:val="pt-PT"/>
        </w:rPr>
        <w:t xml:space="preserve"> ORA </w:t>
      </w:r>
      <w:r w:rsidR="00B01155" w:rsidRPr="00A61973">
        <w:rPr>
          <w:rStyle w:val="hps"/>
          <w:rFonts w:cs="Times New Roman"/>
          <w:lang w:val="pt-PT"/>
        </w:rPr>
        <w:t>sobre o valor</w:t>
      </w:r>
      <w:r w:rsidR="00B01155" w:rsidRPr="00A61973">
        <w:rPr>
          <w:rFonts w:cs="Times New Roman"/>
          <w:lang w:val="pt-PT"/>
        </w:rPr>
        <w:t xml:space="preserve"> </w:t>
      </w:r>
      <w:r w:rsidR="00B01155" w:rsidRPr="00A61973">
        <w:rPr>
          <w:rStyle w:val="hps"/>
          <w:rFonts w:cs="Times New Roman"/>
          <w:lang w:val="pt-PT"/>
        </w:rPr>
        <w:t>contábil do patrimônio líquido</w:t>
      </w:r>
      <w:r w:rsidR="00B01155" w:rsidRPr="00550963">
        <w:rPr>
          <w:rFonts w:cs="Times New Roman"/>
          <w:lang w:val="pt-PT"/>
        </w:rPr>
        <w:t xml:space="preserve"> </w:t>
      </w:r>
      <w:r w:rsidR="00B01155" w:rsidRPr="00A1497A">
        <w:rPr>
          <w:rStyle w:val="hps"/>
          <w:rFonts w:cs="Times New Roman"/>
          <w:lang w:val="pt-PT"/>
        </w:rPr>
        <w:t>e lucro</w:t>
      </w:r>
      <w:r w:rsidR="00B01155" w:rsidRPr="00A1497A">
        <w:rPr>
          <w:rFonts w:cs="Times New Roman"/>
          <w:lang w:val="pt-PT"/>
        </w:rPr>
        <w:t xml:space="preserve">. </w:t>
      </w:r>
      <w:r w:rsidR="008B6D5A" w:rsidRPr="00A1497A">
        <w:rPr>
          <w:rStyle w:val="hps"/>
          <w:rFonts w:cs="Times New Roman"/>
          <w:lang w:val="pt-PT"/>
        </w:rPr>
        <w:t>Portanto,</w:t>
      </w:r>
      <w:r w:rsidR="00B01155" w:rsidRPr="00A1497A">
        <w:rPr>
          <w:rStyle w:val="hps"/>
          <w:rFonts w:cs="Times New Roman"/>
          <w:lang w:val="pt-PT"/>
        </w:rPr>
        <w:t xml:space="preserve"> </w:t>
      </w:r>
      <w:r w:rsidR="008B6D5A" w:rsidRPr="00A1497A">
        <w:rPr>
          <w:rStyle w:val="hps"/>
          <w:rFonts w:cs="Times New Roman"/>
          <w:lang w:val="pt-PT"/>
        </w:rPr>
        <w:t xml:space="preserve">para testar o </w:t>
      </w:r>
      <w:r w:rsidR="008B6D5A" w:rsidRPr="00A1497A">
        <w:rPr>
          <w:rStyle w:val="hps"/>
          <w:rFonts w:cs="Times New Roman"/>
          <w:i/>
          <w:lang w:val="pt-PT"/>
        </w:rPr>
        <w:t>value relevance</w:t>
      </w:r>
      <w:r w:rsidR="00B01155" w:rsidRPr="00A1497A">
        <w:rPr>
          <w:rFonts w:cs="Times New Roman"/>
          <w:lang w:val="pt-PT"/>
        </w:rPr>
        <w:t xml:space="preserve"> </w:t>
      </w:r>
      <w:r w:rsidR="008B6D5A" w:rsidRPr="00A1497A">
        <w:rPr>
          <w:rStyle w:val="hps"/>
          <w:rFonts w:cs="Times New Roman"/>
          <w:lang w:val="pt-PT"/>
        </w:rPr>
        <w:t>foi utilizado o</w:t>
      </w:r>
      <w:r w:rsidR="00B01155" w:rsidRPr="00A1497A">
        <w:rPr>
          <w:rStyle w:val="hps"/>
          <w:rFonts w:cs="Times New Roman"/>
          <w:lang w:val="pt-PT"/>
        </w:rPr>
        <w:t xml:space="preserve"> modelo empírico</w:t>
      </w:r>
      <w:r w:rsidR="00B01155" w:rsidRPr="00A1497A">
        <w:rPr>
          <w:rFonts w:cs="Times New Roman"/>
          <w:lang w:val="pt-PT"/>
        </w:rPr>
        <w:t xml:space="preserve"> </w:t>
      </w:r>
      <w:r w:rsidR="00B01155" w:rsidRPr="00F370D1">
        <w:rPr>
          <w:rStyle w:val="hps"/>
          <w:rFonts w:cs="Times New Roman"/>
          <w:lang w:val="pt-PT"/>
        </w:rPr>
        <w:t xml:space="preserve">que é </w:t>
      </w:r>
      <w:r w:rsidR="00B01155" w:rsidRPr="00C26179">
        <w:rPr>
          <w:rStyle w:val="hps"/>
          <w:rFonts w:cs="Times New Roman"/>
          <w:lang w:val="pt-PT"/>
        </w:rPr>
        <w:t>baseado em</w:t>
      </w:r>
      <w:r w:rsidR="00B01155" w:rsidRPr="00C26179">
        <w:rPr>
          <w:rFonts w:cs="Times New Roman"/>
          <w:lang w:val="pt-PT"/>
        </w:rPr>
        <w:t xml:space="preserve"> </w:t>
      </w:r>
      <w:r w:rsidR="00B01155" w:rsidRPr="00C26179">
        <w:rPr>
          <w:rStyle w:val="hps"/>
          <w:rFonts w:cs="Times New Roman"/>
          <w:lang w:val="pt-PT"/>
        </w:rPr>
        <w:t>uma versão expandida</w:t>
      </w:r>
      <w:r w:rsidR="00B01155" w:rsidRPr="00C26179">
        <w:rPr>
          <w:rFonts w:cs="Times New Roman"/>
          <w:lang w:val="pt-PT"/>
        </w:rPr>
        <w:t xml:space="preserve"> </w:t>
      </w:r>
      <w:r w:rsidR="008B6D5A" w:rsidRPr="00C26179">
        <w:rPr>
          <w:rFonts w:cs="Times New Roman"/>
          <w:lang w:val="pt-PT"/>
        </w:rPr>
        <w:t xml:space="preserve">apresentado </w:t>
      </w:r>
      <w:r w:rsidR="008B6D5A" w:rsidRPr="00C26179">
        <w:rPr>
          <w:rStyle w:val="hps"/>
          <w:rFonts w:cs="Times New Roman"/>
          <w:lang w:val="pt-PT"/>
        </w:rPr>
        <w:t xml:space="preserve">por </w:t>
      </w:r>
      <w:r w:rsidR="008B6D5A" w:rsidRPr="00C06401">
        <w:rPr>
          <w:rStyle w:val="hps"/>
          <w:rFonts w:cs="Times New Roman"/>
          <w:lang w:val="pt-PT"/>
        </w:rPr>
        <w:fldChar w:fldCharType="begin" w:fldLock="1"/>
      </w:r>
      <w:r w:rsidR="00551E7F" w:rsidRPr="00F377D0">
        <w:rPr>
          <w:rStyle w:val="hps"/>
          <w:rFonts w:cs="Times New Roman"/>
          <w:lang w:val="pt-PT"/>
        </w:rPr>
        <w:instrText>ADDIN CSL_CITATION { "citationItems" : [ { "id" : "ITEM-1", "itemData" : { "DOI" : "10.1016/j.jaccpubpol.2009.06.004", "ISSN" : "0278-4254", "author" : [ { "dropping-particle" : "", "family" : "Kanagaretnam", "given" : "Kiridaran", "non-dropping-particle" : "", "parse-names" : false, "suffix" : "" }, { "dropping-particle" : "", "family" : "Mathieu", "given" : "Robert", "non-dropping-particle" : "", "parse-names" : false, "suffix" : "" }, { "dropping-particle" : "", "family" : "Shehata", "given" : "Mohamed", "non-dropping-particle" : "", "parse-names" : false, "suffix" : "" } ], "container-title" : "Journal of Accounting and Public Policy", "id" : "ITEM-1", "issue" : "4", "issued" : { "date-parts" : [ [ "2009" ] ] }, "page" : "349-365", "publisher" : "Elsevier Inc.", "title" : "J . Account . Public Policy Usefulness of comprehensive income reporting in Canada", "type" : "article-journal", "volume" : "28" }, "uris" : [ "http://www.mendeley.com/documents/?uuid=cd304030-31c3-47ea-a9a3-dac29f0401c6" ] } ], "mendeley" : { "formattedCitation" : "(KANAGARETNAM; MATHIEU; SHEHATA, 2009)", "manualFormatting" : "Kanagaretnam, Mathieu e Shehata (2009)", "plainTextFormattedCitation" : "(KANAGARETNAM; MATHIEU; SHEHATA, 2009)", "previouslyFormattedCitation" : "(KANAGARETNAM; MATHIEU; SHEHATA, 2009)" }, "properties" : { "noteIndex" : 0 }, "schema" : "https://github.com/citation-style-language/schema/raw/master/csl-citation.json" }</w:instrText>
      </w:r>
      <w:r w:rsidR="008B6D5A" w:rsidRPr="00C06401">
        <w:rPr>
          <w:rStyle w:val="hps"/>
          <w:rFonts w:cs="Times New Roman"/>
          <w:lang w:val="pt-PT"/>
        </w:rPr>
        <w:fldChar w:fldCharType="separate"/>
      </w:r>
      <w:r w:rsidR="008B6D5A" w:rsidRPr="00C06401">
        <w:rPr>
          <w:rStyle w:val="hps"/>
          <w:rFonts w:cs="Times New Roman"/>
          <w:noProof/>
          <w:lang w:val="pt-PT"/>
        </w:rPr>
        <w:t>Kanagaretnam, Mathieu e</w:t>
      </w:r>
      <w:r w:rsidR="008B6D5A" w:rsidRPr="00106369">
        <w:rPr>
          <w:rStyle w:val="hps"/>
          <w:rFonts w:cs="Times New Roman"/>
          <w:noProof/>
          <w:lang w:val="pt-PT"/>
        </w:rPr>
        <w:t xml:space="preserve"> Shehata (</w:t>
      </w:r>
      <w:r w:rsidR="008B6D5A" w:rsidRPr="00D968B1">
        <w:rPr>
          <w:rStyle w:val="hps"/>
          <w:rFonts w:cs="Times New Roman"/>
          <w:noProof/>
          <w:lang w:val="pt-PT"/>
        </w:rPr>
        <w:t>2009)</w:t>
      </w:r>
      <w:r w:rsidR="008B6D5A" w:rsidRPr="00C06401">
        <w:rPr>
          <w:rStyle w:val="hps"/>
          <w:rFonts w:cs="Times New Roman"/>
          <w:lang w:val="pt-PT"/>
        </w:rPr>
        <w:fldChar w:fldCharType="end"/>
      </w:r>
      <w:r w:rsidR="00551E7F" w:rsidRPr="00C06401">
        <w:rPr>
          <w:rStyle w:val="hps"/>
          <w:rFonts w:cs="Times New Roman"/>
          <w:lang w:val="pt-PT"/>
        </w:rPr>
        <w:t xml:space="preserve"> e adaptada </w:t>
      </w:r>
      <w:r w:rsidRPr="00C06401">
        <w:rPr>
          <w:rStyle w:val="hps"/>
          <w:rFonts w:cs="Times New Roman"/>
          <w:lang w:val="pt-PT"/>
        </w:rPr>
        <w:t>conforme especificado n</w:t>
      </w:r>
      <w:r w:rsidR="001434D1" w:rsidRPr="00C06401">
        <w:rPr>
          <w:rStyle w:val="hps"/>
          <w:rFonts w:cs="Times New Roman"/>
          <w:lang w:val="pt-PT"/>
        </w:rPr>
        <w:t>as equações</w:t>
      </w:r>
      <w:r w:rsidRPr="00C06401">
        <w:rPr>
          <w:rStyle w:val="hps"/>
          <w:rFonts w:cs="Times New Roman"/>
          <w:lang w:val="pt-PT"/>
        </w:rPr>
        <w:t xml:space="preserve"> </w:t>
      </w:r>
      <w:r w:rsidR="001434D1" w:rsidRPr="00C06401">
        <w:rPr>
          <w:rStyle w:val="hps"/>
          <w:rFonts w:cs="Times New Roman"/>
          <w:lang w:val="pt-PT"/>
        </w:rPr>
        <w:t xml:space="preserve">numeradas de </w:t>
      </w:r>
      <w:r w:rsidRPr="00C06401">
        <w:rPr>
          <w:rStyle w:val="hps"/>
          <w:rFonts w:cs="Times New Roman"/>
          <w:lang w:val="pt-PT"/>
        </w:rPr>
        <w:t>6 a 10:</w:t>
      </w:r>
    </w:p>
    <w:p w:rsidR="006F308E" w:rsidRDefault="006F308E" w:rsidP="00C06401">
      <w:pPr>
        <w:spacing w:line="360" w:lineRule="auto"/>
        <w:ind w:firstLine="709"/>
        <w:jc w:val="both"/>
        <w:rPr>
          <w:rStyle w:val="hps"/>
          <w:rFonts w:cs="Times New Roman"/>
          <w:lang w:val="pt-PT"/>
        </w:rPr>
      </w:pPr>
    </w:p>
    <w:p w:rsidR="005707D1" w:rsidRPr="000334D9" w:rsidRDefault="00890852" w:rsidP="00CB0ED4">
      <w:pPr>
        <w:tabs>
          <w:tab w:val="right" w:pos="8931"/>
        </w:tabs>
        <w:spacing w:line="360" w:lineRule="auto"/>
        <w:jc w:val="both"/>
        <w:rPr>
          <w:rStyle w:val="hps"/>
          <w:rFonts w:cs="Times New Roman"/>
          <w:sz w:val="22"/>
          <w:lang w:val="pt-PT"/>
        </w:rPr>
      </w:pPr>
      <m:oMath>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P</m:t>
            </m:r>
          </m:e>
          <m:sub>
            <m:r>
              <w:rPr>
                <w:rStyle w:val="hps"/>
                <w:rFonts w:ascii="Cambria Math" w:hAnsi="Cambria Math" w:cs="Times New Roman"/>
                <w:sz w:val="22"/>
                <w:lang w:val="pt-PT"/>
              </w:rPr>
              <m:t>it</m:t>
            </m:r>
          </m:sub>
        </m:sSub>
        <m:r>
          <w:rPr>
            <w:rStyle w:val="hps"/>
            <w:rFonts w:ascii="Cambria Math" w:hAnsi="Cambria Math" w:cs="Times New Roman"/>
            <w:sz w:val="22"/>
            <w:lang w:val="pt-PT"/>
          </w:rPr>
          <m:t>=</m:t>
        </m:r>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β</m:t>
            </m:r>
          </m:e>
          <m:sub>
            <m:r>
              <w:rPr>
                <w:rStyle w:val="hps"/>
                <w:rFonts w:ascii="Cambria Math" w:hAnsi="Cambria Math" w:cs="Times New Roman"/>
                <w:sz w:val="22"/>
                <w:lang w:val="pt-PT"/>
              </w:rPr>
              <m:t>0</m:t>
            </m:r>
          </m:sub>
        </m:sSub>
        <m:r>
          <w:rPr>
            <w:rStyle w:val="hps"/>
            <w:rFonts w:ascii="Cambria Math" w:hAnsi="Cambria Math" w:cs="Times New Roman"/>
            <w:sz w:val="22"/>
            <w:lang w:val="pt-PT"/>
          </w:rPr>
          <m:t>+</m:t>
        </m:r>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β</m:t>
            </m:r>
          </m:e>
          <m:sub>
            <m:r>
              <w:rPr>
                <w:rStyle w:val="hps"/>
                <w:rFonts w:ascii="Cambria Math" w:hAnsi="Cambria Math" w:cs="Times New Roman"/>
                <w:sz w:val="22"/>
                <w:lang w:val="pt-PT"/>
              </w:rPr>
              <m:t>1</m:t>
            </m:r>
          </m:sub>
        </m:sSub>
        <m:r>
          <w:rPr>
            <w:rStyle w:val="hps"/>
            <w:rFonts w:ascii="Cambria Math" w:hAnsi="Cambria Math" w:cs="Times New Roman"/>
            <w:sz w:val="22"/>
            <w:lang w:val="pt-PT"/>
          </w:rPr>
          <m:t>VPA+</m:t>
        </m:r>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β</m:t>
            </m:r>
          </m:e>
          <m:sub>
            <m:r>
              <w:rPr>
                <w:rStyle w:val="hps"/>
                <w:rFonts w:ascii="Cambria Math" w:hAnsi="Cambria Math" w:cs="Times New Roman"/>
                <w:sz w:val="22"/>
                <w:lang w:val="pt-PT"/>
              </w:rPr>
              <m:t>2</m:t>
            </m:r>
          </m:sub>
        </m:sSub>
        <m:f>
          <m:fPr>
            <m:ctrlPr>
              <w:rPr>
                <w:rStyle w:val="hps"/>
                <w:rFonts w:ascii="Cambria Math" w:hAnsi="Cambria Math" w:cs="Times New Roman"/>
                <w:i/>
                <w:sz w:val="22"/>
                <w:lang w:val="pt-PT"/>
              </w:rPr>
            </m:ctrlPr>
          </m:fPr>
          <m:num>
            <m:r>
              <w:rPr>
                <w:rStyle w:val="hps"/>
                <w:rFonts w:ascii="Cambria Math" w:hAnsi="Cambria Math" w:cs="Times New Roman"/>
                <w:sz w:val="22"/>
                <w:lang w:val="pt-PT"/>
              </w:rPr>
              <m:t>LL</m:t>
            </m:r>
          </m:num>
          <m:den>
            <m:r>
              <w:rPr>
                <w:rStyle w:val="hps"/>
                <w:rFonts w:ascii="Cambria Math" w:hAnsi="Cambria Math" w:cs="Times New Roman"/>
                <w:sz w:val="22"/>
                <w:lang w:val="pt-PT"/>
              </w:rPr>
              <m:t>A</m:t>
            </m:r>
          </m:den>
        </m:f>
        <m:r>
          <w:rPr>
            <w:rStyle w:val="hps"/>
            <w:rFonts w:ascii="Cambria Math" w:hAnsi="Cambria Math" w:cs="Times New Roman"/>
            <w:sz w:val="22"/>
            <w:lang w:val="pt-PT"/>
          </w:rPr>
          <m:t>+</m:t>
        </m:r>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ε</m:t>
            </m:r>
          </m:e>
          <m:sub>
            <m:r>
              <w:rPr>
                <w:rStyle w:val="hps"/>
                <w:rFonts w:ascii="Cambria Math" w:hAnsi="Cambria Math" w:cs="Times New Roman"/>
                <w:sz w:val="22"/>
                <w:lang w:val="pt-PT"/>
              </w:rPr>
              <m:t>i</m:t>
            </m:r>
          </m:sub>
        </m:sSub>
      </m:oMath>
      <w:r w:rsidR="00A61973" w:rsidRPr="000334D9">
        <w:rPr>
          <w:rStyle w:val="hps"/>
          <w:rFonts w:cs="Times New Roman"/>
          <w:sz w:val="22"/>
          <w:lang w:val="pt-PT"/>
        </w:rPr>
        <w:tab/>
        <w:t>(6)</w:t>
      </w:r>
    </w:p>
    <w:p w:rsidR="005707D1" w:rsidRPr="000334D9" w:rsidRDefault="00890852" w:rsidP="00CB0ED4">
      <w:pPr>
        <w:tabs>
          <w:tab w:val="right" w:pos="8931"/>
        </w:tabs>
        <w:spacing w:line="360" w:lineRule="auto"/>
        <w:jc w:val="both"/>
        <w:rPr>
          <w:rStyle w:val="hps"/>
          <w:rFonts w:eastAsiaTheme="minorEastAsia" w:cs="Times New Roman"/>
          <w:sz w:val="22"/>
          <w:lang w:val="pt-PT"/>
        </w:rPr>
      </w:pPr>
      <m:oMath>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P</m:t>
            </m:r>
          </m:e>
          <m:sub>
            <m:r>
              <w:rPr>
                <w:rStyle w:val="hps"/>
                <w:rFonts w:ascii="Cambria Math" w:hAnsi="Cambria Math" w:cs="Times New Roman"/>
                <w:sz w:val="22"/>
                <w:lang w:val="pt-PT"/>
              </w:rPr>
              <m:t>it</m:t>
            </m:r>
          </m:sub>
        </m:sSub>
        <m:r>
          <w:rPr>
            <w:rStyle w:val="hps"/>
            <w:rFonts w:ascii="Cambria Math" w:hAnsi="Cambria Math" w:cs="Times New Roman"/>
            <w:sz w:val="22"/>
            <w:lang w:val="pt-PT"/>
          </w:rPr>
          <m:t>=</m:t>
        </m:r>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β</m:t>
            </m:r>
          </m:e>
          <m:sub>
            <m:r>
              <w:rPr>
                <w:rStyle w:val="hps"/>
                <w:rFonts w:ascii="Cambria Math" w:hAnsi="Cambria Math" w:cs="Times New Roman"/>
                <w:sz w:val="22"/>
                <w:lang w:val="pt-PT"/>
              </w:rPr>
              <m:t>0</m:t>
            </m:r>
          </m:sub>
        </m:sSub>
        <m:r>
          <w:rPr>
            <w:rStyle w:val="hps"/>
            <w:rFonts w:ascii="Cambria Math" w:hAnsi="Cambria Math" w:cs="Times New Roman"/>
            <w:sz w:val="22"/>
            <w:lang w:val="pt-PT"/>
          </w:rPr>
          <m:t>+</m:t>
        </m:r>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β</m:t>
            </m:r>
          </m:e>
          <m:sub>
            <m:r>
              <w:rPr>
                <w:rStyle w:val="hps"/>
                <w:rFonts w:ascii="Cambria Math" w:hAnsi="Cambria Math" w:cs="Times New Roman"/>
                <w:sz w:val="22"/>
                <w:lang w:val="pt-PT"/>
              </w:rPr>
              <m:t>1</m:t>
            </m:r>
          </m:sub>
        </m:sSub>
        <m:r>
          <w:rPr>
            <w:rStyle w:val="hps"/>
            <w:rFonts w:ascii="Cambria Math" w:hAnsi="Cambria Math" w:cs="Times New Roman"/>
            <w:sz w:val="22"/>
            <w:lang w:val="pt-PT"/>
          </w:rPr>
          <m:t>VPA+</m:t>
        </m:r>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β</m:t>
            </m:r>
          </m:e>
          <m:sub>
            <m:r>
              <w:rPr>
                <w:rStyle w:val="hps"/>
                <w:rFonts w:ascii="Cambria Math" w:hAnsi="Cambria Math" w:cs="Times New Roman"/>
                <w:sz w:val="22"/>
                <w:lang w:val="pt-PT"/>
              </w:rPr>
              <m:t>2</m:t>
            </m:r>
          </m:sub>
        </m:sSub>
        <m:f>
          <m:fPr>
            <m:ctrlPr>
              <w:rPr>
                <w:rStyle w:val="hps"/>
                <w:rFonts w:ascii="Cambria Math" w:hAnsi="Cambria Math" w:cs="Times New Roman"/>
                <w:i/>
                <w:sz w:val="22"/>
                <w:lang w:val="pt-PT"/>
              </w:rPr>
            </m:ctrlPr>
          </m:fPr>
          <m:num>
            <m:r>
              <w:rPr>
                <w:rStyle w:val="hps"/>
                <w:rFonts w:ascii="Cambria Math" w:hAnsi="Cambria Math" w:cs="Times New Roman"/>
                <w:sz w:val="22"/>
                <w:lang w:val="pt-PT"/>
              </w:rPr>
              <m:t>RAC</m:t>
            </m:r>
          </m:num>
          <m:den>
            <m:r>
              <w:rPr>
                <w:rStyle w:val="hps"/>
                <w:rFonts w:ascii="Cambria Math" w:hAnsi="Cambria Math" w:cs="Times New Roman"/>
                <w:sz w:val="22"/>
                <w:lang w:val="pt-PT"/>
              </w:rPr>
              <m:t>A</m:t>
            </m:r>
          </m:den>
        </m:f>
        <m:r>
          <w:rPr>
            <w:rStyle w:val="hps"/>
            <w:rFonts w:ascii="Cambria Math" w:hAnsi="Cambria Math" w:cs="Times New Roman"/>
            <w:sz w:val="22"/>
            <w:lang w:val="pt-PT"/>
          </w:rPr>
          <m:t>+</m:t>
        </m:r>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ε</m:t>
            </m:r>
          </m:e>
          <m:sub>
            <m:r>
              <w:rPr>
                <w:rStyle w:val="hps"/>
                <w:rFonts w:ascii="Cambria Math" w:hAnsi="Cambria Math" w:cs="Times New Roman"/>
                <w:sz w:val="22"/>
                <w:lang w:val="pt-PT"/>
              </w:rPr>
              <m:t>i</m:t>
            </m:r>
          </m:sub>
        </m:sSub>
      </m:oMath>
      <w:r w:rsidR="005707D1" w:rsidRPr="000334D9">
        <w:rPr>
          <w:rStyle w:val="hps"/>
          <w:rFonts w:eastAsiaTheme="minorEastAsia" w:cs="Times New Roman"/>
          <w:sz w:val="22"/>
          <w:lang w:val="pt-PT"/>
        </w:rPr>
        <w:tab/>
        <w:t>(7)</w:t>
      </w:r>
    </w:p>
    <w:p w:rsidR="005707D1" w:rsidRPr="000334D9" w:rsidRDefault="00890852" w:rsidP="00CB0ED4">
      <w:pPr>
        <w:tabs>
          <w:tab w:val="right" w:pos="8931"/>
        </w:tabs>
        <w:spacing w:line="360" w:lineRule="auto"/>
        <w:jc w:val="both"/>
        <w:rPr>
          <w:rStyle w:val="hps"/>
          <w:rFonts w:eastAsiaTheme="minorEastAsia" w:cs="Times New Roman"/>
          <w:sz w:val="22"/>
          <w:lang w:val="pt-PT"/>
        </w:rPr>
      </w:pPr>
      <m:oMath>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P</m:t>
            </m:r>
          </m:e>
          <m:sub>
            <m:r>
              <w:rPr>
                <w:rStyle w:val="hps"/>
                <w:rFonts w:ascii="Cambria Math" w:hAnsi="Cambria Math" w:cs="Times New Roman"/>
                <w:sz w:val="22"/>
                <w:lang w:val="pt-PT"/>
              </w:rPr>
              <m:t>it</m:t>
            </m:r>
          </m:sub>
        </m:sSub>
        <m:r>
          <w:rPr>
            <w:rStyle w:val="hps"/>
            <w:rFonts w:ascii="Cambria Math" w:hAnsi="Cambria Math" w:cs="Times New Roman"/>
            <w:sz w:val="22"/>
            <w:lang w:val="pt-PT"/>
          </w:rPr>
          <m:t>=</m:t>
        </m:r>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β</m:t>
            </m:r>
          </m:e>
          <m:sub>
            <m:r>
              <w:rPr>
                <w:rStyle w:val="hps"/>
                <w:rFonts w:ascii="Cambria Math" w:hAnsi="Cambria Math" w:cs="Times New Roman"/>
                <w:sz w:val="22"/>
                <w:lang w:val="pt-PT"/>
              </w:rPr>
              <m:t>0</m:t>
            </m:r>
          </m:sub>
        </m:sSub>
        <m:r>
          <w:rPr>
            <w:rStyle w:val="hps"/>
            <w:rFonts w:ascii="Cambria Math" w:hAnsi="Cambria Math" w:cs="Times New Roman"/>
            <w:sz w:val="22"/>
            <w:lang w:val="pt-PT"/>
          </w:rPr>
          <m:t>+</m:t>
        </m:r>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β</m:t>
            </m:r>
          </m:e>
          <m:sub>
            <m:r>
              <w:rPr>
                <w:rStyle w:val="hps"/>
                <w:rFonts w:ascii="Cambria Math" w:hAnsi="Cambria Math" w:cs="Times New Roman"/>
                <w:sz w:val="22"/>
                <w:lang w:val="pt-PT"/>
              </w:rPr>
              <m:t>1</m:t>
            </m:r>
          </m:sub>
        </m:sSub>
        <m:r>
          <w:rPr>
            <w:rStyle w:val="hps"/>
            <w:rFonts w:ascii="Cambria Math" w:hAnsi="Cambria Math" w:cs="Times New Roman"/>
            <w:sz w:val="22"/>
            <w:lang w:val="pt-PT"/>
          </w:rPr>
          <m:t>VPA+</m:t>
        </m:r>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β</m:t>
            </m:r>
          </m:e>
          <m:sub>
            <m:r>
              <w:rPr>
                <w:rStyle w:val="hps"/>
                <w:rFonts w:ascii="Cambria Math" w:hAnsi="Cambria Math" w:cs="Times New Roman"/>
                <w:sz w:val="22"/>
                <w:lang w:val="pt-PT"/>
              </w:rPr>
              <m:t>2</m:t>
            </m:r>
          </m:sub>
        </m:sSub>
        <m:f>
          <m:fPr>
            <m:ctrlPr>
              <w:rPr>
                <w:rStyle w:val="hps"/>
                <w:rFonts w:ascii="Cambria Math" w:hAnsi="Cambria Math" w:cs="Times New Roman"/>
                <w:i/>
                <w:sz w:val="22"/>
                <w:lang w:val="pt-PT"/>
              </w:rPr>
            </m:ctrlPr>
          </m:fPr>
          <m:num>
            <m:r>
              <w:rPr>
                <w:rStyle w:val="hps"/>
                <w:rFonts w:ascii="Cambria Math" w:hAnsi="Cambria Math" w:cs="Times New Roman"/>
                <w:sz w:val="22"/>
                <w:lang w:val="pt-PT"/>
              </w:rPr>
              <m:t>LL</m:t>
            </m:r>
          </m:num>
          <m:den>
            <m:r>
              <w:rPr>
                <w:rStyle w:val="hps"/>
                <w:rFonts w:ascii="Cambria Math" w:hAnsi="Cambria Math" w:cs="Times New Roman"/>
                <w:sz w:val="22"/>
                <w:lang w:val="pt-PT"/>
              </w:rPr>
              <m:t>A</m:t>
            </m:r>
          </m:den>
        </m:f>
        <m:r>
          <w:rPr>
            <w:rStyle w:val="hps"/>
            <w:rFonts w:ascii="Cambria Math" w:hAnsi="Cambria Math" w:cs="Times New Roman"/>
            <w:sz w:val="22"/>
            <w:lang w:val="pt-PT"/>
          </w:rPr>
          <m:t>+</m:t>
        </m:r>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β</m:t>
            </m:r>
          </m:e>
          <m:sub>
            <m:r>
              <w:rPr>
                <w:rStyle w:val="hps"/>
                <w:rFonts w:ascii="Cambria Math" w:hAnsi="Cambria Math" w:cs="Times New Roman"/>
                <w:sz w:val="22"/>
                <w:lang w:val="pt-PT"/>
              </w:rPr>
              <m:t>3</m:t>
            </m:r>
          </m:sub>
        </m:sSub>
        <m:f>
          <m:fPr>
            <m:ctrlPr>
              <w:rPr>
                <w:rStyle w:val="hps"/>
                <w:rFonts w:ascii="Cambria Math" w:hAnsi="Cambria Math" w:cs="Times New Roman"/>
                <w:i/>
                <w:sz w:val="22"/>
                <w:lang w:val="pt-PT"/>
              </w:rPr>
            </m:ctrlPr>
          </m:fPr>
          <m:num>
            <m:r>
              <w:rPr>
                <w:rStyle w:val="hps"/>
                <w:rFonts w:ascii="Cambria Math" w:hAnsi="Cambria Math" w:cs="Times New Roman"/>
                <w:sz w:val="22"/>
                <w:lang w:val="pt-PT"/>
              </w:rPr>
              <m:t>ORA</m:t>
            </m:r>
          </m:num>
          <m:den>
            <m:r>
              <w:rPr>
                <w:rStyle w:val="hps"/>
                <w:rFonts w:ascii="Cambria Math" w:hAnsi="Cambria Math" w:cs="Times New Roman"/>
                <w:sz w:val="22"/>
                <w:lang w:val="pt-PT"/>
              </w:rPr>
              <m:t>A</m:t>
            </m:r>
          </m:den>
        </m:f>
        <m:r>
          <w:rPr>
            <w:rStyle w:val="hps"/>
            <w:rFonts w:ascii="Cambria Math" w:hAnsi="Cambria Math" w:cs="Times New Roman"/>
            <w:sz w:val="22"/>
            <w:lang w:val="pt-PT"/>
          </w:rPr>
          <m:t>+</m:t>
        </m:r>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ε</m:t>
            </m:r>
          </m:e>
          <m:sub>
            <m:r>
              <w:rPr>
                <w:rStyle w:val="hps"/>
                <w:rFonts w:ascii="Cambria Math" w:hAnsi="Cambria Math" w:cs="Times New Roman"/>
                <w:sz w:val="22"/>
                <w:lang w:val="pt-PT"/>
              </w:rPr>
              <m:t>i</m:t>
            </m:r>
          </m:sub>
        </m:sSub>
      </m:oMath>
      <w:r w:rsidR="005707D1" w:rsidRPr="000334D9">
        <w:rPr>
          <w:rStyle w:val="hps"/>
          <w:rFonts w:eastAsiaTheme="minorEastAsia" w:cs="Times New Roman"/>
          <w:sz w:val="22"/>
          <w:lang w:val="pt-PT"/>
        </w:rPr>
        <w:tab/>
        <w:t>(8)</w:t>
      </w:r>
    </w:p>
    <w:p w:rsidR="005707D1" w:rsidRPr="000334D9" w:rsidRDefault="00890852" w:rsidP="00CB0ED4">
      <w:pPr>
        <w:tabs>
          <w:tab w:val="right" w:pos="8931"/>
        </w:tabs>
        <w:spacing w:line="360" w:lineRule="auto"/>
        <w:jc w:val="both"/>
        <w:rPr>
          <w:rStyle w:val="hps"/>
          <w:rFonts w:eastAsiaTheme="minorEastAsia" w:cs="Times New Roman"/>
          <w:sz w:val="22"/>
          <w:lang w:val="pt-PT"/>
        </w:rPr>
      </w:pPr>
      <m:oMath>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P</m:t>
            </m:r>
          </m:e>
          <m:sub>
            <m:r>
              <w:rPr>
                <w:rStyle w:val="hps"/>
                <w:rFonts w:ascii="Cambria Math" w:hAnsi="Cambria Math" w:cs="Times New Roman"/>
                <w:sz w:val="22"/>
                <w:lang w:val="pt-PT"/>
              </w:rPr>
              <m:t>it</m:t>
            </m:r>
          </m:sub>
        </m:sSub>
        <m:r>
          <w:rPr>
            <w:rStyle w:val="hps"/>
            <w:rFonts w:ascii="Cambria Math" w:hAnsi="Cambria Math" w:cs="Times New Roman"/>
            <w:sz w:val="22"/>
            <w:lang w:val="pt-PT"/>
          </w:rPr>
          <m:t>=</m:t>
        </m:r>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β</m:t>
            </m:r>
          </m:e>
          <m:sub>
            <m:r>
              <w:rPr>
                <w:rStyle w:val="hps"/>
                <w:rFonts w:ascii="Cambria Math" w:hAnsi="Cambria Math" w:cs="Times New Roman"/>
                <w:sz w:val="22"/>
                <w:lang w:val="pt-PT"/>
              </w:rPr>
              <m:t>0</m:t>
            </m:r>
          </m:sub>
        </m:sSub>
        <m:r>
          <w:rPr>
            <w:rStyle w:val="hps"/>
            <w:rFonts w:ascii="Cambria Math" w:hAnsi="Cambria Math" w:cs="Times New Roman"/>
            <w:sz w:val="22"/>
            <w:lang w:val="pt-PT"/>
          </w:rPr>
          <m:t>+</m:t>
        </m:r>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β</m:t>
            </m:r>
          </m:e>
          <m:sub>
            <m:r>
              <w:rPr>
                <w:rStyle w:val="hps"/>
                <w:rFonts w:ascii="Cambria Math" w:hAnsi="Cambria Math" w:cs="Times New Roman"/>
                <w:sz w:val="22"/>
                <w:lang w:val="pt-PT"/>
              </w:rPr>
              <m:t>1</m:t>
            </m:r>
          </m:sub>
        </m:sSub>
        <m:r>
          <w:rPr>
            <w:rStyle w:val="hps"/>
            <w:rFonts w:ascii="Cambria Math" w:hAnsi="Cambria Math" w:cs="Times New Roman"/>
            <w:sz w:val="22"/>
            <w:lang w:val="pt-PT"/>
          </w:rPr>
          <m:t>VPA+</m:t>
        </m:r>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β</m:t>
            </m:r>
          </m:e>
          <m:sub>
            <m:r>
              <w:rPr>
                <w:rStyle w:val="hps"/>
                <w:rFonts w:ascii="Cambria Math" w:hAnsi="Cambria Math" w:cs="Times New Roman"/>
                <w:sz w:val="22"/>
                <w:lang w:val="pt-PT"/>
              </w:rPr>
              <m:t>2</m:t>
            </m:r>
          </m:sub>
        </m:sSub>
        <m:f>
          <m:fPr>
            <m:ctrlPr>
              <w:rPr>
                <w:rStyle w:val="hps"/>
                <w:rFonts w:ascii="Cambria Math" w:hAnsi="Cambria Math" w:cs="Times New Roman"/>
                <w:i/>
                <w:sz w:val="22"/>
                <w:lang w:val="pt-PT"/>
              </w:rPr>
            </m:ctrlPr>
          </m:fPr>
          <m:num>
            <m:r>
              <w:rPr>
                <w:rStyle w:val="hps"/>
                <w:rFonts w:ascii="Cambria Math" w:hAnsi="Cambria Math" w:cs="Times New Roman"/>
                <w:sz w:val="22"/>
                <w:lang w:val="pt-PT"/>
              </w:rPr>
              <m:t>LL</m:t>
            </m:r>
          </m:num>
          <m:den>
            <m:r>
              <w:rPr>
                <w:rStyle w:val="hps"/>
                <w:rFonts w:ascii="Cambria Math" w:hAnsi="Cambria Math" w:cs="Times New Roman"/>
                <w:sz w:val="22"/>
                <w:lang w:val="pt-PT"/>
              </w:rPr>
              <m:t>A</m:t>
            </m:r>
          </m:den>
        </m:f>
        <m:r>
          <w:rPr>
            <w:rStyle w:val="hps"/>
            <w:rFonts w:ascii="Cambria Math" w:hAnsi="Cambria Math" w:cs="Times New Roman"/>
            <w:sz w:val="22"/>
            <w:lang w:val="pt-PT"/>
          </w:rPr>
          <m:t>+</m:t>
        </m:r>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β</m:t>
            </m:r>
          </m:e>
          <m:sub>
            <m:r>
              <w:rPr>
                <w:rStyle w:val="hps"/>
                <w:rFonts w:ascii="Cambria Math" w:hAnsi="Cambria Math" w:cs="Times New Roman"/>
                <w:sz w:val="22"/>
                <w:lang w:val="pt-PT"/>
              </w:rPr>
              <m:t>3</m:t>
            </m:r>
          </m:sub>
        </m:sSub>
        <m:f>
          <m:fPr>
            <m:ctrlPr>
              <w:rPr>
                <w:rStyle w:val="hps"/>
                <w:rFonts w:ascii="Cambria Math" w:hAnsi="Cambria Math" w:cs="Times New Roman"/>
                <w:i/>
                <w:sz w:val="22"/>
                <w:lang w:val="pt-PT"/>
              </w:rPr>
            </m:ctrlPr>
          </m:fPr>
          <m:num>
            <m:r>
              <w:rPr>
                <w:rStyle w:val="hps"/>
                <w:rFonts w:ascii="Cambria Math" w:hAnsi="Cambria Math" w:cs="Times New Roman"/>
                <w:sz w:val="22"/>
                <w:lang w:val="pt-PT"/>
              </w:rPr>
              <m:t>VM</m:t>
            </m:r>
          </m:num>
          <m:den>
            <m:r>
              <w:rPr>
                <w:rStyle w:val="hps"/>
                <w:rFonts w:ascii="Cambria Math" w:hAnsi="Cambria Math" w:cs="Times New Roman"/>
                <w:sz w:val="22"/>
                <w:lang w:val="pt-PT"/>
              </w:rPr>
              <m:t>A</m:t>
            </m:r>
          </m:den>
        </m:f>
        <m:r>
          <w:rPr>
            <w:rStyle w:val="hps"/>
            <w:rFonts w:ascii="Cambria Math" w:hAnsi="Cambria Math" w:cs="Times New Roman"/>
            <w:sz w:val="22"/>
            <w:lang w:val="pt-PT"/>
          </w:rPr>
          <m:t>+</m:t>
        </m:r>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β</m:t>
            </m:r>
          </m:e>
          <m:sub>
            <m:r>
              <w:rPr>
                <w:rStyle w:val="hps"/>
                <w:rFonts w:ascii="Cambria Math" w:hAnsi="Cambria Math" w:cs="Times New Roman"/>
                <w:sz w:val="22"/>
                <w:lang w:val="pt-PT"/>
              </w:rPr>
              <m:t>4</m:t>
            </m:r>
          </m:sub>
        </m:sSub>
        <m:f>
          <m:fPr>
            <m:ctrlPr>
              <w:rPr>
                <w:rStyle w:val="hps"/>
                <w:rFonts w:ascii="Cambria Math" w:hAnsi="Cambria Math" w:cs="Times New Roman"/>
                <w:i/>
                <w:sz w:val="22"/>
                <w:lang w:val="pt-PT"/>
              </w:rPr>
            </m:ctrlPr>
          </m:fPr>
          <m:num>
            <m:r>
              <w:rPr>
                <w:rStyle w:val="hps"/>
                <w:rFonts w:ascii="Cambria Math" w:hAnsi="Cambria Math" w:cs="Times New Roman"/>
                <w:sz w:val="22"/>
                <w:lang w:val="pt-PT"/>
              </w:rPr>
              <m:t>NVM</m:t>
            </m:r>
          </m:num>
          <m:den>
            <m:r>
              <w:rPr>
                <w:rStyle w:val="hps"/>
                <w:rFonts w:ascii="Cambria Math" w:hAnsi="Cambria Math" w:cs="Times New Roman"/>
                <w:sz w:val="22"/>
                <w:lang w:val="pt-PT"/>
              </w:rPr>
              <m:t>A</m:t>
            </m:r>
          </m:den>
        </m:f>
        <m:r>
          <w:rPr>
            <w:rStyle w:val="hps"/>
            <w:rFonts w:ascii="Cambria Math" w:hAnsi="Cambria Math" w:cs="Times New Roman"/>
            <w:sz w:val="22"/>
            <w:lang w:val="pt-PT"/>
          </w:rPr>
          <m:t>+</m:t>
        </m:r>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ε</m:t>
            </m:r>
          </m:e>
          <m:sub>
            <m:r>
              <w:rPr>
                <w:rStyle w:val="hps"/>
                <w:rFonts w:ascii="Cambria Math" w:hAnsi="Cambria Math" w:cs="Times New Roman"/>
                <w:sz w:val="22"/>
                <w:lang w:val="pt-PT"/>
              </w:rPr>
              <m:t>i</m:t>
            </m:r>
          </m:sub>
        </m:sSub>
      </m:oMath>
      <w:r w:rsidR="00CC2DEB" w:rsidRPr="000334D9">
        <w:rPr>
          <w:rStyle w:val="hps"/>
          <w:rFonts w:eastAsiaTheme="minorEastAsia" w:cs="Times New Roman"/>
          <w:sz w:val="22"/>
          <w:lang w:val="pt-PT"/>
        </w:rPr>
        <w:tab/>
        <w:t>(9)</w:t>
      </w:r>
    </w:p>
    <w:p w:rsidR="00CC2DEB" w:rsidRPr="000334D9" w:rsidRDefault="00890852" w:rsidP="00CB0ED4">
      <w:pPr>
        <w:tabs>
          <w:tab w:val="right" w:pos="8931"/>
        </w:tabs>
        <w:spacing w:line="360" w:lineRule="auto"/>
        <w:jc w:val="both"/>
        <w:rPr>
          <w:rStyle w:val="hps"/>
          <w:rFonts w:cs="Times New Roman"/>
          <w:sz w:val="22"/>
          <w:lang w:val="pt-PT"/>
        </w:rPr>
      </w:pPr>
      <m:oMath>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P</m:t>
            </m:r>
          </m:e>
          <m:sub>
            <m:r>
              <w:rPr>
                <w:rStyle w:val="hps"/>
                <w:rFonts w:ascii="Cambria Math" w:hAnsi="Cambria Math" w:cs="Times New Roman"/>
                <w:sz w:val="22"/>
                <w:lang w:val="pt-PT"/>
              </w:rPr>
              <m:t>it</m:t>
            </m:r>
          </m:sub>
        </m:sSub>
        <m:r>
          <w:rPr>
            <w:rStyle w:val="hps"/>
            <w:rFonts w:ascii="Cambria Math" w:hAnsi="Cambria Math" w:cs="Times New Roman"/>
            <w:sz w:val="22"/>
            <w:lang w:val="pt-PT"/>
          </w:rPr>
          <m:t>=</m:t>
        </m:r>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β</m:t>
            </m:r>
          </m:e>
          <m:sub>
            <m:r>
              <w:rPr>
                <w:rStyle w:val="hps"/>
                <w:rFonts w:ascii="Cambria Math" w:hAnsi="Cambria Math" w:cs="Times New Roman"/>
                <w:sz w:val="22"/>
                <w:lang w:val="pt-PT"/>
              </w:rPr>
              <m:t>0</m:t>
            </m:r>
          </m:sub>
        </m:sSub>
        <m:r>
          <w:rPr>
            <w:rStyle w:val="hps"/>
            <w:rFonts w:ascii="Cambria Math" w:hAnsi="Cambria Math" w:cs="Times New Roman"/>
            <w:sz w:val="22"/>
            <w:lang w:val="pt-PT"/>
          </w:rPr>
          <m:t>+</m:t>
        </m:r>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β</m:t>
            </m:r>
          </m:e>
          <m:sub>
            <m:r>
              <w:rPr>
                <w:rStyle w:val="hps"/>
                <w:rFonts w:ascii="Cambria Math" w:hAnsi="Cambria Math" w:cs="Times New Roman"/>
                <w:sz w:val="22"/>
                <w:lang w:val="pt-PT"/>
              </w:rPr>
              <m:t>1</m:t>
            </m:r>
          </m:sub>
        </m:sSub>
        <m:r>
          <w:rPr>
            <w:rStyle w:val="hps"/>
            <w:rFonts w:ascii="Cambria Math" w:hAnsi="Cambria Math" w:cs="Times New Roman"/>
            <w:sz w:val="22"/>
            <w:lang w:val="pt-PT"/>
          </w:rPr>
          <m:t>VPA+</m:t>
        </m:r>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β</m:t>
            </m:r>
          </m:e>
          <m:sub>
            <m:r>
              <w:rPr>
                <w:rStyle w:val="hps"/>
                <w:rFonts w:ascii="Cambria Math" w:hAnsi="Cambria Math" w:cs="Times New Roman"/>
                <w:sz w:val="22"/>
                <w:lang w:val="pt-PT"/>
              </w:rPr>
              <m:t>2</m:t>
            </m:r>
          </m:sub>
        </m:sSub>
        <m:f>
          <m:fPr>
            <m:ctrlPr>
              <w:rPr>
                <w:rStyle w:val="hps"/>
                <w:rFonts w:ascii="Cambria Math" w:hAnsi="Cambria Math" w:cs="Times New Roman"/>
                <w:i/>
                <w:sz w:val="22"/>
                <w:lang w:val="pt-PT"/>
              </w:rPr>
            </m:ctrlPr>
          </m:fPr>
          <m:num>
            <m:r>
              <w:rPr>
                <w:rStyle w:val="hps"/>
                <w:rFonts w:ascii="Cambria Math" w:hAnsi="Cambria Math" w:cs="Times New Roman"/>
                <w:sz w:val="22"/>
                <w:lang w:val="pt-PT"/>
              </w:rPr>
              <m:t>LL</m:t>
            </m:r>
          </m:num>
          <m:den>
            <m:r>
              <w:rPr>
                <w:rStyle w:val="hps"/>
                <w:rFonts w:ascii="Cambria Math" w:hAnsi="Cambria Math" w:cs="Times New Roman"/>
                <w:sz w:val="22"/>
                <w:lang w:val="pt-PT"/>
              </w:rPr>
              <m:t>A</m:t>
            </m:r>
          </m:den>
        </m:f>
        <m:r>
          <w:rPr>
            <w:rStyle w:val="hps"/>
            <w:rFonts w:ascii="Cambria Math" w:hAnsi="Cambria Math" w:cs="Times New Roman"/>
            <w:sz w:val="22"/>
            <w:lang w:val="pt-PT"/>
          </w:rPr>
          <m:t>+</m:t>
        </m:r>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β</m:t>
            </m:r>
          </m:e>
          <m:sub>
            <m:r>
              <w:rPr>
                <w:rStyle w:val="hps"/>
                <w:rFonts w:ascii="Cambria Math" w:hAnsi="Cambria Math" w:cs="Times New Roman"/>
                <w:sz w:val="22"/>
                <w:lang w:val="pt-PT"/>
              </w:rPr>
              <m:t>3</m:t>
            </m:r>
          </m:sub>
        </m:sSub>
        <m:f>
          <m:fPr>
            <m:ctrlPr>
              <w:rPr>
                <w:rStyle w:val="hps"/>
                <w:rFonts w:ascii="Cambria Math" w:hAnsi="Cambria Math" w:cs="Times New Roman"/>
                <w:i/>
                <w:sz w:val="22"/>
                <w:lang w:val="pt-PT"/>
              </w:rPr>
            </m:ctrlPr>
          </m:fPr>
          <m:num>
            <m:r>
              <w:rPr>
                <w:rStyle w:val="hps"/>
                <w:rFonts w:ascii="Cambria Math" w:hAnsi="Cambria Math" w:cs="Times New Roman"/>
                <w:sz w:val="22"/>
                <w:lang w:val="pt-PT"/>
              </w:rPr>
              <m:t>VM</m:t>
            </m:r>
          </m:num>
          <m:den>
            <m:r>
              <w:rPr>
                <w:rStyle w:val="hps"/>
                <w:rFonts w:ascii="Cambria Math" w:hAnsi="Cambria Math" w:cs="Times New Roman"/>
                <w:sz w:val="22"/>
                <w:lang w:val="pt-PT"/>
              </w:rPr>
              <m:t>A</m:t>
            </m:r>
          </m:den>
        </m:f>
        <m:r>
          <w:rPr>
            <w:rStyle w:val="hps"/>
            <w:rFonts w:ascii="Cambria Math" w:hAnsi="Cambria Math" w:cs="Times New Roman"/>
            <w:sz w:val="22"/>
            <w:lang w:val="pt-PT"/>
          </w:rPr>
          <m:t>+</m:t>
        </m:r>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β</m:t>
            </m:r>
          </m:e>
          <m:sub>
            <m:r>
              <w:rPr>
                <w:rStyle w:val="hps"/>
                <w:rFonts w:ascii="Cambria Math" w:hAnsi="Cambria Math" w:cs="Times New Roman"/>
                <w:sz w:val="22"/>
                <w:lang w:val="pt-PT"/>
              </w:rPr>
              <m:t>4</m:t>
            </m:r>
          </m:sub>
        </m:sSub>
        <m:f>
          <m:fPr>
            <m:ctrlPr>
              <w:rPr>
                <w:rStyle w:val="hps"/>
                <w:rFonts w:ascii="Cambria Math" w:hAnsi="Cambria Math" w:cs="Times New Roman"/>
                <w:i/>
                <w:sz w:val="22"/>
                <w:lang w:val="pt-PT"/>
              </w:rPr>
            </m:ctrlPr>
          </m:fPr>
          <m:num>
            <m:r>
              <w:rPr>
                <w:rStyle w:val="hps"/>
                <w:rFonts w:ascii="Cambria Math" w:hAnsi="Cambria Math" w:cs="Times New Roman"/>
                <w:sz w:val="22"/>
                <w:lang w:val="pt-PT"/>
              </w:rPr>
              <m:t>CON</m:t>
            </m:r>
          </m:num>
          <m:den>
            <m:r>
              <w:rPr>
                <w:rStyle w:val="hps"/>
                <w:rFonts w:ascii="Cambria Math" w:hAnsi="Cambria Math" w:cs="Times New Roman"/>
                <w:sz w:val="22"/>
                <w:lang w:val="pt-PT"/>
              </w:rPr>
              <m:t>A</m:t>
            </m:r>
          </m:den>
        </m:f>
        <m:r>
          <w:rPr>
            <w:rStyle w:val="hps"/>
            <w:rFonts w:ascii="Cambria Math" w:hAnsi="Cambria Math" w:cs="Times New Roman"/>
            <w:sz w:val="22"/>
            <w:lang w:val="pt-PT"/>
          </w:rPr>
          <m:t>+</m:t>
        </m:r>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β</m:t>
            </m:r>
          </m:e>
          <m:sub>
            <m:r>
              <w:rPr>
                <w:rStyle w:val="hps"/>
                <w:rFonts w:ascii="Cambria Math" w:hAnsi="Cambria Math" w:cs="Times New Roman"/>
                <w:sz w:val="22"/>
                <w:lang w:val="pt-PT"/>
              </w:rPr>
              <m:t>5</m:t>
            </m:r>
          </m:sub>
        </m:sSub>
        <m:f>
          <m:fPr>
            <m:ctrlPr>
              <w:rPr>
                <w:rStyle w:val="hps"/>
                <w:rFonts w:ascii="Cambria Math" w:hAnsi="Cambria Math" w:cs="Times New Roman"/>
                <w:i/>
                <w:sz w:val="22"/>
                <w:lang w:val="pt-PT"/>
              </w:rPr>
            </m:ctrlPr>
          </m:fPr>
          <m:num>
            <m:r>
              <w:rPr>
                <w:rStyle w:val="hps"/>
                <w:rFonts w:ascii="Cambria Math" w:hAnsi="Cambria Math" w:cs="Times New Roman"/>
                <w:sz w:val="22"/>
                <w:lang w:val="pt-PT"/>
              </w:rPr>
              <m:t>PEN</m:t>
            </m:r>
          </m:num>
          <m:den>
            <m:r>
              <w:rPr>
                <w:rStyle w:val="hps"/>
                <w:rFonts w:ascii="Cambria Math" w:hAnsi="Cambria Math" w:cs="Times New Roman"/>
                <w:sz w:val="22"/>
                <w:lang w:val="pt-PT"/>
              </w:rPr>
              <m:t>A</m:t>
            </m:r>
          </m:den>
        </m:f>
        <m:r>
          <w:rPr>
            <w:rStyle w:val="hps"/>
            <w:rFonts w:ascii="Cambria Math" w:hAnsi="Cambria Math" w:cs="Times New Roman"/>
            <w:sz w:val="22"/>
            <w:lang w:val="pt-PT"/>
          </w:rPr>
          <m:t>+</m:t>
        </m:r>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β</m:t>
            </m:r>
          </m:e>
          <m:sub>
            <m:r>
              <w:rPr>
                <w:rStyle w:val="hps"/>
                <w:rFonts w:ascii="Cambria Math" w:hAnsi="Cambria Math" w:cs="Times New Roman"/>
                <w:sz w:val="22"/>
                <w:lang w:val="pt-PT"/>
              </w:rPr>
              <m:t>6</m:t>
            </m:r>
          </m:sub>
        </m:sSub>
        <m:f>
          <m:fPr>
            <m:ctrlPr>
              <w:rPr>
                <w:rStyle w:val="hps"/>
                <w:rFonts w:ascii="Cambria Math" w:hAnsi="Cambria Math" w:cs="Times New Roman"/>
                <w:i/>
                <w:sz w:val="22"/>
                <w:lang w:val="pt-PT"/>
              </w:rPr>
            </m:ctrlPr>
          </m:fPr>
          <m:num>
            <m:r>
              <w:rPr>
                <w:rStyle w:val="hps"/>
                <w:rFonts w:ascii="Cambria Math" w:hAnsi="Cambria Math" w:cs="Times New Roman"/>
                <w:sz w:val="22"/>
                <w:lang w:val="pt-PT"/>
              </w:rPr>
              <m:t>HED</m:t>
            </m:r>
          </m:num>
          <m:den>
            <m:r>
              <w:rPr>
                <w:rStyle w:val="hps"/>
                <w:rFonts w:ascii="Cambria Math" w:hAnsi="Cambria Math" w:cs="Times New Roman"/>
                <w:sz w:val="22"/>
                <w:lang w:val="pt-PT"/>
              </w:rPr>
              <m:t>A</m:t>
            </m:r>
          </m:den>
        </m:f>
        <m:r>
          <w:rPr>
            <w:rStyle w:val="hps"/>
            <w:rFonts w:ascii="Cambria Math" w:hAnsi="Cambria Math" w:cs="Times New Roman"/>
            <w:sz w:val="22"/>
            <w:lang w:val="pt-PT"/>
          </w:rPr>
          <m:t>+</m:t>
        </m:r>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ε</m:t>
            </m:r>
          </m:e>
          <m:sub>
            <m:r>
              <w:rPr>
                <w:rStyle w:val="hps"/>
                <w:rFonts w:ascii="Cambria Math" w:hAnsi="Cambria Math" w:cs="Times New Roman"/>
                <w:sz w:val="22"/>
                <w:lang w:val="pt-PT"/>
              </w:rPr>
              <m:t>i</m:t>
            </m:r>
          </m:sub>
        </m:sSub>
      </m:oMath>
      <w:r w:rsidR="00F73179" w:rsidRPr="000334D9">
        <w:rPr>
          <w:rStyle w:val="hps"/>
          <w:rFonts w:eastAsiaTheme="minorEastAsia" w:cs="Times New Roman"/>
          <w:sz w:val="22"/>
          <w:lang w:val="pt-PT"/>
        </w:rPr>
        <w:tab/>
        <w:t>(10)</w:t>
      </w:r>
    </w:p>
    <w:p w:rsidR="00CB0ED4" w:rsidRDefault="00CB0ED4" w:rsidP="007A4095">
      <w:pPr>
        <w:spacing w:line="360" w:lineRule="auto"/>
        <w:ind w:firstLine="709"/>
        <w:jc w:val="both"/>
        <w:rPr>
          <w:rFonts w:cs="Times New Roman"/>
        </w:rPr>
      </w:pPr>
    </w:p>
    <w:p w:rsidR="00C50DFF" w:rsidRDefault="00C50DFF" w:rsidP="007A4095">
      <w:pPr>
        <w:spacing w:line="360" w:lineRule="auto"/>
        <w:ind w:firstLine="709"/>
        <w:jc w:val="both"/>
        <w:rPr>
          <w:rFonts w:cs="Times New Roman"/>
        </w:rPr>
      </w:pPr>
      <w:r>
        <w:rPr>
          <w:rFonts w:cs="Times New Roman"/>
        </w:rPr>
        <w:t>Nestes modelos as variáveis são assim definidas:</w:t>
      </w:r>
    </w:p>
    <w:p w:rsidR="00C50DFF" w:rsidRPr="00C50DFF" w:rsidRDefault="00890852" w:rsidP="00F377D0">
      <w:pPr>
        <w:pStyle w:val="PargrafodaLista"/>
        <w:numPr>
          <w:ilvl w:val="0"/>
          <w:numId w:val="10"/>
        </w:numPr>
        <w:spacing w:line="360" w:lineRule="auto"/>
        <w:ind w:left="993" w:hanging="284"/>
        <w:contextualSpacing w:val="0"/>
        <w:jc w:val="both"/>
        <w:rPr>
          <w:rFonts w:cs="Times New Roman"/>
        </w:rPr>
      </w:pPr>
      <m:oMath>
        <m:sSub>
          <m:sSubPr>
            <m:ctrlPr>
              <w:rPr>
                <w:rStyle w:val="hps"/>
                <w:rFonts w:ascii="Cambria Math" w:hAnsi="Cambria Math" w:cs="Times New Roman"/>
                <w:i/>
                <w:sz w:val="22"/>
                <w:lang w:val="pt-PT"/>
              </w:rPr>
            </m:ctrlPr>
          </m:sSubPr>
          <m:e>
            <m:r>
              <w:rPr>
                <w:rStyle w:val="hps"/>
                <w:rFonts w:ascii="Cambria Math" w:hAnsi="Cambria Math" w:cs="Times New Roman"/>
                <w:sz w:val="22"/>
                <w:lang w:val="pt-PT"/>
              </w:rPr>
              <m:t>P</m:t>
            </m:r>
          </m:e>
          <m:sub>
            <m:r>
              <w:rPr>
                <w:rStyle w:val="hps"/>
                <w:rFonts w:ascii="Cambria Math" w:hAnsi="Cambria Math" w:cs="Times New Roman"/>
                <w:sz w:val="22"/>
                <w:lang w:val="pt-PT"/>
              </w:rPr>
              <m:t>it</m:t>
            </m:r>
          </m:sub>
        </m:sSub>
      </m:oMath>
      <w:r w:rsidR="003A2B99" w:rsidRPr="00C50DFF">
        <w:rPr>
          <w:rFonts w:cs="Times New Roman"/>
          <w:szCs w:val="24"/>
        </w:rPr>
        <w:t xml:space="preserve"> </w:t>
      </w:r>
      <w:proofErr w:type="gramStart"/>
      <w:r w:rsidR="001434D1" w:rsidRPr="00C50DFF">
        <w:rPr>
          <w:rFonts w:cs="Times New Roman"/>
          <w:szCs w:val="24"/>
        </w:rPr>
        <w:t>expressa</w:t>
      </w:r>
      <w:proofErr w:type="gramEnd"/>
      <w:r w:rsidR="001434D1" w:rsidRPr="00C50DFF">
        <w:rPr>
          <w:rFonts w:cs="Times New Roman"/>
          <w:szCs w:val="24"/>
        </w:rPr>
        <w:t xml:space="preserve"> a c</w:t>
      </w:r>
      <w:r w:rsidR="003A2B99" w:rsidRPr="00C50DFF">
        <w:rPr>
          <w:rFonts w:cs="Times New Roman"/>
          <w:szCs w:val="24"/>
        </w:rPr>
        <w:t>otação da ação 04 meses a</w:t>
      </w:r>
      <w:r w:rsidR="001434D1" w:rsidRPr="00C50DFF">
        <w:rPr>
          <w:rFonts w:cs="Times New Roman"/>
          <w:szCs w:val="24"/>
        </w:rPr>
        <w:t>pós o encerramento do exercício, no último dia útil de abril de cada ano</w:t>
      </w:r>
      <w:r w:rsidR="00C50DFF">
        <w:rPr>
          <w:rFonts w:cs="Times New Roman"/>
          <w:szCs w:val="24"/>
        </w:rPr>
        <w:t>;</w:t>
      </w:r>
    </w:p>
    <w:p w:rsidR="00A93580" w:rsidRPr="00A93580" w:rsidRDefault="00C50DFF" w:rsidP="00F377D0">
      <w:pPr>
        <w:pStyle w:val="PargrafodaLista"/>
        <w:numPr>
          <w:ilvl w:val="0"/>
          <w:numId w:val="10"/>
        </w:numPr>
        <w:spacing w:line="360" w:lineRule="auto"/>
        <w:ind w:left="993" w:hanging="284"/>
        <w:contextualSpacing w:val="0"/>
        <w:jc w:val="both"/>
        <w:rPr>
          <w:rFonts w:cs="Times New Roman"/>
        </w:rPr>
      </w:pPr>
      <m:oMath>
        <m:r>
          <w:rPr>
            <w:rStyle w:val="hps"/>
            <w:rFonts w:ascii="Cambria Math" w:hAnsi="Cambria Math" w:cs="Times New Roman"/>
            <w:sz w:val="22"/>
            <w:lang w:val="pt-PT"/>
          </w:rPr>
          <m:t>VPA</m:t>
        </m:r>
      </m:oMath>
      <w:r w:rsidR="003A2B99" w:rsidRPr="00C50DFF">
        <w:rPr>
          <w:rFonts w:cs="Times New Roman"/>
          <w:szCs w:val="24"/>
        </w:rPr>
        <w:t xml:space="preserve"> </w:t>
      </w:r>
      <w:proofErr w:type="gramStart"/>
      <w:r w:rsidR="005E5ACD" w:rsidRPr="00C50DFF">
        <w:rPr>
          <w:rFonts w:cs="Times New Roman"/>
          <w:szCs w:val="24"/>
        </w:rPr>
        <w:t>é</w:t>
      </w:r>
      <w:proofErr w:type="gramEnd"/>
      <w:r w:rsidR="005E5ACD" w:rsidRPr="00C50DFF">
        <w:rPr>
          <w:rFonts w:cs="Times New Roman"/>
          <w:szCs w:val="24"/>
        </w:rPr>
        <w:t xml:space="preserve"> o</w:t>
      </w:r>
      <w:r w:rsidR="003A2B99" w:rsidRPr="00C50DFF">
        <w:rPr>
          <w:rFonts w:cs="Times New Roman"/>
          <w:szCs w:val="24"/>
        </w:rPr>
        <w:t xml:space="preserve"> </w:t>
      </w:r>
      <w:r w:rsidR="005E5ACD" w:rsidRPr="00C50DFF">
        <w:rPr>
          <w:rFonts w:cs="Times New Roman"/>
          <w:szCs w:val="24"/>
        </w:rPr>
        <w:t>v</w:t>
      </w:r>
      <w:r w:rsidR="003A2B99" w:rsidRPr="00A93580">
        <w:rPr>
          <w:rFonts w:cs="Times New Roman"/>
          <w:szCs w:val="24"/>
        </w:rPr>
        <w:t>alor patrimonial da ação, obtido dividindo</w:t>
      </w:r>
      <w:r w:rsidR="005E5ACD" w:rsidRPr="00A93580">
        <w:rPr>
          <w:rFonts w:cs="Times New Roman"/>
          <w:szCs w:val="24"/>
        </w:rPr>
        <w:t>-se</w:t>
      </w:r>
      <w:r w:rsidR="003A2B99" w:rsidRPr="00A93580">
        <w:rPr>
          <w:rFonts w:cs="Times New Roman"/>
          <w:szCs w:val="24"/>
        </w:rPr>
        <w:t xml:space="preserve"> o patrimônio líquido pelo número total de ações em circulação</w:t>
      </w:r>
      <w:r w:rsidR="00A93580">
        <w:rPr>
          <w:rFonts w:cs="Times New Roman"/>
          <w:szCs w:val="24"/>
        </w:rPr>
        <w:t>;</w:t>
      </w:r>
    </w:p>
    <w:p w:rsidR="003A2B99" w:rsidRPr="00726BB5" w:rsidRDefault="005E5ACD" w:rsidP="00F377D0">
      <w:pPr>
        <w:pStyle w:val="PargrafodaLista"/>
        <w:numPr>
          <w:ilvl w:val="0"/>
          <w:numId w:val="10"/>
        </w:numPr>
        <w:spacing w:line="360" w:lineRule="auto"/>
        <w:ind w:left="993" w:hanging="284"/>
        <w:contextualSpacing w:val="0"/>
        <w:jc w:val="both"/>
        <w:rPr>
          <w:rFonts w:cs="Times New Roman"/>
        </w:rPr>
      </w:pPr>
      <w:r w:rsidRPr="00A93580">
        <w:rPr>
          <w:rFonts w:cs="Times New Roman"/>
          <w:szCs w:val="24"/>
        </w:rPr>
        <w:t>As demais variáveis são itens do resultado</w:t>
      </w:r>
      <w:r w:rsidR="001954D7">
        <w:rPr>
          <w:rFonts w:cs="Times New Roman"/>
          <w:szCs w:val="24"/>
        </w:rPr>
        <w:t xml:space="preserve"> </w:t>
      </w:r>
      <w:r w:rsidR="001954D7" w:rsidRPr="001954D7">
        <w:rPr>
          <w:rFonts w:ascii="Cambria Math" w:hAnsi="Cambria Math" w:cs="Times New Roman"/>
          <w:szCs w:val="24"/>
        </w:rPr>
        <w:t>(LL, RAC, ORA, VM, NVM, CON, PEN e HED)</w:t>
      </w:r>
      <w:r w:rsidRPr="00A93580">
        <w:rPr>
          <w:rFonts w:cs="Times New Roman"/>
          <w:szCs w:val="24"/>
        </w:rPr>
        <w:t>, em seus valores originais divulgados pelas empresas, em milhares de reais,</w:t>
      </w:r>
      <w:r w:rsidR="003A2B99" w:rsidRPr="007A4095">
        <w:rPr>
          <w:rFonts w:cs="Times New Roman"/>
          <w:szCs w:val="24"/>
        </w:rPr>
        <w:t xml:space="preserve"> </w:t>
      </w:r>
      <w:r w:rsidR="00191D4A" w:rsidRPr="006175C9">
        <w:rPr>
          <w:rFonts w:cs="Times New Roman"/>
          <w:szCs w:val="24"/>
        </w:rPr>
        <w:t>dividi</w:t>
      </w:r>
      <w:r w:rsidR="003A2B99" w:rsidRPr="00726BB5">
        <w:rPr>
          <w:rFonts w:cs="Times New Roman"/>
          <w:szCs w:val="24"/>
        </w:rPr>
        <w:t>d</w:t>
      </w:r>
      <w:r w:rsidRPr="00726BB5">
        <w:rPr>
          <w:rFonts w:cs="Times New Roman"/>
          <w:szCs w:val="24"/>
        </w:rPr>
        <w:t>os</w:t>
      </w:r>
      <w:r w:rsidR="003A2B99" w:rsidRPr="00726BB5">
        <w:rPr>
          <w:rFonts w:cs="Times New Roman"/>
          <w:szCs w:val="24"/>
        </w:rPr>
        <w:t xml:space="preserve"> pelo n</w:t>
      </w:r>
      <w:r w:rsidRPr="00726BB5">
        <w:rPr>
          <w:rFonts w:cs="Times New Roman"/>
          <w:szCs w:val="24"/>
        </w:rPr>
        <w:t>úmero</w:t>
      </w:r>
      <w:r w:rsidR="00191D4A" w:rsidRPr="00726BB5">
        <w:rPr>
          <w:rFonts w:cs="Times New Roman"/>
          <w:szCs w:val="24"/>
        </w:rPr>
        <w:t xml:space="preserve"> </w:t>
      </w:r>
      <w:r w:rsidR="003A2B99" w:rsidRPr="00726BB5">
        <w:rPr>
          <w:rFonts w:cs="Times New Roman"/>
          <w:szCs w:val="24"/>
        </w:rPr>
        <w:t>total de ações em circulação</w:t>
      </w:r>
      <w:r w:rsidRPr="00726BB5">
        <w:rPr>
          <w:rFonts w:cs="Times New Roman"/>
          <w:szCs w:val="24"/>
        </w:rPr>
        <w:t xml:space="preserve"> (</w:t>
      </w:r>
      <m:oMath>
        <m:r>
          <w:rPr>
            <w:rFonts w:ascii="Cambria Math" w:hAnsi="Cambria Math" w:cs="Times New Roman"/>
            <w:szCs w:val="24"/>
          </w:rPr>
          <m:t>/A</m:t>
        </m:r>
      </m:oMath>
      <w:r w:rsidRPr="00726BB5">
        <w:rPr>
          <w:rFonts w:cs="Times New Roman"/>
          <w:szCs w:val="24"/>
        </w:rPr>
        <w:t>)</w:t>
      </w:r>
      <w:r w:rsidR="003A2B99" w:rsidRPr="00726BB5">
        <w:rPr>
          <w:rFonts w:cs="Times New Roman"/>
          <w:szCs w:val="24"/>
        </w:rPr>
        <w:t>.</w:t>
      </w:r>
    </w:p>
    <w:p w:rsidR="0020099A" w:rsidRDefault="00A75D37" w:rsidP="00DB606C">
      <w:pPr>
        <w:spacing w:line="360" w:lineRule="auto"/>
        <w:ind w:firstLine="709"/>
        <w:jc w:val="both"/>
        <w:rPr>
          <w:rFonts w:cs="Times New Roman"/>
        </w:rPr>
      </w:pPr>
      <w:r w:rsidRPr="00A75D37">
        <w:rPr>
          <w:rFonts w:cs="Times New Roman"/>
        </w:rPr>
        <w:t>Para testar a</w:t>
      </w:r>
      <w:r>
        <w:rPr>
          <w:rFonts w:cs="Times New Roman"/>
        </w:rPr>
        <w:t>s</w:t>
      </w:r>
      <w:r w:rsidRPr="00A75D37">
        <w:rPr>
          <w:rFonts w:cs="Times New Roman"/>
        </w:rPr>
        <w:t xml:space="preserve"> hipótese</w:t>
      </w:r>
      <w:r>
        <w:rPr>
          <w:rFonts w:cs="Times New Roman"/>
        </w:rPr>
        <w:t>s</w:t>
      </w:r>
      <w:r w:rsidRPr="00A75D37">
        <w:rPr>
          <w:rFonts w:cs="Times New Roman"/>
        </w:rPr>
        <w:t xml:space="preserve"> </w:t>
      </w:r>
      <w:r>
        <w:rPr>
          <w:rFonts w:cs="Times New Roman"/>
        </w:rPr>
        <w:t>H</w:t>
      </w:r>
      <w:r w:rsidRPr="00F377D0">
        <w:rPr>
          <w:rFonts w:cs="Times New Roman"/>
          <w:vertAlign w:val="subscript"/>
        </w:rPr>
        <w:t>1</w:t>
      </w:r>
      <w:r>
        <w:rPr>
          <w:rFonts w:cs="Times New Roman"/>
        </w:rPr>
        <w:t xml:space="preserve"> e H</w:t>
      </w:r>
      <w:r w:rsidRPr="00F377D0">
        <w:rPr>
          <w:rFonts w:cs="Times New Roman"/>
          <w:vertAlign w:val="subscript"/>
        </w:rPr>
        <w:t>2</w:t>
      </w:r>
      <w:r>
        <w:rPr>
          <w:rFonts w:cs="Times New Roman"/>
        </w:rPr>
        <w:t xml:space="preserve"> </w:t>
      </w:r>
      <w:r w:rsidR="00363D09">
        <w:rPr>
          <w:rFonts w:cs="Times New Roman"/>
        </w:rPr>
        <w:t>todos os dados coletados foram c</w:t>
      </w:r>
      <w:r w:rsidRPr="00A75D37">
        <w:rPr>
          <w:rFonts w:cs="Times New Roman"/>
        </w:rPr>
        <w:t>ombina</w:t>
      </w:r>
      <w:r w:rsidR="00363D09">
        <w:rPr>
          <w:rFonts w:cs="Times New Roman"/>
        </w:rPr>
        <w:t>dos</w:t>
      </w:r>
      <w:r w:rsidRPr="00A75D37">
        <w:rPr>
          <w:rFonts w:cs="Times New Roman"/>
        </w:rPr>
        <w:t xml:space="preserve"> em corte transversal e séries temporais </w:t>
      </w:r>
      <w:r w:rsidR="00363D09">
        <w:rPr>
          <w:rFonts w:cs="Times New Roman"/>
        </w:rPr>
        <w:t>(</w:t>
      </w:r>
      <w:proofErr w:type="spellStart"/>
      <w:r w:rsidR="00363D09" w:rsidRPr="00363D09">
        <w:rPr>
          <w:rFonts w:cs="Times New Roman"/>
          <w:i/>
        </w:rPr>
        <w:t>pooled</w:t>
      </w:r>
      <w:proofErr w:type="spellEnd"/>
      <w:r w:rsidR="00363D09">
        <w:rPr>
          <w:rFonts w:cs="Times New Roman"/>
        </w:rPr>
        <w:t xml:space="preserve">), </w:t>
      </w:r>
      <w:r w:rsidRPr="00A75D37">
        <w:rPr>
          <w:rFonts w:cs="Times New Roman"/>
        </w:rPr>
        <w:t xml:space="preserve">e </w:t>
      </w:r>
      <w:r w:rsidR="00363D09">
        <w:rPr>
          <w:rFonts w:cs="Times New Roman"/>
        </w:rPr>
        <w:t xml:space="preserve">foram </w:t>
      </w:r>
      <w:r w:rsidRPr="00A75D37">
        <w:rPr>
          <w:rFonts w:cs="Times New Roman"/>
        </w:rPr>
        <w:t>estima</w:t>
      </w:r>
      <w:r w:rsidR="00363D09">
        <w:rPr>
          <w:rFonts w:cs="Times New Roman"/>
        </w:rPr>
        <w:t>das as regressões</w:t>
      </w:r>
      <w:r w:rsidRPr="00A75D37">
        <w:rPr>
          <w:rFonts w:cs="Times New Roman"/>
        </w:rPr>
        <w:t xml:space="preserve"> por Mínimos Quadrados Ordinários (MQO).</w:t>
      </w:r>
      <w:r w:rsidR="00363D09">
        <w:rPr>
          <w:rFonts w:cs="Times New Roman"/>
        </w:rPr>
        <w:t xml:space="preserve"> A opção por essa alternativa </w:t>
      </w:r>
      <w:r w:rsidR="00A84F6B">
        <w:rPr>
          <w:rFonts w:cs="Times New Roman"/>
        </w:rPr>
        <w:t>foi feita, sobretudo, porque</w:t>
      </w:r>
      <w:r w:rsidR="00363D09">
        <w:rPr>
          <w:rFonts w:cs="Times New Roman"/>
        </w:rPr>
        <w:t xml:space="preserve"> </w:t>
      </w:r>
      <w:r w:rsidR="00A84F6B">
        <w:rPr>
          <w:rFonts w:cs="Times New Roman"/>
        </w:rPr>
        <w:t>os dados</w:t>
      </w:r>
      <w:r w:rsidR="0069446F">
        <w:rPr>
          <w:rFonts w:cs="Times New Roman"/>
        </w:rPr>
        <w:t xml:space="preserve"> utilizados </w:t>
      </w:r>
      <w:r w:rsidR="00A84F6B">
        <w:rPr>
          <w:rFonts w:cs="Times New Roman"/>
        </w:rPr>
        <w:t xml:space="preserve">eram </w:t>
      </w:r>
      <w:r w:rsidR="0069446F">
        <w:rPr>
          <w:rFonts w:cs="Times New Roman"/>
        </w:rPr>
        <w:t>desbalanceados</w:t>
      </w:r>
      <w:r w:rsidR="005E5ACD">
        <w:rPr>
          <w:rFonts w:cs="Times New Roman"/>
        </w:rPr>
        <w:t xml:space="preserve"> e o período de análise de apenas dois ou três anos</w:t>
      </w:r>
      <w:r w:rsidR="00A84F6B">
        <w:rPr>
          <w:rFonts w:cs="Times New Roman"/>
        </w:rPr>
        <w:t>.</w:t>
      </w:r>
      <w:r w:rsidR="0069446F">
        <w:rPr>
          <w:rFonts w:cs="Times New Roman"/>
        </w:rPr>
        <w:t xml:space="preserve"> </w:t>
      </w:r>
      <w:r w:rsidR="005E5ACD">
        <w:rPr>
          <w:rFonts w:cs="Times New Roman"/>
        </w:rPr>
        <w:t>Caso fossem</w:t>
      </w:r>
      <w:r w:rsidR="00363D09">
        <w:rPr>
          <w:rFonts w:cs="Times New Roman"/>
        </w:rPr>
        <w:t xml:space="preserve"> </w:t>
      </w:r>
      <w:r w:rsidR="005E5ACD">
        <w:rPr>
          <w:rFonts w:cs="Times New Roman"/>
        </w:rPr>
        <w:t xml:space="preserve">feitas </w:t>
      </w:r>
      <w:r w:rsidR="00363D09">
        <w:rPr>
          <w:rFonts w:cs="Times New Roman"/>
        </w:rPr>
        <w:t>restr</w:t>
      </w:r>
      <w:r w:rsidR="005E5ACD">
        <w:rPr>
          <w:rFonts w:cs="Times New Roman"/>
        </w:rPr>
        <w:t>ições</w:t>
      </w:r>
      <w:r w:rsidR="00363D09">
        <w:rPr>
          <w:rFonts w:cs="Times New Roman"/>
        </w:rPr>
        <w:t xml:space="preserve"> </w:t>
      </w:r>
      <w:r w:rsidR="005E5ACD">
        <w:rPr>
          <w:rFonts w:cs="Times New Roman"/>
        </w:rPr>
        <w:t>mantendo</w:t>
      </w:r>
      <w:r w:rsidR="00363D09">
        <w:rPr>
          <w:rFonts w:cs="Times New Roman"/>
        </w:rPr>
        <w:t xml:space="preserve"> observações apenas para empresas que possuíssem as informações necessárias em todos os anos, </w:t>
      </w:r>
      <w:r w:rsidR="00726BB5">
        <w:rPr>
          <w:rFonts w:cs="Times New Roman"/>
        </w:rPr>
        <w:t xml:space="preserve">ocorreria </w:t>
      </w:r>
      <w:r w:rsidR="00363D09">
        <w:rPr>
          <w:rFonts w:cs="Times New Roman"/>
        </w:rPr>
        <w:t>redução significativa de dados.</w:t>
      </w:r>
      <w:r w:rsidR="00A84F6B">
        <w:rPr>
          <w:rFonts w:cs="Times New Roman"/>
        </w:rPr>
        <w:t xml:space="preserve"> </w:t>
      </w:r>
    </w:p>
    <w:p w:rsidR="00744D53" w:rsidRDefault="00A84F6B" w:rsidP="00DB606C">
      <w:pPr>
        <w:spacing w:line="360" w:lineRule="auto"/>
        <w:ind w:firstLine="709"/>
        <w:jc w:val="both"/>
        <w:rPr>
          <w:rFonts w:cs="Times New Roman"/>
        </w:rPr>
      </w:pPr>
      <w:r>
        <w:rPr>
          <w:rFonts w:cs="Times New Roman"/>
        </w:rPr>
        <w:t>A</w:t>
      </w:r>
      <w:r w:rsidR="00E2413E">
        <w:rPr>
          <w:rFonts w:cs="Times New Roman"/>
        </w:rPr>
        <w:t>s</w:t>
      </w:r>
      <w:r>
        <w:rPr>
          <w:rFonts w:cs="Times New Roman"/>
        </w:rPr>
        <w:t xml:space="preserve"> </w:t>
      </w:r>
      <w:r w:rsidR="00E2413E">
        <w:rPr>
          <w:rFonts w:cs="Times New Roman"/>
        </w:rPr>
        <w:t xml:space="preserve">equações foram estimadas </w:t>
      </w:r>
      <w:r>
        <w:rPr>
          <w:rFonts w:cs="Times New Roman"/>
        </w:rPr>
        <w:t xml:space="preserve">por meio do software </w:t>
      </w:r>
      <w:r w:rsidRPr="00E2413E">
        <w:rPr>
          <w:rFonts w:cs="Times New Roman"/>
        </w:rPr>
        <w:t>GRETL</w:t>
      </w:r>
      <w:r w:rsidR="0020099A">
        <w:rPr>
          <w:rFonts w:cs="Times New Roman"/>
        </w:rPr>
        <w:t xml:space="preserve">. Em todas as equações estimadas foram </w:t>
      </w:r>
      <w:r w:rsidR="00296C30">
        <w:rPr>
          <w:rFonts w:cs="Times New Roman"/>
        </w:rPr>
        <w:t>examinados</w:t>
      </w:r>
      <w:r w:rsidR="0020099A">
        <w:rPr>
          <w:rFonts w:cs="Times New Roman"/>
        </w:rPr>
        <w:t xml:space="preserve"> os pressupostos do modelo de regressão. Por meio dos </w:t>
      </w:r>
      <w:r w:rsidR="0020099A" w:rsidRPr="0020099A">
        <w:rPr>
          <w:rFonts w:cs="Times New Roman"/>
        </w:rPr>
        <w:t xml:space="preserve">testes de </w:t>
      </w:r>
      <w:proofErr w:type="spellStart"/>
      <w:r w:rsidR="0020099A" w:rsidRPr="0020099A">
        <w:rPr>
          <w:rFonts w:cs="Times New Roman"/>
        </w:rPr>
        <w:t>Breusch-Pagan</w:t>
      </w:r>
      <w:proofErr w:type="spellEnd"/>
      <w:r w:rsidR="0020099A">
        <w:rPr>
          <w:rFonts w:cs="Times New Roman"/>
        </w:rPr>
        <w:t xml:space="preserve"> </w:t>
      </w:r>
      <w:r w:rsidR="0020099A" w:rsidRPr="0020099A">
        <w:rPr>
          <w:rFonts w:cs="Times New Roman"/>
        </w:rPr>
        <w:t xml:space="preserve">e </w:t>
      </w:r>
      <w:proofErr w:type="spellStart"/>
      <w:r w:rsidR="0020099A" w:rsidRPr="0020099A">
        <w:rPr>
          <w:rFonts w:cs="Times New Roman"/>
        </w:rPr>
        <w:t>Jarque-Bera</w:t>
      </w:r>
      <w:proofErr w:type="spellEnd"/>
      <w:r w:rsidR="0020099A">
        <w:rPr>
          <w:rFonts w:cs="Times New Roman"/>
        </w:rPr>
        <w:t xml:space="preserve"> </w:t>
      </w:r>
      <w:r w:rsidR="00752504">
        <w:rPr>
          <w:rFonts w:cs="Times New Roman"/>
        </w:rPr>
        <w:t>não se p</w:t>
      </w:r>
      <w:r w:rsidR="00744D53">
        <w:rPr>
          <w:rFonts w:cs="Times New Roman"/>
        </w:rPr>
        <w:t>ô</w:t>
      </w:r>
      <w:r w:rsidR="00752504">
        <w:rPr>
          <w:rFonts w:cs="Times New Roman"/>
        </w:rPr>
        <w:t xml:space="preserve">de afirmar que os resíduos foram </w:t>
      </w:r>
      <w:proofErr w:type="spellStart"/>
      <w:r w:rsidR="00752504">
        <w:rPr>
          <w:rFonts w:cs="Times New Roman"/>
        </w:rPr>
        <w:t>homocedásticos</w:t>
      </w:r>
      <w:proofErr w:type="spellEnd"/>
      <w:r w:rsidR="00752504">
        <w:rPr>
          <w:rFonts w:cs="Times New Roman"/>
        </w:rPr>
        <w:t xml:space="preserve">, tampouco normalmente distribuídos. </w:t>
      </w:r>
      <w:r w:rsidR="00744D53">
        <w:rPr>
          <w:rFonts w:cs="Times New Roman"/>
        </w:rPr>
        <w:t>Contudo,</w:t>
      </w:r>
      <w:r w:rsidR="00752504">
        <w:rPr>
          <w:rFonts w:cs="Times New Roman"/>
        </w:rPr>
        <w:t xml:space="preserve"> não foram identificados indícios de </w:t>
      </w:r>
      <w:r w:rsidR="00296C30" w:rsidRPr="00296C30">
        <w:rPr>
          <w:rFonts w:cs="Times New Roman"/>
        </w:rPr>
        <w:t>multicolinearidade entre as variáveis independentes</w:t>
      </w:r>
      <w:r w:rsidR="00296C30">
        <w:rPr>
          <w:rFonts w:cs="Times New Roman"/>
        </w:rPr>
        <w:t xml:space="preserve">, testada por meio do </w:t>
      </w:r>
      <w:r w:rsidR="00296C30" w:rsidRPr="00296C30">
        <w:rPr>
          <w:rFonts w:cs="Times New Roman"/>
        </w:rPr>
        <w:t>Fator de Inflação da Variância (FIV)</w:t>
      </w:r>
      <w:r w:rsidR="00752504">
        <w:rPr>
          <w:rFonts w:cs="Times New Roman"/>
        </w:rPr>
        <w:t xml:space="preserve">. Para </w:t>
      </w:r>
      <w:r w:rsidR="000D1ECD">
        <w:rPr>
          <w:rFonts w:cs="Times New Roman"/>
        </w:rPr>
        <w:t xml:space="preserve">amenizar </w:t>
      </w:r>
      <w:r w:rsidR="0042669C">
        <w:rPr>
          <w:rFonts w:cs="Times New Roman"/>
        </w:rPr>
        <w:t>tais</w:t>
      </w:r>
      <w:r w:rsidR="000D1ECD">
        <w:rPr>
          <w:rFonts w:cs="Times New Roman"/>
        </w:rPr>
        <w:t xml:space="preserve"> problemas as regressões foram estimadas com e</w:t>
      </w:r>
      <w:r w:rsidR="0042669C">
        <w:rPr>
          <w:rFonts w:cs="Times New Roman"/>
        </w:rPr>
        <w:t>rros-</w:t>
      </w:r>
      <w:r w:rsidR="000D1ECD" w:rsidRPr="000D1ECD">
        <w:rPr>
          <w:rFonts w:cs="Times New Roman"/>
        </w:rPr>
        <w:t xml:space="preserve">padrão robustos à </w:t>
      </w:r>
      <w:proofErr w:type="spellStart"/>
      <w:r w:rsidR="000D1ECD" w:rsidRPr="000D1ECD">
        <w:rPr>
          <w:rFonts w:cs="Times New Roman"/>
        </w:rPr>
        <w:t>heteroscedasticidade</w:t>
      </w:r>
      <w:proofErr w:type="spellEnd"/>
      <w:r w:rsidR="000D1ECD">
        <w:rPr>
          <w:rFonts w:cs="Times New Roman"/>
        </w:rPr>
        <w:t>.</w:t>
      </w:r>
      <w:r w:rsidR="00567EDB">
        <w:rPr>
          <w:rFonts w:cs="Times New Roman"/>
        </w:rPr>
        <w:t xml:space="preserve"> Para comparação dos modelos propostos </w:t>
      </w:r>
      <w:proofErr w:type="gramStart"/>
      <w:r w:rsidR="00567EDB">
        <w:rPr>
          <w:rFonts w:cs="Times New Roman"/>
        </w:rPr>
        <w:t>foram</w:t>
      </w:r>
      <w:proofErr w:type="gramEnd"/>
      <w:r w:rsidR="00567EDB">
        <w:rPr>
          <w:rFonts w:cs="Times New Roman"/>
        </w:rPr>
        <w:t xml:space="preserve"> analisados o R</w:t>
      </w:r>
      <w:r w:rsidR="00567EDB" w:rsidRPr="00567EDB">
        <w:rPr>
          <w:rFonts w:cs="Times New Roman"/>
          <w:vertAlign w:val="superscript"/>
        </w:rPr>
        <w:t>2</w:t>
      </w:r>
      <w:r w:rsidR="00567EDB">
        <w:rPr>
          <w:rFonts w:cs="Times New Roman"/>
        </w:rPr>
        <w:t xml:space="preserve"> ajustado, quanto maior melhor, e o critério </w:t>
      </w:r>
      <w:r w:rsidR="00474DE3">
        <w:rPr>
          <w:rFonts w:cs="Times New Roman"/>
        </w:rPr>
        <w:t xml:space="preserve">informacional </w:t>
      </w:r>
      <w:r w:rsidR="00567EDB">
        <w:rPr>
          <w:rFonts w:cs="Times New Roman"/>
        </w:rPr>
        <w:t xml:space="preserve">de </w:t>
      </w:r>
      <w:proofErr w:type="spellStart"/>
      <w:r w:rsidR="00567EDB">
        <w:rPr>
          <w:rFonts w:cs="Times New Roman"/>
        </w:rPr>
        <w:t>Akaike</w:t>
      </w:r>
      <w:proofErr w:type="spellEnd"/>
      <w:r w:rsidR="00567EDB">
        <w:rPr>
          <w:rFonts w:cs="Times New Roman"/>
        </w:rPr>
        <w:t>, quanto menor melhor</w:t>
      </w:r>
      <w:r w:rsidR="0014798E">
        <w:rPr>
          <w:rFonts w:cs="Times New Roman"/>
        </w:rPr>
        <w:t xml:space="preserve">, conforme sugerido por </w:t>
      </w:r>
      <w:r w:rsidR="00474DE3">
        <w:rPr>
          <w:rFonts w:cs="Times New Roman"/>
        </w:rPr>
        <w:fldChar w:fldCharType="begin" w:fldLock="1"/>
      </w:r>
      <w:r w:rsidR="00DD6BB9">
        <w:rPr>
          <w:rFonts w:cs="Times New Roman"/>
        </w:rPr>
        <w:instrText>ADDIN CSL_CITATION { "citationItems" : [ { "id" : "ITEM-1", "itemData" : { "author" : [ { "dropping-particle" : "", "family" : "Gujarati", "given" : "Damodar N.", "non-dropping-particle" : "", "parse-names" : false, "suffix" : "" } ], "id" : "ITEM-1", "issued" : { "date-parts" : [ [ "2006" ] ] }, "publisher" : "Elsevier", "publisher-place" : "Rio de Janeiro", "title" : "Econometria B\u00e1sica", "type" : "book" }, "uris" : [ "http://www.mendeley.com/documents/?uuid=6d645ddd-cddf-4633-b8dc-80ec992e6073" ] } ], "mendeley" : { "formattedCitation" : "(GUJARATI, 2006)", "plainTextFormattedCitation" : "(GUJARATI, 2006)", "previouslyFormattedCitation" : "(GUJARATI, 2006)" }, "properties" : { "noteIndex" : 0 }, "schema" : "https://github.com/citation-style-language/schema/raw/master/csl-citation.json" }</w:instrText>
      </w:r>
      <w:r w:rsidR="00474DE3">
        <w:rPr>
          <w:rFonts w:cs="Times New Roman"/>
        </w:rPr>
        <w:fldChar w:fldCharType="separate"/>
      </w:r>
      <w:r w:rsidR="00474DE3" w:rsidRPr="00474DE3">
        <w:rPr>
          <w:rFonts w:cs="Times New Roman"/>
          <w:noProof/>
        </w:rPr>
        <w:t>G</w:t>
      </w:r>
      <w:r w:rsidR="0014798E">
        <w:rPr>
          <w:rFonts w:cs="Times New Roman"/>
          <w:noProof/>
        </w:rPr>
        <w:t>ujarati (</w:t>
      </w:r>
      <w:r w:rsidR="00474DE3" w:rsidRPr="00474DE3">
        <w:rPr>
          <w:rFonts w:cs="Times New Roman"/>
          <w:noProof/>
        </w:rPr>
        <w:t>2006)</w:t>
      </w:r>
      <w:r w:rsidR="00474DE3">
        <w:rPr>
          <w:rFonts w:cs="Times New Roman"/>
        </w:rPr>
        <w:fldChar w:fldCharType="end"/>
      </w:r>
      <w:r w:rsidR="00567EDB">
        <w:rPr>
          <w:rFonts w:cs="Times New Roman"/>
        </w:rPr>
        <w:t xml:space="preserve">. </w:t>
      </w:r>
    </w:p>
    <w:p w:rsidR="006F308E" w:rsidRDefault="006F308E" w:rsidP="00DB606C">
      <w:pPr>
        <w:spacing w:line="360" w:lineRule="auto"/>
        <w:ind w:firstLine="709"/>
        <w:jc w:val="both"/>
        <w:rPr>
          <w:rFonts w:cs="Times New Roman"/>
        </w:rPr>
      </w:pPr>
    </w:p>
    <w:p w:rsidR="00F271C6" w:rsidRDefault="00F271C6" w:rsidP="00DB606C">
      <w:pPr>
        <w:spacing w:line="360" w:lineRule="auto"/>
        <w:ind w:firstLine="709"/>
        <w:jc w:val="both"/>
        <w:rPr>
          <w:rFonts w:cs="Times New Roman"/>
        </w:rPr>
      </w:pPr>
    </w:p>
    <w:p w:rsidR="00F271C6" w:rsidRDefault="00F271C6" w:rsidP="00DB606C">
      <w:pPr>
        <w:spacing w:line="360" w:lineRule="auto"/>
        <w:ind w:firstLine="709"/>
        <w:jc w:val="both"/>
        <w:rPr>
          <w:rFonts w:cs="Times New Roman"/>
        </w:rPr>
      </w:pPr>
    </w:p>
    <w:p w:rsidR="006052A9" w:rsidRPr="00DB606C" w:rsidRDefault="006F308E" w:rsidP="00DB606C">
      <w:pPr>
        <w:spacing w:line="360" w:lineRule="auto"/>
        <w:jc w:val="both"/>
        <w:rPr>
          <w:rFonts w:cs="Times New Roman"/>
          <w:b/>
        </w:rPr>
      </w:pPr>
      <w:r>
        <w:rPr>
          <w:rFonts w:cs="Times New Roman"/>
          <w:b/>
        </w:rPr>
        <w:lastRenderedPageBreak/>
        <w:t xml:space="preserve">4. ANÁLISE DOS </w:t>
      </w:r>
      <w:r w:rsidRPr="00DB606C">
        <w:rPr>
          <w:rFonts w:cs="Times New Roman"/>
          <w:b/>
        </w:rPr>
        <w:t>RESULTADOS</w:t>
      </w:r>
    </w:p>
    <w:p w:rsidR="00C37D60" w:rsidRPr="00917DD8" w:rsidRDefault="00C37D60" w:rsidP="00AF43C8">
      <w:pPr>
        <w:spacing w:line="360" w:lineRule="auto"/>
        <w:jc w:val="both"/>
        <w:rPr>
          <w:rFonts w:cs="Times New Roman"/>
          <w:b/>
        </w:rPr>
      </w:pPr>
      <w:r w:rsidRPr="00917DD8">
        <w:rPr>
          <w:rFonts w:cs="Times New Roman"/>
          <w:b/>
        </w:rPr>
        <w:t>4.1 Estatísticas descritivas da amostra</w:t>
      </w:r>
    </w:p>
    <w:p w:rsidR="00F370D1" w:rsidRDefault="005916D8" w:rsidP="00DB606C">
      <w:pPr>
        <w:spacing w:line="360" w:lineRule="auto"/>
        <w:ind w:firstLine="709"/>
        <w:jc w:val="both"/>
        <w:rPr>
          <w:rFonts w:cs="Times New Roman"/>
        </w:rPr>
      </w:pPr>
      <w:r>
        <w:rPr>
          <w:rFonts w:cs="Times New Roman"/>
        </w:rPr>
        <w:t>No painel A da</w:t>
      </w:r>
      <w:r w:rsidR="00F53227">
        <w:rPr>
          <w:rFonts w:cs="Times New Roman"/>
        </w:rPr>
        <w:t xml:space="preserve"> Tabela </w:t>
      </w:r>
      <w:r w:rsidR="00874596">
        <w:rPr>
          <w:rFonts w:cs="Times New Roman"/>
        </w:rPr>
        <w:t xml:space="preserve">1 </w:t>
      </w:r>
      <w:r>
        <w:rPr>
          <w:rFonts w:cs="Times New Roman"/>
        </w:rPr>
        <w:t>são exibidas</w:t>
      </w:r>
      <w:r w:rsidR="00874596">
        <w:rPr>
          <w:rFonts w:cs="Times New Roman"/>
        </w:rPr>
        <w:t xml:space="preserve"> as estatísticas descritivas de tendência central e dispersão das observações utilizadas para analisar o poder preditivo do resultado abrangente </w:t>
      </w:r>
      <w:r w:rsidR="003D500F">
        <w:rPr>
          <w:rFonts w:cs="Times New Roman"/>
        </w:rPr>
        <w:t xml:space="preserve">consolidado, dos outros resultados abrangentes </w:t>
      </w:r>
      <w:r w:rsidR="00874596">
        <w:rPr>
          <w:rFonts w:cs="Times New Roman"/>
        </w:rPr>
        <w:t>e seus componentes</w:t>
      </w:r>
      <w:r w:rsidR="00013F51">
        <w:rPr>
          <w:rFonts w:cs="Times New Roman"/>
        </w:rPr>
        <w:t>,</w:t>
      </w:r>
      <w:r w:rsidR="00874596">
        <w:rPr>
          <w:rFonts w:cs="Times New Roman"/>
        </w:rPr>
        <w:t xml:space="preserve"> para determinação do fluxo de caixa operacional do período subsequente.</w:t>
      </w:r>
      <w:r w:rsidR="00013F51">
        <w:rPr>
          <w:rFonts w:cs="Times New Roman"/>
        </w:rPr>
        <w:t xml:space="preserve"> </w:t>
      </w:r>
      <w:r w:rsidR="00F53227">
        <w:rPr>
          <w:rFonts w:cs="Times New Roman"/>
        </w:rPr>
        <w:t>N</w:t>
      </w:r>
      <w:r>
        <w:rPr>
          <w:rFonts w:cs="Times New Roman"/>
        </w:rPr>
        <w:t>o painel B</w:t>
      </w:r>
      <w:r w:rsidR="00DE2C5B">
        <w:rPr>
          <w:rFonts w:cs="Times New Roman"/>
        </w:rPr>
        <w:t xml:space="preserve"> estão dispostas as estatísticas descritivas usadas para verificar a a</w:t>
      </w:r>
      <w:r w:rsidR="00DE2C5B" w:rsidRPr="00DE2C5B">
        <w:rPr>
          <w:rFonts w:cs="Times New Roman"/>
        </w:rPr>
        <w:t>ssociação entre preço e</w:t>
      </w:r>
      <w:proofErr w:type="gramStart"/>
      <w:r w:rsidR="00DE2C5B" w:rsidRPr="00DE2C5B">
        <w:rPr>
          <w:rFonts w:cs="Times New Roman"/>
        </w:rPr>
        <w:t xml:space="preserve"> </w:t>
      </w:r>
      <w:r w:rsidR="003D500F">
        <w:rPr>
          <w:rFonts w:cs="Times New Roman"/>
        </w:rPr>
        <w:t xml:space="preserve"> </w:t>
      </w:r>
      <w:proofErr w:type="gramEnd"/>
      <w:r w:rsidR="003D500F">
        <w:rPr>
          <w:rFonts w:cs="Times New Roman"/>
        </w:rPr>
        <w:t>ORA</w:t>
      </w:r>
      <w:r w:rsidR="00DE2C5B" w:rsidRPr="00DE2C5B">
        <w:rPr>
          <w:rFonts w:cs="Times New Roman"/>
        </w:rPr>
        <w:t xml:space="preserve"> e seus componentes</w:t>
      </w:r>
      <w:r w:rsidR="00DE2C5B">
        <w:rPr>
          <w:rFonts w:cs="Times New Roman"/>
        </w:rPr>
        <w:t>. Esse segundo grupo de dados, refere-se aos três anos e contém um número menor de observações por ano</w:t>
      </w:r>
      <w:r w:rsidR="00567DD9">
        <w:rPr>
          <w:rFonts w:cs="Times New Roman"/>
        </w:rPr>
        <w:t>,</w:t>
      </w:r>
      <w:r w:rsidR="00DE2C5B">
        <w:rPr>
          <w:rFonts w:cs="Times New Roman"/>
        </w:rPr>
        <w:t xml:space="preserve"> </w:t>
      </w:r>
      <w:r w:rsidR="00567DD9">
        <w:rPr>
          <w:rFonts w:cs="Times New Roman"/>
        </w:rPr>
        <w:t>devido à</w:t>
      </w:r>
      <w:r w:rsidR="00DE2C5B">
        <w:rPr>
          <w:rFonts w:cs="Times New Roman"/>
        </w:rPr>
        <w:t xml:space="preserve"> </w:t>
      </w:r>
      <w:r w:rsidR="00567DD9">
        <w:rPr>
          <w:rFonts w:cs="Times New Roman"/>
        </w:rPr>
        <w:t>ausência de negociações das ações</w:t>
      </w:r>
      <w:r w:rsidR="00DE2C5B">
        <w:rPr>
          <w:rFonts w:cs="Times New Roman"/>
        </w:rPr>
        <w:t xml:space="preserve"> nas datas pesquisadas.</w:t>
      </w:r>
      <w:r w:rsidR="00567DD9">
        <w:rPr>
          <w:rFonts w:cs="Times New Roman"/>
        </w:rPr>
        <w:t xml:space="preserve"> </w:t>
      </w:r>
      <w:r w:rsidR="00E12231">
        <w:rPr>
          <w:rFonts w:cs="Times New Roman"/>
        </w:rPr>
        <w:t>E</w:t>
      </w:r>
      <w:r w:rsidR="00567DD9">
        <w:rPr>
          <w:rFonts w:cs="Times New Roman"/>
        </w:rPr>
        <w:t>ssa segunda análise fo</w:t>
      </w:r>
      <w:r w:rsidR="00E12231">
        <w:rPr>
          <w:rFonts w:cs="Times New Roman"/>
        </w:rPr>
        <w:t>i efetuada com</w:t>
      </w:r>
      <w:r w:rsidR="00567DD9">
        <w:rPr>
          <w:rFonts w:cs="Times New Roman"/>
        </w:rPr>
        <w:t xml:space="preserve"> 605 observações </w:t>
      </w:r>
      <w:proofErr w:type="spellStart"/>
      <w:r w:rsidR="00567DD9">
        <w:rPr>
          <w:rFonts w:cs="Times New Roman"/>
        </w:rPr>
        <w:t>empresas-ano</w:t>
      </w:r>
      <w:proofErr w:type="spellEnd"/>
      <w:r w:rsidR="00567DD9">
        <w:rPr>
          <w:rFonts w:cs="Times New Roman"/>
        </w:rPr>
        <w:t>, em média pode-se supor 202 empresas compuseram a amostra.</w:t>
      </w:r>
    </w:p>
    <w:p w:rsidR="00874596" w:rsidRPr="00F271C6" w:rsidRDefault="005B1898" w:rsidP="00F271C6">
      <w:pPr>
        <w:jc w:val="center"/>
        <w:rPr>
          <w:rFonts w:cs="Times New Roman"/>
          <w:sz w:val="20"/>
          <w:szCs w:val="20"/>
        </w:rPr>
      </w:pPr>
      <w:r w:rsidRPr="00F271C6">
        <w:rPr>
          <w:rFonts w:cs="Times New Roman"/>
          <w:sz w:val="20"/>
          <w:szCs w:val="20"/>
        </w:rPr>
        <w:t>Tabela</w:t>
      </w:r>
      <w:r w:rsidR="00540DA2" w:rsidRPr="00F271C6">
        <w:rPr>
          <w:rFonts w:cs="Times New Roman"/>
          <w:sz w:val="20"/>
          <w:szCs w:val="20"/>
        </w:rPr>
        <w:t xml:space="preserve"> </w:t>
      </w:r>
      <w:r w:rsidRPr="00F271C6">
        <w:rPr>
          <w:rFonts w:cs="Times New Roman"/>
          <w:sz w:val="20"/>
          <w:szCs w:val="20"/>
        </w:rPr>
        <w:t>1</w:t>
      </w:r>
      <w:r w:rsidR="00013F51" w:rsidRPr="00F271C6">
        <w:rPr>
          <w:rFonts w:cs="Times New Roman"/>
          <w:sz w:val="20"/>
          <w:szCs w:val="20"/>
        </w:rPr>
        <w:t xml:space="preserve"> – Estatísticas descritivas</w:t>
      </w:r>
    </w:p>
    <w:tbl>
      <w:tblPr>
        <w:tblW w:w="5000" w:type="pct"/>
        <w:tblCellMar>
          <w:left w:w="70" w:type="dxa"/>
          <w:right w:w="70" w:type="dxa"/>
        </w:tblCellMar>
        <w:tblLook w:val="04A0" w:firstRow="1" w:lastRow="0" w:firstColumn="1" w:lastColumn="0" w:noHBand="0" w:noVBand="1"/>
      </w:tblPr>
      <w:tblGrid>
        <w:gridCol w:w="1102"/>
        <w:gridCol w:w="50"/>
        <w:gridCol w:w="1109"/>
        <w:gridCol w:w="42"/>
        <w:gridCol w:w="1116"/>
        <w:gridCol w:w="35"/>
        <w:gridCol w:w="1124"/>
        <w:gridCol w:w="28"/>
        <w:gridCol w:w="1131"/>
        <w:gridCol w:w="20"/>
        <w:gridCol w:w="1138"/>
        <w:gridCol w:w="13"/>
        <w:gridCol w:w="1146"/>
        <w:gridCol w:w="6"/>
        <w:gridCol w:w="1151"/>
      </w:tblGrid>
      <w:tr w:rsidR="00540DA2" w:rsidRPr="00331E71" w:rsidTr="00DE2C5B">
        <w:trPr>
          <w:trHeight w:val="340"/>
        </w:trPr>
        <w:tc>
          <w:tcPr>
            <w:tcW w:w="5000" w:type="pct"/>
            <w:gridSpan w:val="15"/>
            <w:tcBorders>
              <w:top w:val="single" w:sz="12" w:space="0" w:color="auto"/>
              <w:left w:val="nil"/>
              <w:bottom w:val="single" w:sz="4" w:space="0" w:color="auto"/>
              <w:right w:val="nil"/>
            </w:tcBorders>
            <w:shd w:val="clear" w:color="auto" w:fill="auto"/>
            <w:vAlign w:val="center"/>
          </w:tcPr>
          <w:p w:rsidR="00540DA2" w:rsidRPr="00331E71" w:rsidRDefault="005B1898" w:rsidP="00B723BB">
            <w:pPr>
              <w:rPr>
                <w:rFonts w:eastAsia="Times New Roman" w:cs="Times New Roman"/>
                <w:bCs/>
                <w:color w:val="000000"/>
                <w:sz w:val="20"/>
                <w:szCs w:val="20"/>
                <w:lang w:eastAsia="pt-BR"/>
              </w:rPr>
            </w:pPr>
            <w:r w:rsidRPr="00331E71">
              <w:rPr>
                <w:rFonts w:eastAsia="Times New Roman" w:cs="Times New Roman"/>
                <w:bCs/>
                <w:color w:val="000000"/>
                <w:sz w:val="20"/>
                <w:szCs w:val="20"/>
                <w:lang w:eastAsia="pt-BR"/>
              </w:rPr>
              <w:t>Painel A</w:t>
            </w:r>
            <w:r w:rsidR="00540DA2" w:rsidRPr="00331E71">
              <w:rPr>
                <w:rFonts w:eastAsia="Times New Roman" w:cs="Times New Roman"/>
                <w:bCs/>
                <w:color w:val="000000"/>
                <w:sz w:val="20"/>
                <w:szCs w:val="20"/>
                <w:lang w:eastAsia="pt-BR"/>
              </w:rPr>
              <w:t xml:space="preserve"> – Variáveis utilizadas nas eq</w:t>
            </w:r>
            <w:r w:rsidR="00540DA2" w:rsidRPr="00A1497A">
              <w:rPr>
                <w:rFonts w:eastAsia="Times New Roman" w:cs="Times New Roman"/>
                <w:bCs/>
                <w:color w:val="000000"/>
                <w:sz w:val="20"/>
                <w:szCs w:val="20"/>
                <w:lang w:eastAsia="pt-BR"/>
              </w:rPr>
              <w:t>uaçõe</w:t>
            </w:r>
            <w:r w:rsidR="00540DA2" w:rsidRPr="00331E71">
              <w:rPr>
                <w:rFonts w:eastAsia="Times New Roman" w:cs="Times New Roman"/>
                <w:bCs/>
                <w:color w:val="000000"/>
                <w:sz w:val="20"/>
                <w:szCs w:val="20"/>
                <w:lang w:eastAsia="pt-BR"/>
              </w:rPr>
              <w:t xml:space="preserve">s 01 a 05: </w:t>
            </w:r>
            <w:proofErr w:type="gramStart"/>
            <w:r w:rsidR="00540DA2" w:rsidRPr="00331E71">
              <w:rPr>
                <w:rFonts w:eastAsia="Times New Roman" w:cs="Times New Roman"/>
                <w:bCs/>
                <w:color w:val="000000"/>
                <w:sz w:val="20"/>
                <w:szCs w:val="20"/>
                <w:lang w:eastAsia="pt-BR"/>
              </w:rPr>
              <w:t>FCO</w:t>
            </w:r>
            <w:r w:rsidR="00540DA2" w:rsidRPr="00331E71">
              <w:rPr>
                <w:rFonts w:eastAsia="Times New Roman" w:cs="Times New Roman"/>
                <w:bCs/>
                <w:color w:val="000000"/>
                <w:sz w:val="20"/>
                <w:szCs w:val="20"/>
                <w:vertAlign w:val="subscript"/>
                <w:lang w:eastAsia="pt-BR"/>
              </w:rPr>
              <w:t>t</w:t>
            </w:r>
            <w:proofErr w:type="gramEnd"/>
            <w:r w:rsidR="00540DA2" w:rsidRPr="00331E71">
              <w:rPr>
                <w:rFonts w:eastAsia="Times New Roman" w:cs="Times New Roman"/>
                <w:bCs/>
                <w:color w:val="000000"/>
                <w:sz w:val="20"/>
                <w:szCs w:val="20"/>
                <w:vertAlign w:val="subscript"/>
                <w:lang w:eastAsia="pt-BR"/>
              </w:rPr>
              <w:t>+1</w:t>
            </w:r>
            <w:r w:rsidRPr="00331E71">
              <w:rPr>
                <w:rFonts w:eastAsia="Times New Roman" w:cs="Times New Roman"/>
                <w:bCs/>
                <w:color w:val="000000"/>
                <w:sz w:val="20"/>
                <w:szCs w:val="20"/>
                <w:vertAlign w:val="subscript"/>
                <w:lang w:eastAsia="pt-BR"/>
              </w:rPr>
              <w:t xml:space="preserve"> </w:t>
            </w:r>
            <w:r w:rsidRPr="00331E71">
              <w:rPr>
                <w:rFonts w:eastAsia="Times New Roman" w:cs="Times New Roman"/>
                <w:bCs/>
                <w:color w:val="000000"/>
                <w:sz w:val="20"/>
                <w:szCs w:val="20"/>
                <w:lang w:eastAsia="pt-BR"/>
              </w:rPr>
              <w:t>(528 observações)</w:t>
            </w:r>
          </w:p>
        </w:tc>
      </w:tr>
      <w:tr w:rsidR="004B0E0C" w:rsidRPr="00331E71" w:rsidTr="00DE2C5B">
        <w:trPr>
          <w:trHeight w:val="525"/>
        </w:trPr>
        <w:tc>
          <w:tcPr>
            <w:tcW w:w="598" w:type="pct"/>
            <w:tcBorders>
              <w:top w:val="single" w:sz="4" w:space="0" w:color="auto"/>
              <w:left w:val="nil"/>
              <w:bottom w:val="single" w:sz="4" w:space="0" w:color="auto"/>
              <w:right w:val="nil"/>
            </w:tcBorders>
            <w:shd w:val="clear" w:color="auto" w:fill="auto"/>
            <w:vAlign w:val="center"/>
            <w:hideMark/>
          </w:tcPr>
          <w:p w:rsidR="004B0E0C" w:rsidRPr="00331E71" w:rsidRDefault="004B0E0C" w:rsidP="00B723BB">
            <w:pPr>
              <w:rPr>
                <w:rFonts w:eastAsia="Times New Roman" w:cs="Times New Roman"/>
                <w:bCs/>
                <w:color w:val="000000"/>
                <w:sz w:val="20"/>
                <w:szCs w:val="20"/>
                <w:lang w:eastAsia="pt-BR"/>
              </w:rPr>
            </w:pPr>
            <w:r w:rsidRPr="00331E71">
              <w:rPr>
                <w:rFonts w:eastAsia="Times New Roman" w:cs="Times New Roman"/>
                <w:bCs/>
                <w:color w:val="000000"/>
                <w:sz w:val="20"/>
                <w:szCs w:val="20"/>
                <w:lang w:eastAsia="pt-BR"/>
              </w:rPr>
              <w:t>Variável</w:t>
            </w:r>
          </w:p>
        </w:tc>
        <w:tc>
          <w:tcPr>
            <w:tcW w:w="629" w:type="pct"/>
            <w:gridSpan w:val="2"/>
            <w:tcBorders>
              <w:top w:val="single" w:sz="4" w:space="0" w:color="auto"/>
              <w:left w:val="nil"/>
              <w:bottom w:val="single" w:sz="4" w:space="0" w:color="auto"/>
              <w:right w:val="nil"/>
            </w:tcBorders>
            <w:shd w:val="clear" w:color="auto" w:fill="auto"/>
            <w:vAlign w:val="center"/>
            <w:hideMark/>
          </w:tcPr>
          <w:p w:rsidR="004B0E0C" w:rsidRPr="00331E71" w:rsidRDefault="004B0E0C" w:rsidP="00B723BB">
            <w:pPr>
              <w:jc w:val="center"/>
              <w:rPr>
                <w:rFonts w:eastAsia="Times New Roman" w:cs="Times New Roman"/>
                <w:bCs/>
                <w:color w:val="000000"/>
                <w:sz w:val="20"/>
                <w:szCs w:val="20"/>
                <w:lang w:eastAsia="pt-BR"/>
              </w:rPr>
            </w:pPr>
            <w:r w:rsidRPr="00331E71">
              <w:rPr>
                <w:rFonts w:eastAsia="Times New Roman" w:cs="Times New Roman"/>
                <w:bCs/>
                <w:color w:val="000000"/>
                <w:sz w:val="20"/>
                <w:szCs w:val="20"/>
                <w:lang w:eastAsia="pt-BR"/>
              </w:rPr>
              <w:t>Mínimo</w:t>
            </w:r>
          </w:p>
        </w:tc>
        <w:tc>
          <w:tcPr>
            <w:tcW w:w="629" w:type="pct"/>
            <w:gridSpan w:val="2"/>
            <w:tcBorders>
              <w:top w:val="single" w:sz="4" w:space="0" w:color="auto"/>
              <w:left w:val="nil"/>
              <w:bottom w:val="single" w:sz="4" w:space="0" w:color="auto"/>
              <w:right w:val="nil"/>
            </w:tcBorders>
            <w:shd w:val="clear" w:color="auto" w:fill="auto"/>
            <w:vAlign w:val="center"/>
            <w:hideMark/>
          </w:tcPr>
          <w:p w:rsidR="004B0E0C" w:rsidRPr="00331E71" w:rsidRDefault="004B0E0C" w:rsidP="00B723BB">
            <w:pPr>
              <w:jc w:val="center"/>
              <w:rPr>
                <w:rFonts w:eastAsia="Times New Roman" w:cs="Times New Roman"/>
                <w:bCs/>
                <w:color w:val="000000"/>
                <w:sz w:val="20"/>
                <w:szCs w:val="20"/>
                <w:lang w:eastAsia="pt-BR"/>
              </w:rPr>
            </w:pPr>
            <w:r w:rsidRPr="00331E71">
              <w:rPr>
                <w:rFonts w:eastAsia="Times New Roman" w:cs="Times New Roman"/>
                <w:bCs/>
                <w:color w:val="000000"/>
                <w:sz w:val="20"/>
                <w:szCs w:val="20"/>
                <w:lang w:eastAsia="pt-BR"/>
              </w:rPr>
              <w:t>Máximo</w:t>
            </w:r>
          </w:p>
        </w:tc>
        <w:tc>
          <w:tcPr>
            <w:tcW w:w="629" w:type="pct"/>
            <w:gridSpan w:val="2"/>
            <w:tcBorders>
              <w:top w:val="single" w:sz="4" w:space="0" w:color="auto"/>
              <w:left w:val="nil"/>
              <w:bottom w:val="single" w:sz="4" w:space="0" w:color="auto"/>
              <w:right w:val="nil"/>
            </w:tcBorders>
            <w:shd w:val="clear" w:color="auto" w:fill="auto"/>
            <w:vAlign w:val="center"/>
            <w:hideMark/>
          </w:tcPr>
          <w:p w:rsidR="004B0E0C" w:rsidRPr="00331E71" w:rsidRDefault="004B0E0C" w:rsidP="00B723BB">
            <w:pPr>
              <w:jc w:val="center"/>
              <w:rPr>
                <w:rFonts w:eastAsia="Times New Roman" w:cs="Times New Roman"/>
                <w:bCs/>
                <w:color w:val="000000"/>
                <w:sz w:val="20"/>
                <w:szCs w:val="20"/>
                <w:lang w:eastAsia="pt-BR"/>
              </w:rPr>
            </w:pPr>
            <w:r w:rsidRPr="00331E71">
              <w:rPr>
                <w:rFonts w:eastAsia="Times New Roman" w:cs="Times New Roman"/>
                <w:bCs/>
                <w:color w:val="000000"/>
                <w:sz w:val="20"/>
                <w:szCs w:val="20"/>
                <w:lang w:eastAsia="pt-BR"/>
              </w:rPr>
              <w:t>Média</w:t>
            </w:r>
          </w:p>
        </w:tc>
        <w:tc>
          <w:tcPr>
            <w:tcW w:w="629" w:type="pct"/>
            <w:gridSpan w:val="2"/>
            <w:tcBorders>
              <w:top w:val="single" w:sz="4" w:space="0" w:color="auto"/>
              <w:left w:val="nil"/>
              <w:bottom w:val="single" w:sz="4" w:space="0" w:color="auto"/>
              <w:right w:val="nil"/>
            </w:tcBorders>
            <w:shd w:val="clear" w:color="auto" w:fill="auto"/>
            <w:vAlign w:val="center"/>
            <w:hideMark/>
          </w:tcPr>
          <w:p w:rsidR="004B0E0C" w:rsidRPr="00331E71" w:rsidRDefault="004B0E0C" w:rsidP="00B723BB">
            <w:pPr>
              <w:jc w:val="center"/>
              <w:rPr>
                <w:rFonts w:eastAsia="Times New Roman" w:cs="Times New Roman"/>
                <w:bCs/>
                <w:color w:val="000000"/>
                <w:sz w:val="20"/>
                <w:szCs w:val="20"/>
                <w:lang w:eastAsia="pt-BR"/>
              </w:rPr>
            </w:pPr>
            <w:r w:rsidRPr="00331E71">
              <w:rPr>
                <w:rFonts w:eastAsia="Times New Roman" w:cs="Times New Roman"/>
                <w:bCs/>
                <w:color w:val="000000"/>
                <w:sz w:val="20"/>
                <w:szCs w:val="20"/>
                <w:lang w:eastAsia="pt-BR"/>
              </w:rPr>
              <w:t>Desvio Padrão</w:t>
            </w:r>
          </w:p>
        </w:tc>
        <w:tc>
          <w:tcPr>
            <w:tcW w:w="629" w:type="pct"/>
            <w:gridSpan w:val="2"/>
            <w:tcBorders>
              <w:top w:val="single" w:sz="4" w:space="0" w:color="auto"/>
              <w:left w:val="nil"/>
              <w:bottom w:val="single" w:sz="4" w:space="0" w:color="auto"/>
              <w:right w:val="nil"/>
            </w:tcBorders>
            <w:vAlign w:val="center"/>
          </w:tcPr>
          <w:p w:rsidR="004B0E0C" w:rsidRPr="00331E71" w:rsidRDefault="004B0E0C" w:rsidP="00B723BB">
            <w:pPr>
              <w:jc w:val="center"/>
              <w:rPr>
                <w:rFonts w:eastAsia="Times New Roman" w:cs="Times New Roman"/>
                <w:bCs/>
                <w:color w:val="000000"/>
                <w:sz w:val="20"/>
                <w:szCs w:val="20"/>
                <w:lang w:eastAsia="pt-BR"/>
              </w:rPr>
            </w:pPr>
            <w:r w:rsidRPr="00331E71">
              <w:rPr>
                <w:rFonts w:eastAsia="Times New Roman" w:cs="Times New Roman"/>
                <w:bCs/>
                <w:color w:val="000000"/>
                <w:sz w:val="20"/>
                <w:szCs w:val="20"/>
                <w:lang w:eastAsia="pt-BR"/>
              </w:rPr>
              <w:t>Coeficiente</w:t>
            </w:r>
          </w:p>
          <w:p w:rsidR="004B0E0C" w:rsidRPr="00331E71" w:rsidRDefault="004B0E0C" w:rsidP="00B723BB">
            <w:pPr>
              <w:jc w:val="center"/>
              <w:rPr>
                <w:rFonts w:eastAsia="Times New Roman" w:cs="Times New Roman"/>
                <w:bCs/>
                <w:color w:val="000000"/>
                <w:sz w:val="20"/>
                <w:szCs w:val="20"/>
                <w:lang w:eastAsia="pt-BR"/>
              </w:rPr>
            </w:pPr>
            <w:r w:rsidRPr="00331E71">
              <w:rPr>
                <w:rFonts w:eastAsia="Times New Roman" w:cs="Times New Roman"/>
                <w:bCs/>
                <w:color w:val="000000"/>
                <w:sz w:val="20"/>
                <w:szCs w:val="20"/>
                <w:lang w:eastAsia="pt-BR"/>
              </w:rPr>
              <w:t>Variação</w:t>
            </w:r>
          </w:p>
        </w:tc>
        <w:tc>
          <w:tcPr>
            <w:tcW w:w="629" w:type="pct"/>
            <w:gridSpan w:val="2"/>
            <w:tcBorders>
              <w:top w:val="single" w:sz="4" w:space="0" w:color="auto"/>
              <w:left w:val="nil"/>
              <w:bottom w:val="single" w:sz="4" w:space="0" w:color="auto"/>
              <w:right w:val="nil"/>
            </w:tcBorders>
            <w:shd w:val="clear" w:color="auto" w:fill="auto"/>
            <w:vAlign w:val="center"/>
            <w:hideMark/>
          </w:tcPr>
          <w:p w:rsidR="004B0E0C" w:rsidRPr="00331E71" w:rsidRDefault="004B0E0C" w:rsidP="00B723BB">
            <w:pPr>
              <w:jc w:val="center"/>
              <w:rPr>
                <w:rFonts w:eastAsia="Times New Roman" w:cs="Times New Roman"/>
                <w:bCs/>
                <w:color w:val="000000"/>
                <w:sz w:val="20"/>
                <w:szCs w:val="20"/>
                <w:lang w:eastAsia="pt-BR"/>
              </w:rPr>
            </w:pPr>
            <w:r w:rsidRPr="00331E71">
              <w:rPr>
                <w:rFonts w:eastAsia="Times New Roman" w:cs="Times New Roman"/>
                <w:bCs/>
                <w:color w:val="000000"/>
                <w:sz w:val="20"/>
                <w:szCs w:val="20"/>
                <w:lang w:eastAsia="pt-BR"/>
              </w:rPr>
              <w:t>Assimetria</w:t>
            </w:r>
          </w:p>
        </w:tc>
        <w:tc>
          <w:tcPr>
            <w:tcW w:w="628" w:type="pct"/>
            <w:gridSpan w:val="2"/>
            <w:tcBorders>
              <w:top w:val="single" w:sz="4" w:space="0" w:color="auto"/>
              <w:left w:val="nil"/>
              <w:bottom w:val="single" w:sz="4" w:space="0" w:color="auto"/>
              <w:right w:val="nil"/>
            </w:tcBorders>
            <w:shd w:val="clear" w:color="auto" w:fill="auto"/>
            <w:vAlign w:val="center"/>
            <w:hideMark/>
          </w:tcPr>
          <w:p w:rsidR="004B0E0C" w:rsidRPr="00331E71" w:rsidRDefault="004B0E0C" w:rsidP="00B723BB">
            <w:pPr>
              <w:jc w:val="center"/>
              <w:rPr>
                <w:rFonts w:eastAsia="Times New Roman" w:cs="Times New Roman"/>
                <w:bCs/>
                <w:color w:val="000000"/>
                <w:sz w:val="20"/>
                <w:szCs w:val="20"/>
                <w:lang w:eastAsia="pt-BR"/>
              </w:rPr>
            </w:pPr>
            <w:r w:rsidRPr="00331E71">
              <w:rPr>
                <w:rFonts w:eastAsia="Times New Roman" w:cs="Times New Roman"/>
                <w:bCs/>
                <w:color w:val="000000"/>
                <w:sz w:val="20"/>
                <w:szCs w:val="20"/>
                <w:lang w:eastAsia="pt-BR"/>
              </w:rPr>
              <w:t>Curtose</w:t>
            </w:r>
          </w:p>
        </w:tc>
      </w:tr>
      <w:tr w:rsidR="004B0E0C" w:rsidRPr="00331E71" w:rsidTr="00DE2C5B">
        <w:trPr>
          <w:trHeight w:val="300"/>
        </w:trPr>
        <w:tc>
          <w:tcPr>
            <w:tcW w:w="598" w:type="pct"/>
            <w:tcBorders>
              <w:top w:val="single" w:sz="4" w:space="0" w:color="auto"/>
              <w:left w:val="nil"/>
              <w:bottom w:val="nil"/>
              <w:right w:val="nil"/>
            </w:tcBorders>
            <w:shd w:val="clear" w:color="auto" w:fill="auto"/>
            <w:vAlign w:val="center"/>
            <w:hideMark/>
          </w:tcPr>
          <w:p w:rsidR="004B0E0C" w:rsidRPr="00331E71" w:rsidRDefault="004B0E0C" w:rsidP="00B723BB">
            <w:pPr>
              <w:rPr>
                <w:rFonts w:eastAsia="Times New Roman" w:cs="Times New Roman"/>
                <w:color w:val="000000"/>
                <w:sz w:val="20"/>
                <w:szCs w:val="20"/>
                <w:lang w:eastAsia="pt-BR"/>
              </w:rPr>
            </w:pPr>
            <w:proofErr w:type="gramStart"/>
            <w:r w:rsidRPr="00331E71">
              <w:rPr>
                <w:rFonts w:eastAsia="Times New Roman" w:cs="Times New Roman"/>
                <w:color w:val="000000"/>
                <w:sz w:val="20"/>
                <w:szCs w:val="20"/>
                <w:lang w:eastAsia="pt-BR"/>
              </w:rPr>
              <w:t>FCO</w:t>
            </w:r>
            <w:r w:rsidRPr="00331E71">
              <w:rPr>
                <w:rFonts w:eastAsia="Times New Roman" w:cs="Times New Roman"/>
                <w:color w:val="000000"/>
                <w:sz w:val="20"/>
                <w:szCs w:val="20"/>
                <w:vertAlign w:val="subscript"/>
                <w:lang w:eastAsia="pt-BR"/>
              </w:rPr>
              <w:t>t</w:t>
            </w:r>
            <w:proofErr w:type="gramEnd"/>
            <w:r w:rsidRPr="00331E71">
              <w:rPr>
                <w:rFonts w:eastAsia="Times New Roman" w:cs="Times New Roman"/>
                <w:color w:val="000000"/>
                <w:sz w:val="20"/>
                <w:szCs w:val="20"/>
                <w:vertAlign w:val="subscript"/>
                <w:lang w:eastAsia="pt-BR"/>
              </w:rPr>
              <w:t>+1</w:t>
            </w:r>
          </w:p>
        </w:tc>
        <w:tc>
          <w:tcPr>
            <w:tcW w:w="629" w:type="pct"/>
            <w:gridSpan w:val="2"/>
            <w:tcBorders>
              <w:top w:val="single" w:sz="4" w:space="0" w:color="auto"/>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234</w:t>
            </w:r>
          </w:p>
        </w:tc>
        <w:tc>
          <w:tcPr>
            <w:tcW w:w="629" w:type="pct"/>
            <w:gridSpan w:val="2"/>
            <w:tcBorders>
              <w:top w:val="single" w:sz="4" w:space="0" w:color="auto"/>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110.463.306</w:t>
            </w:r>
          </w:p>
        </w:tc>
        <w:tc>
          <w:tcPr>
            <w:tcW w:w="629" w:type="pct"/>
            <w:gridSpan w:val="2"/>
            <w:tcBorders>
              <w:top w:val="single" w:sz="4" w:space="0" w:color="auto"/>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1.833.582</w:t>
            </w:r>
          </w:p>
        </w:tc>
        <w:tc>
          <w:tcPr>
            <w:tcW w:w="629" w:type="pct"/>
            <w:gridSpan w:val="2"/>
            <w:tcBorders>
              <w:top w:val="single" w:sz="4" w:space="0" w:color="auto"/>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8.846.439</w:t>
            </w:r>
          </w:p>
        </w:tc>
        <w:tc>
          <w:tcPr>
            <w:tcW w:w="629" w:type="pct"/>
            <w:gridSpan w:val="2"/>
            <w:tcBorders>
              <w:top w:val="single" w:sz="4" w:space="0" w:color="auto"/>
              <w:left w:val="nil"/>
              <w:bottom w:val="nil"/>
              <w:right w:val="nil"/>
            </w:tcBorders>
            <w:vAlign w:val="bottom"/>
          </w:tcPr>
          <w:p w:rsidR="004B0E0C" w:rsidRPr="00331E71" w:rsidRDefault="004B0E0C" w:rsidP="00B723BB">
            <w:pPr>
              <w:jc w:val="center"/>
              <w:rPr>
                <w:rFonts w:cs="Times New Roman"/>
                <w:color w:val="000000"/>
                <w:sz w:val="20"/>
                <w:szCs w:val="20"/>
              </w:rPr>
            </w:pPr>
            <w:r w:rsidRPr="00331E71">
              <w:rPr>
                <w:rFonts w:cs="Times New Roman"/>
                <w:color w:val="000000"/>
                <w:sz w:val="20"/>
                <w:szCs w:val="20"/>
              </w:rPr>
              <w:t>4,82</w:t>
            </w:r>
          </w:p>
        </w:tc>
        <w:tc>
          <w:tcPr>
            <w:tcW w:w="629" w:type="pct"/>
            <w:gridSpan w:val="2"/>
            <w:tcBorders>
              <w:top w:val="single" w:sz="4" w:space="0" w:color="auto"/>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9,31</w:t>
            </w:r>
          </w:p>
        </w:tc>
        <w:tc>
          <w:tcPr>
            <w:tcW w:w="628" w:type="pct"/>
            <w:gridSpan w:val="2"/>
            <w:tcBorders>
              <w:top w:val="single" w:sz="4" w:space="0" w:color="auto"/>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97,85</w:t>
            </w:r>
          </w:p>
        </w:tc>
      </w:tr>
      <w:tr w:rsidR="004B0E0C" w:rsidRPr="00331E71" w:rsidTr="00540DA2">
        <w:trPr>
          <w:trHeight w:val="300"/>
        </w:trPr>
        <w:tc>
          <w:tcPr>
            <w:tcW w:w="598" w:type="pct"/>
            <w:tcBorders>
              <w:top w:val="nil"/>
              <w:left w:val="nil"/>
              <w:bottom w:val="nil"/>
              <w:right w:val="nil"/>
            </w:tcBorders>
            <w:shd w:val="clear" w:color="auto" w:fill="auto"/>
            <w:vAlign w:val="center"/>
            <w:hideMark/>
          </w:tcPr>
          <w:p w:rsidR="004B0E0C" w:rsidRPr="00331E71" w:rsidRDefault="004B0E0C" w:rsidP="00B723BB">
            <w:pPr>
              <w:rPr>
                <w:rFonts w:eastAsia="Times New Roman" w:cs="Times New Roman"/>
                <w:color w:val="000000"/>
                <w:sz w:val="20"/>
                <w:szCs w:val="20"/>
                <w:lang w:eastAsia="pt-BR"/>
              </w:rPr>
            </w:pPr>
            <w:r w:rsidRPr="00331E71">
              <w:rPr>
                <w:rFonts w:eastAsia="Times New Roman" w:cs="Times New Roman"/>
                <w:color w:val="000000"/>
                <w:sz w:val="20"/>
                <w:szCs w:val="20"/>
                <w:lang w:eastAsia="pt-BR"/>
              </w:rPr>
              <w:t>LL</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-17.434.691</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23.570.367</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465.099</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2.505.888</w:t>
            </w:r>
          </w:p>
        </w:tc>
        <w:tc>
          <w:tcPr>
            <w:tcW w:w="629" w:type="pct"/>
            <w:gridSpan w:val="2"/>
            <w:tcBorders>
              <w:top w:val="nil"/>
              <w:left w:val="nil"/>
              <w:bottom w:val="nil"/>
              <w:right w:val="nil"/>
            </w:tcBorders>
            <w:vAlign w:val="bottom"/>
          </w:tcPr>
          <w:p w:rsidR="004B0E0C" w:rsidRPr="00331E71" w:rsidRDefault="004B0E0C" w:rsidP="00B723BB">
            <w:pPr>
              <w:jc w:val="center"/>
              <w:rPr>
                <w:rFonts w:cs="Times New Roman"/>
                <w:color w:val="000000"/>
                <w:sz w:val="20"/>
                <w:szCs w:val="20"/>
              </w:rPr>
            </w:pPr>
            <w:r w:rsidRPr="00331E71">
              <w:rPr>
                <w:rFonts w:cs="Times New Roman"/>
                <w:color w:val="000000"/>
                <w:sz w:val="20"/>
                <w:szCs w:val="20"/>
              </w:rPr>
              <w:t>5,39</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4,34</w:t>
            </w:r>
          </w:p>
        </w:tc>
        <w:tc>
          <w:tcPr>
            <w:tcW w:w="628"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41,18</w:t>
            </w:r>
          </w:p>
        </w:tc>
      </w:tr>
      <w:tr w:rsidR="004B0E0C" w:rsidRPr="00331E71" w:rsidTr="00540DA2">
        <w:trPr>
          <w:trHeight w:val="300"/>
        </w:trPr>
        <w:tc>
          <w:tcPr>
            <w:tcW w:w="598" w:type="pct"/>
            <w:tcBorders>
              <w:top w:val="nil"/>
              <w:left w:val="nil"/>
              <w:bottom w:val="nil"/>
              <w:right w:val="nil"/>
            </w:tcBorders>
            <w:shd w:val="clear" w:color="auto" w:fill="auto"/>
            <w:vAlign w:val="center"/>
            <w:hideMark/>
          </w:tcPr>
          <w:p w:rsidR="004B0E0C" w:rsidRPr="00331E71" w:rsidRDefault="004B0E0C" w:rsidP="00B723BB">
            <w:pPr>
              <w:rPr>
                <w:rFonts w:eastAsia="Times New Roman" w:cs="Times New Roman"/>
                <w:color w:val="000000"/>
                <w:sz w:val="20"/>
                <w:szCs w:val="20"/>
                <w:lang w:eastAsia="pt-BR"/>
              </w:rPr>
            </w:pPr>
            <w:r w:rsidRPr="00331E71">
              <w:rPr>
                <w:rFonts w:eastAsia="Times New Roman" w:cs="Times New Roman"/>
                <w:color w:val="000000"/>
                <w:sz w:val="20"/>
                <w:szCs w:val="20"/>
                <w:lang w:eastAsia="pt-BR"/>
              </w:rPr>
              <w:t>ORA</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-7.499.623</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8.488.736</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20.542</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859.374</w:t>
            </w:r>
          </w:p>
        </w:tc>
        <w:tc>
          <w:tcPr>
            <w:tcW w:w="629" w:type="pct"/>
            <w:gridSpan w:val="2"/>
            <w:tcBorders>
              <w:top w:val="nil"/>
              <w:left w:val="nil"/>
              <w:bottom w:val="nil"/>
              <w:right w:val="nil"/>
            </w:tcBorders>
            <w:vAlign w:val="bottom"/>
          </w:tcPr>
          <w:p w:rsidR="004B0E0C" w:rsidRPr="00331E71" w:rsidRDefault="004B0E0C" w:rsidP="00B723BB">
            <w:pPr>
              <w:jc w:val="center"/>
              <w:rPr>
                <w:rFonts w:cs="Times New Roman"/>
                <w:color w:val="000000"/>
                <w:sz w:val="20"/>
                <w:szCs w:val="20"/>
              </w:rPr>
            </w:pPr>
            <w:r w:rsidRPr="00331E71">
              <w:rPr>
                <w:rFonts w:cs="Times New Roman"/>
                <w:color w:val="000000"/>
                <w:sz w:val="20"/>
                <w:szCs w:val="20"/>
              </w:rPr>
              <w:t>41,83</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2,22</w:t>
            </w:r>
          </w:p>
        </w:tc>
        <w:tc>
          <w:tcPr>
            <w:tcW w:w="628"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60,82</w:t>
            </w:r>
          </w:p>
        </w:tc>
      </w:tr>
      <w:tr w:rsidR="004B0E0C" w:rsidRPr="00331E71" w:rsidTr="00540DA2">
        <w:trPr>
          <w:trHeight w:val="300"/>
        </w:trPr>
        <w:tc>
          <w:tcPr>
            <w:tcW w:w="598" w:type="pct"/>
            <w:tcBorders>
              <w:top w:val="nil"/>
              <w:left w:val="nil"/>
              <w:bottom w:val="nil"/>
              <w:right w:val="nil"/>
            </w:tcBorders>
            <w:shd w:val="clear" w:color="auto" w:fill="auto"/>
            <w:vAlign w:val="center"/>
            <w:hideMark/>
          </w:tcPr>
          <w:p w:rsidR="004B0E0C" w:rsidRPr="00331E71" w:rsidRDefault="004B0E0C" w:rsidP="00B723BB">
            <w:pPr>
              <w:rPr>
                <w:rFonts w:eastAsia="Times New Roman" w:cs="Times New Roman"/>
                <w:color w:val="000000"/>
                <w:sz w:val="20"/>
                <w:szCs w:val="20"/>
                <w:lang w:eastAsia="pt-BR"/>
              </w:rPr>
            </w:pPr>
            <w:r w:rsidRPr="00331E71">
              <w:rPr>
                <w:rFonts w:eastAsia="Times New Roman" w:cs="Times New Roman"/>
                <w:color w:val="000000"/>
                <w:sz w:val="20"/>
                <w:szCs w:val="20"/>
                <w:lang w:eastAsia="pt-BR"/>
              </w:rPr>
              <w:t>TVM</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-3.187.000</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1.231.000</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-9.500</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195.576</w:t>
            </w:r>
          </w:p>
        </w:tc>
        <w:tc>
          <w:tcPr>
            <w:tcW w:w="629" w:type="pct"/>
            <w:gridSpan w:val="2"/>
            <w:tcBorders>
              <w:top w:val="nil"/>
              <w:left w:val="nil"/>
              <w:bottom w:val="nil"/>
              <w:right w:val="nil"/>
            </w:tcBorders>
            <w:vAlign w:val="bottom"/>
          </w:tcPr>
          <w:p w:rsidR="004B0E0C" w:rsidRPr="00331E71" w:rsidRDefault="004B0E0C" w:rsidP="00B723BB">
            <w:pPr>
              <w:jc w:val="center"/>
              <w:rPr>
                <w:rFonts w:cs="Times New Roman"/>
                <w:color w:val="000000"/>
                <w:sz w:val="20"/>
                <w:szCs w:val="20"/>
              </w:rPr>
            </w:pPr>
            <w:r w:rsidRPr="00331E71">
              <w:rPr>
                <w:rFonts w:cs="Times New Roman"/>
                <w:color w:val="000000"/>
                <w:sz w:val="20"/>
                <w:szCs w:val="20"/>
              </w:rPr>
              <w:t>-20,59</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-11,87</w:t>
            </w:r>
          </w:p>
        </w:tc>
        <w:tc>
          <w:tcPr>
            <w:tcW w:w="628"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191,44</w:t>
            </w:r>
          </w:p>
        </w:tc>
      </w:tr>
      <w:tr w:rsidR="004B0E0C" w:rsidRPr="00331E71" w:rsidTr="00540DA2">
        <w:trPr>
          <w:trHeight w:val="300"/>
        </w:trPr>
        <w:tc>
          <w:tcPr>
            <w:tcW w:w="598" w:type="pct"/>
            <w:tcBorders>
              <w:top w:val="nil"/>
              <w:left w:val="nil"/>
              <w:bottom w:val="nil"/>
              <w:right w:val="nil"/>
            </w:tcBorders>
            <w:shd w:val="clear" w:color="auto" w:fill="auto"/>
            <w:vAlign w:val="center"/>
            <w:hideMark/>
          </w:tcPr>
          <w:p w:rsidR="004B0E0C" w:rsidRPr="00331E71" w:rsidRDefault="00766E81" w:rsidP="00B723BB">
            <w:pPr>
              <w:rPr>
                <w:rFonts w:eastAsia="Times New Roman" w:cs="Times New Roman"/>
                <w:color w:val="000000"/>
                <w:sz w:val="20"/>
                <w:szCs w:val="20"/>
                <w:lang w:eastAsia="pt-BR"/>
              </w:rPr>
            </w:pPr>
            <w:r w:rsidRPr="00331E71">
              <w:rPr>
                <w:rFonts w:eastAsia="Times New Roman" w:cs="Times New Roman"/>
                <w:color w:val="000000"/>
                <w:sz w:val="20"/>
                <w:szCs w:val="20"/>
                <w:lang w:eastAsia="pt-BR"/>
              </w:rPr>
              <w:t>COM</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-179.455</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9.770.883</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72.836</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610.509</w:t>
            </w:r>
          </w:p>
        </w:tc>
        <w:tc>
          <w:tcPr>
            <w:tcW w:w="629" w:type="pct"/>
            <w:gridSpan w:val="2"/>
            <w:tcBorders>
              <w:top w:val="nil"/>
              <w:left w:val="nil"/>
              <w:bottom w:val="nil"/>
              <w:right w:val="nil"/>
            </w:tcBorders>
            <w:vAlign w:val="bottom"/>
          </w:tcPr>
          <w:p w:rsidR="004B0E0C" w:rsidRPr="00331E71" w:rsidRDefault="004B0E0C" w:rsidP="00B723BB">
            <w:pPr>
              <w:jc w:val="center"/>
              <w:rPr>
                <w:rFonts w:cs="Times New Roman"/>
                <w:color w:val="000000"/>
                <w:sz w:val="20"/>
                <w:szCs w:val="20"/>
              </w:rPr>
            </w:pPr>
            <w:r w:rsidRPr="00331E71">
              <w:rPr>
                <w:rFonts w:cs="Times New Roman"/>
                <w:color w:val="000000"/>
                <w:sz w:val="20"/>
                <w:szCs w:val="20"/>
              </w:rPr>
              <w:t>8,38</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12,81</w:t>
            </w:r>
          </w:p>
        </w:tc>
        <w:tc>
          <w:tcPr>
            <w:tcW w:w="628"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181,04</w:t>
            </w:r>
          </w:p>
        </w:tc>
      </w:tr>
      <w:tr w:rsidR="004B0E0C" w:rsidRPr="00331E71" w:rsidTr="00540DA2">
        <w:trPr>
          <w:trHeight w:val="300"/>
        </w:trPr>
        <w:tc>
          <w:tcPr>
            <w:tcW w:w="598" w:type="pct"/>
            <w:tcBorders>
              <w:top w:val="nil"/>
              <w:left w:val="nil"/>
              <w:bottom w:val="nil"/>
              <w:right w:val="nil"/>
            </w:tcBorders>
            <w:shd w:val="clear" w:color="auto" w:fill="auto"/>
            <w:vAlign w:val="center"/>
            <w:hideMark/>
          </w:tcPr>
          <w:p w:rsidR="004B0E0C" w:rsidRPr="00331E71" w:rsidRDefault="004B0E0C" w:rsidP="00B723BB">
            <w:pPr>
              <w:rPr>
                <w:rFonts w:eastAsia="Times New Roman" w:cs="Times New Roman"/>
                <w:color w:val="000000"/>
                <w:sz w:val="20"/>
                <w:szCs w:val="20"/>
                <w:lang w:eastAsia="pt-BR"/>
              </w:rPr>
            </w:pPr>
            <w:r w:rsidRPr="00331E71">
              <w:rPr>
                <w:rFonts w:eastAsia="Times New Roman" w:cs="Times New Roman"/>
                <w:color w:val="000000"/>
                <w:sz w:val="20"/>
                <w:szCs w:val="20"/>
                <w:lang w:eastAsia="pt-BR"/>
              </w:rPr>
              <w:t>PEN</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-6.177.000</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10.989.000</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7.906</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623.650</w:t>
            </w:r>
          </w:p>
        </w:tc>
        <w:tc>
          <w:tcPr>
            <w:tcW w:w="629" w:type="pct"/>
            <w:gridSpan w:val="2"/>
            <w:tcBorders>
              <w:top w:val="nil"/>
              <w:left w:val="nil"/>
              <w:bottom w:val="nil"/>
              <w:right w:val="nil"/>
            </w:tcBorders>
            <w:vAlign w:val="bottom"/>
          </w:tcPr>
          <w:p w:rsidR="004B0E0C" w:rsidRPr="00331E71" w:rsidRDefault="004B0E0C" w:rsidP="00B723BB">
            <w:pPr>
              <w:jc w:val="center"/>
              <w:rPr>
                <w:rFonts w:cs="Times New Roman"/>
                <w:color w:val="000000"/>
                <w:sz w:val="20"/>
                <w:szCs w:val="20"/>
              </w:rPr>
            </w:pPr>
            <w:r w:rsidRPr="00331E71">
              <w:rPr>
                <w:rFonts w:cs="Times New Roman"/>
                <w:color w:val="000000"/>
                <w:sz w:val="20"/>
                <w:szCs w:val="20"/>
              </w:rPr>
              <w:t>78,88</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9,68</w:t>
            </w:r>
          </w:p>
        </w:tc>
        <w:tc>
          <w:tcPr>
            <w:tcW w:w="628"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230,73</w:t>
            </w:r>
          </w:p>
        </w:tc>
      </w:tr>
      <w:tr w:rsidR="004B0E0C" w:rsidRPr="00331E71" w:rsidTr="00540DA2">
        <w:trPr>
          <w:trHeight w:val="300"/>
        </w:trPr>
        <w:tc>
          <w:tcPr>
            <w:tcW w:w="598" w:type="pct"/>
            <w:tcBorders>
              <w:top w:val="nil"/>
              <w:left w:val="nil"/>
              <w:bottom w:val="nil"/>
              <w:right w:val="nil"/>
            </w:tcBorders>
            <w:shd w:val="clear" w:color="auto" w:fill="auto"/>
            <w:vAlign w:val="center"/>
            <w:hideMark/>
          </w:tcPr>
          <w:p w:rsidR="004B0E0C" w:rsidRPr="00331E71" w:rsidRDefault="004B0E0C" w:rsidP="00B723BB">
            <w:pPr>
              <w:rPr>
                <w:rFonts w:eastAsia="Times New Roman" w:cs="Times New Roman"/>
                <w:color w:val="000000"/>
                <w:sz w:val="20"/>
                <w:szCs w:val="20"/>
                <w:lang w:eastAsia="pt-BR"/>
              </w:rPr>
            </w:pPr>
            <w:r w:rsidRPr="00331E71">
              <w:rPr>
                <w:rFonts w:eastAsia="Times New Roman" w:cs="Times New Roman"/>
                <w:color w:val="000000"/>
                <w:sz w:val="20"/>
                <w:szCs w:val="20"/>
                <w:lang w:eastAsia="pt-BR"/>
              </w:rPr>
              <w:t>HED</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-8.332.000</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118.466</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-30.690</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400.889</w:t>
            </w:r>
          </w:p>
        </w:tc>
        <w:tc>
          <w:tcPr>
            <w:tcW w:w="629" w:type="pct"/>
            <w:gridSpan w:val="2"/>
            <w:tcBorders>
              <w:top w:val="nil"/>
              <w:left w:val="nil"/>
              <w:bottom w:val="nil"/>
              <w:right w:val="nil"/>
            </w:tcBorders>
            <w:vAlign w:val="bottom"/>
          </w:tcPr>
          <w:p w:rsidR="004B0E0C" w:rsidRPr="00331E71" w:rsidRDefault="004B0E0C" w:rsidP="00B723BB">
            <w:pPr>
              <w:jc w:val="center"/>
              <w:rPr>
                <w:rFonts w:cs="Times New Roman"/>
                <w:color w:val="000000"/>
                <w:sz w:val="20"/>
                <w:szCs w:val="20"/>
              </w:rPr>
            </w:pPr>
            <w:r w:rsidRPr="00331E71">
              <w:rPr>
                <w:rFonts w:cs="Times New Roman"/>
                <w:color w:val="000000"/>
                <w:sz w:val="20"/>
                <w:szCs w:val="20"/>
              </w:rPr>
              <w:t>-13,06</w:t>
            </w:r>
          </w:p>
        </w:tc>
        <w:tc>
          <w:tcPr>
            <w:tcW w:w="629"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-19,57</w:t>
            </w:r>
          </w:p>
        </w:tc>
        <w:tc>
          <w:tcPr>
            <w:tcW w:w="628" w:type="pct"/>
            <w:gridSpan w:val="2"/>
            <w:tcBorders>
              <w:top w:val="nil"/>
              <w:left w:val="nil"/>
              <w:bottom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402,54</w:t>
            </w:r>
          </w:p>
        </w:tc>
      </w:tr>
      <w:tr w:rsidR="004B0E0C" w:rsidRPr="00331E71" w:rsidTr="00DE2C5B">
        <w:trPr>
          <w:trHeight w:val="300"/>
        </w:trPr>
        <w:tc>
          <w:tcPr>
            <w:tcW w:w="598" w:type="pct"/>
            <w:tcBorders>
              <w:top w:val="nil"/>
              <w:left w:val="nil"/>
              <w:right w:val="nil"/>
            </w:tcBorders>
            <w:shd w:val="clear" w:color="auto" w:fill="auto"/>
            <w:vAlign w:val="center"/>
            <w:hideMark/>
          </w:tcPr>
          <w:p w:rsidR="004B0E0C" w:rsidRPr="00331E71" w:rsidRDefault="004B0E0C" w:rsidP="00B723BB">
            <w:pPr>
              <w:rPr>
                <w:rFonts w:eastAsia="Times New Roman" w:cs="Times New Roman"/>
                <w:color w:val="000000"/>
                <w:sz w:val="20"/>
                <w:szCs w:val="20"/>
                <w:lang w:eastAsia="pt-BR"/>
              </w:rPr>
            </w:pPr>
            <w:r w:rsidRPr="00331E71">
              <w:rPr>
                <w:rFonts w:eastAsia="Times New Roman" w:cs="Times New Roman"/>
                <w:color w:val="000000"/>
                <w:sz w:val="20"/>
                <w:szCs w:val="20"/>
                <w:lang w:eastAsia="pt-BR"/>
              </w:rPr>
              <w:t>NVM</w:t>
            </w:r>
          </w:p>
        </w:tc>
        <w:tc>
          <w:tcPr>
            <w:tcW w:w="629" w:type="pct"/>
            <w:gridSpan w:val="2"/>
            <w:tcBorders>
              <w:top w:val="nil"/>
              <w:left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-7.499.623</w:t>
            </w:r>
          </w:p>
        </w:tc>
        <w:tc>
          <w:tcPr>
            <w:tcW w:w="629" w:type="pct"/>
            <w:gridSpan w:val="2"/>
            <w:tcBorders>
              <w:top w:val="nil"/>
              <w:left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8.490.694</w:t>
            </w:r>
          </w:p>
        </w:tc>
        <w:tc>
          <w:tcPr>
            <w:tcW w:w="629" w:type="pct"/>
            <w:gridSpan w:val="2"/>
            <w:tcBorders>
              <w:top w:val="nil"/>
              <w:left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42.788</w:t>
            </w:r>
          </w:p>
        </w:tc>
        <w:tc>
          <w:tcPr>
            <w:tcW w:w="629" w:type="pct"/>
            <w:gridSpan w:val="2"/>
            <w:tcBorders>
              <w:top w:val="nil"/>
              <w:left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817.594</w:t>
            </w:r>
          </w:p>
        </w:tc>
        <w:tc>
          <w:tcPr>
            <w:tcW w:w="629" w:type="pct"/>
            <w:gridSpan w:val="2"/>
            <w:tcBorders>
              <w:top w:val="nil"/>
              <w:left w:val="nil"/>
              <w:right w:val="nil"/>
            </w:tcBorders>
            <w:vAlign w:val="bottom"/>
          </w:tcPr>
          <w:p w:rsidR="004B0E0C" w:rsidRPr="00331E71" w:rsidRDefault="004B0E0C" w:rsidP="00B723BB">
            <w:pPr>
              <w:jc w:val="center"/>
              <w:rPr>
                <w:rFonts w:cs="Times New Roman"/>
                <w:color w:val="000000"/>
                <w:sz w:val="20"/>
                <w:szCs w:val="20"/>
              </w:rPr>
            </w:pPr>
            <w:r w:rsidRPr="00331E71">
              <w:rPr>
                <w:rFonts w:cs="Times New Roman"/>
                <w:color w:val="000000"/>
                <w:sz w:val="20"/>
                <w:szCs w:val="20"/>
              </w:rPr>
              <w:t>19,11</w:t>
            </w:r>
          </w:p>
        </w:tc>
        <w:tc>
          <w:tcPr>
            <w:tcW w:w="629" w:type="pct"/>
            <w:gridSpan w:val="2"/>
            <w:tcBorders>
              <w:top w:val="nil"/>
              <w:left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3,45</w:t>
            </w:r>
          </w:p>
        </w:tc>
        <w:tc>
          <w:tcPr>
            <w:tcW w:w="628" w:type="pct"/>
            <w:gridSpan w:val="2"/>
            <w:tcBorders>
              <w:top w:val="nil"/>
              <w:left w:val="nil"/>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71,82</w:t>
            </w:r>
          </w:p>
        </w:tc>
      </w:tr>
      <w:tr w:rsidR="004B0E0C" w:rsidRPr="00331E71" w:rsidTr="00DE2C5B">
        <w:trPr>
          <w:trHeight w:val="315"/>
        </w:trPr>
        <w:tc>
          <w:tcPr>
            <w:tcW w:w="598" w:type="pct"/>
            <w:tcBorders>
              <w:top w:val="nil"/>
              <w:left w:val="nil"/>
              <w:bottom w:val="double" w:sz="4" w:space="0" w:color="auto"/>
              <w:right w:val="nil"/>
            </w:tcBorders>
            <w:shd w:val="clear" w:color="auto" w:fill="auto"/>
            <w:vAlign w:val="center"/>
            <w:hideMark/>
          </w:tcPr>
          <w:p w:rsidR="004B0E0C" w:rsidRPr="00331E71" w:rsidRDefault="004B0E0C" w:rsidP="00B723BB">
            <w:pPr>
              <w:rPr>
                <w:rFonts w:eastAsia="Times New Roman" w:cs="Times New Roman"/>
                <w:color w:val="000000"/>
                <w:sz w:val="20"/>
                <w:szCs w:val="20"/>
                <w:lang w:eastAsia="pt-BR"/>
              </w:rPr>
            </w:pPr>
            <w:r w:rsidRPr="00331E71">
              <w:rPr>
                <w:rFonts w:eastAsia="Times New Roman" w:cs="Times New Roman"/>
                <w:color w:val="000000"/>
                <w:sz w:val="20"/>
                <w:szCs w:val="20"/>
                <w:lang w:eastAsia="pt-BR"/>
              </w:rPr>
              <w:t>RAC</w:t>
            </w:r>
          </w:p>
        </w:tc>
        <w:tc>
          <w:tcPr>
            <w:tcW w:w="629" w:type="pct"/>
            <w:gridSpan w:val="2"/>
            <w:tcBorders>
              <w:top w:val="nil"/>
              <w:left w:val="nil"/>
              <w:bottom w:val="double" w:sz="4" w:space="0" w:color="auto"/>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-17.385.900</w:t>
            </w:r>
          </w:p>
        </w:tc>
        <w:tc>
          <w:tcPr>
            <w:tcW w:w="629" w:type="pct"/>
            <w:gridSpan w:val="2"/>
            <w:tcBorders>
              <w:top w:val="nil"/>
              <w:left w:val="nil"/>
              <w:bottom w:val="double" w:sz="4" w:space="0" w:color="auto"/>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49.068.914</w:t>
            </w:r>
          </w:p>
        </w:tc>
        <w:tc>
          <w:tcPr>
            <w:tcW w:w="629" w:type="pct"/>
            <w:gridSpan w:val="2"/>
            <w:tcBorders>
              <w:top w:val="nil"/>
              <w:left w:val="nil"/>
              <w:bottom w:val="double" w:sz="4" w:space="0" w:color="auto"/>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657.073</w:t>
            </w:r>
          </w:p>
        </w:tc>
        <w:tc>
          <w:tcPr>
            <w:tcW w:w="629" w:type="pct"/>
            <w:gridSpan w:val="2"/>
            <w:tcBorders>
              <w:top w:val="nil"/>
              <w:left w:val="nil"/>
              <w:bottom w:val="double" w:sz="4" w:space="0" w:color="auto"/>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3.937.014</w:t>
            </w:r>
          </w:p>
        </w:tc>
        <w:tc>
          <w:tcPr>
            <w:tcW w:w="629" w:type="pct"/>
            <w:gridSpan w:val="2"/>
            <w:tcBorders>
              <w:top w:val="nil"/>
              <w:left w:val="nil"/>
              <w:bottom w:val="double" w:sz="4" w:space="0" w:color="auto"/>
              <w:right w:val="nil"/>
            </w:tcBorders>
            <w:vAlign w:val="bottom"/>
          </w:tcPr>
          <w:p w:rsidR="004B0E0C" w:rsidRPr="00331E71" w:rsidRDefault="004B0E0C" w:rsidP="00B723BB">
            <w:pPr>
              <w:jc w:val="center"/>
              <w:rPr>
                <w:rFonts w:cs="Times New Roman"/>
                <w:color w:val="000000"/>
                <w:sz w:val="20"/>
                <w:szCs w:val="20"/>
              </w:rPr>
            </w:pPr>
            <w:r w:rsidRPr="00331E71">
              <w:rPr>
                <w:rFonts w:cs="Times New Roman"/>
                <w:color w:val="000000"/>
                <w:sz w:val="20"/>
                <w:szCs w:val="20"/>
              </w:rPr>
              <w:t>5,99</w:t>
            </w:r>
          </w:p>
        </w:tc>
        <w:tc>
          <w:tcPr>
            <w:tcW w:w="629" w:type="pct"/>
            <w:gridSpan w:val="2"/>
            <w:tcBorders>
              <w:top w:val="nil"/>
              <w:left w:val="nil"/>
              <w:bottom w:val="double" w:sz="4" w:space="0" w:color="auto"/>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6,85</w:t>
            </w:r>
          </w:p>
        </w:tc>
        <w:tc>
          <w:tcPr>
            <w:tcW w:w="628" w:type="pct"/>
            <w:gridSpan w:val="2"/>
            <w:tcBorders>
              <w:top w:val="nil"/>
              <w:left w:val="nil"/>
              <w:bottom w:val="double" w:sz="4" w:space="0" w:color="auto"/>
              <w:right w:val="nil"/>
            </w:tcBorders>
            <w:shd w:val="clear" w:color="auto" w:fill="auto"/>
            <w:noWrap/>
            <w:vAlign w:val="center"/>
            <w:hideMark/>
          </w:tcPr>
          <w:p w:rsidR="004B0E0C" w:rsidRPr="00331E71" w:rsidRDefault="004B0E0C"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73,50</w:t>
            </w:r>
          </w:p>
        </w:tc>
      </w:tr>
      <w:tr w:rsidR="00540DA2" w:rsidRPr="00331E71" w:rsidTr="00DE2C5B">
        <w:trPr>
          <w:trHeight w:val="340"/>
        </w:trPr>
        <w:tc>
          <w:tcPr>
            <w:tcW w:w="5000" w:type="pct"/>
            <w:gridSpan w:val="15"/>
            <w:tcBorders>
              <w:top w:val="double" w:sz="4" w:space="0" w:color="auto"/>
              <w:left w:val="nil"/>
              <w:bottom w:val="single" w:sz="4" w:space="0" w:color="auto"/>
              <w:right w:val="nil"/>
            </w:tcBorders>
            <w:shd w:val="clear" w:color="auto" w:fill="auto"/>
            <w:vAlign w:val="center"/>
          </w:tcPr>
          <w:p w:rsidR="00540DA2" w:rsidRPr="00331E71" w:rsidRDefault="005B1898" w:rsidP="00B723BB">
            <w:pPr>
              <w:rPr>
                <w:rFonts w:eastAsia="Times New Roman" w:cs="Times New Roman"/>
                <w:bCs/>
                <w:color w:val="000000"/>
                <w:sz w:val="20"/>
                <w:szCs w:val="20"/>
                <w:lang w:eastAsia="pt-BR"/>
              </w:rPr>
            </w:pPr>
            <w:r w:rsidRPr="00331E71">
              <w:rPr>
                <w:rFonts w:eastAsia="Times New Roman" w:cs="Times New Roman"/>
                <w:bCs/>
                <w:color w:val="000000"/>
                <w:sz w:val="20"/>
                <w:szCs w:val="20"/>
                <w:lang w:eastAsia="pt-BR"/>
              </w:rPr>
              <w:t>Painel B</w:t>
            </w:r>
            <w:r w:rsidR="00540DA2" w:rsidRPr="00331E71">
              <w:rPr>
                <w:rFonts w:eastAsia="Times New Roman" w:cs="Times New Roman"/>
                <w:bCs/>
                <w:color w:val="000000"/>
                <w:sz w:val="20"/>
                <w:szCs w:val="20"/>
                <w:lang w:eastAsia="pt-BR"/>
              </w:rPr>
              <w:t xml:space="preserve"> – Variáveis utilizadas nas equações 06 a 10: Preços das ações</w:t>
            </w:r>
            <w:r w:rsidRPr="00331E71">
              <w:rPr>
                <w:rFonts w:eastAsia="Times New Roman" w:cs="Times New Roman"/>
                <w:bCs/>
                <w:color w:val="000000"/>
                <w:sz w:val="20"/>
                <w:szCs w:val="20"/>
                <w:lang w:eastAsia="pt-BR"/>
              </w:rPr>
              <w:t xml:space="preserve"> (605 observações)</w:t>
            </w:r>
          </w:p>
        </w:tc>
      </w:tr>
      <w:tr w:rsidR="00540DA2" w:rsidRPr="00331E71" w:rsidTr="00DE2C5B">
        <w:trPr>
          <w:trHeight w:val="270"/>
        </w:trPr>
        <w:tc>
          <w:tcPr>
            <w:tcW w:w="625" w:type="pct"/>
            <w:gridSpan w:val="2"/>
            <w:tcBorders>
              <w:top w:val="single" w:sz="4" w:space="0" w:color="auto"/>
              <w:left w:val="nil"/>
              <w:bottom w:val="single" w:sz="4" w:space="0" w:color="auto"/>
              <w:right w:val="nil"/>
            </w:tcBorders>
            <w:shd w:val="clear" w:color="auto" w:fill="auto"/>
            <w:vAlign w:val="center"/>
            <w:hideMark/>
          </w:tcPr>
          <w:p w:rsidR="00540DA2" w:rsidRPr="00331E71" w:rsidRDefault="00540DA2"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Variáveis</w:t>
            </w:r>
          </w:p>
        </w:tc>
        <w:tc>
          <w:tcPr>
            <w:tcW w:w="625" w:type="pct"/>
            <w:gridSpan w:val="2"/>
            <w:tcBorders>
              <w:top w:val="single" w:sz="4" w:space="0" w:color="auto"/>
              <w:left w:val="nil"/>
              <w:bottom w:val="single" w:sz="4" w:space="0" w:color="auto"/>
              <w:right w:val="nil"/>
            </w:tcBorders>
            <w:shd w:val="clear" w:color="auto" w:fill="auto"/>
            <w:vAlign w:val="center"/>
            <w:hideMark/>
          </w:tcPr>
          <w:p w:rsidR="00540DA2" w:rsidRPr="00331E71" w:rsidRDefault="00540DA2"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Mínimo</w:t>
            </w:r>
          </w:p>
        </w:tc>
        <w:tc>
          <w:tcPr>
            <w:tcW w:w="625" w:type="pct"/>
            <w:gridSpan w:val="2"/>
            <w:tcBorders>
              <w:top w:val="single" w:sz="4" w:space="0" w:color="auto"/>
              <w:left w:val="nil"/>
              <w:bottom w:val="single" w:sz="4" w:space="0" w:color="auto"/>
              <w:right w:val="nil"/>
            </w:tcBorders>
            <w:shd w:val="clear" w:color="auto" w:fill="auto"/>
            <w:vAlign w:val="center"/>
            <w:hideMark/>
          </w:tcPr>
          <w:p w:rsidR="00540DA2" w:rsidRPr="00331E71" w:rsidRDefault="00540DA2"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Máximo</w:t>
            </w:r>
          </w:p>
        </w:tc>
        <w:tc>
          <w:tcPr>
            <w:tcW w:w="625" w:type="pct"/>
            <w:gridSpan w:val="2"/>
            <w:tcBorders>
              <w:top w:val="single" w:sz="4" w:space="0" w:color="auto"/>
              <w:left w:val="nil"/>
              <w:bottom w:val="single" w:sz="4" w:space="0" w:color="auto"/>
              <w:right w:val="nil"/>
            </w:tcBorders>
            <w:shd w:val="clear" w:color="auto" w:fill="auto"/>
            <w:vAlign w:val="center"/>
            <w:hideMark/>
          </w:tcPr>
          <w:p w:rsidR="00540DA2" w:rsidRPr="00331E71" w:rsidRDefault="00540DA2"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Média</w:t>
            </w:r>
          </w:p>
        </w:tc>
        <w:tc>
          <w:tcPr>
            <w:tcW w:w="625" w:type="pct"/>
            <w:gridSpan w:val="2"/>
            <w:tcBorders>
              <w:top w:val="single" w:sz="4" w:space="0" w:color="auto"/>
              <w:left w:val="nil"/>
              <w:bottom w:val="single" w:sz="4" w:space="0" w:color="auto"/>
              <w:right w:val="nil"/>
            </w:tcBorders>
            <w:shd w:val="clear" w:color="auto" w:fill="auto"/>
            <w:vAlign w:val="center"/>
            <w:hideMark/>
          </w:tcPr>
          <w:p w:rsidR="00540DA2" w:rsidRPr="00331E71" w:rsidRDefault="00540DA2"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Desvio Padrão</w:t>
            </w:r>
          </w:p>
        </w:tc>
        <w:tc>
          <w:tcPr>
            <w:tcW w:w="625" w:type="pct"/>
            <w:gridSpan w:val="2"/>
            <w:tcBorders>
              <w:top w:val="single" w:sz="4" w:space="0" w:color="auto"/>
              <w:left w:val="nil"/>
              <w:bottom w:val="single" w:sz="4" w:space="0" w:color="auto"/>
              <w:right w:val="nil"/>
            </w:tcBorders>
            <w:vAlign w:val="center"/>
          </w:tcPr>
          <w:p w:rsidR="00540DA2" w:rsidRPr="00331E71" w:rsidRDefault="00540DA2"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Coeficiente Variação</w:t>
            </w:r>
          </w:p>
        </w:tc>
        <w:tc>
          <w:tcPr>
            <w:tcW w:w="625" w:type="pct"/>
            <w:gridSpan w:val="2"/>
            <w:tcBorders>
              <w:top w:val="single" w:sz="4" w:space="0" w:color="auto"/>
              <w:left w:val="nil"/>
              <w:bottom w:val="single" w:sz="4" w:space="0" w:color="auto"/>
              <w:right w:val="nil"/>
            </w:tcBorders>
            <w:shd w:val="clear" w:color="auto" w:fill="auto"/>
            <w:vAlign w:val="center"/>
            <w:hideMark/>
          </w:tcPr>
          <w:p w:rsidR="00540DA2" w:rsidRPr="00331E71" w:rsidRDefault="00540DA2"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Assimetria</w:t>
            </w:r>
          </w:p>
        </w:tc>
        <w:tc>
          <w:tcPr>
            <w:tcW w:w="625" w:type="pct"/>
            <w:tcBorders>
              <w:top w:val="single" w:sz="4" w:space="0" w:color="auto"/>
              <w:left w:val="nil"/>
              <w:bottom w:val="single" w:sz="4" w:space="0" w:color="auto"/>
              <w:right w:val="nil"/>
            </w:tcBorders>
            <w:shd w:val="clear" w:color="auto" w:fill="auto"/>
            <w:vAlign w:val="center"/>
            <w:hideMark/>
          </w:tcPr>
          <w:p w:rsidR="00540DA2" w:rsidRPr="00331E71" w:rsidRDefault="00540DA2"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Curtose</w:t>
            </w:r>
          </w:p>
        </w:tc>
      </w:tr>
      <w:tr w:rsidR="00DE2C5B" w:rsidRPr="00331E71" w:rsidTr="00DE2C5B">
        <w:trPr>
          <w:trHeight w:val="255"/>
        </w:trPr>
        <w:tc>
          <w:tcPr>
            <w:tcW w:w="625" w:type="pct"/>
            <w:gridSpan w:val="2"/>
            <w:tcBorders>
              <w:top w:val="single" w:sz="4" w:space="0" w:color="auto"/>
              <w:left w:val="nil"/>
              <w:bottom w:val="nil"/>
              <w:right w:val="nil"/>
            </w:tcBorders>
            <w:shd w:val="clear" w:color="auto" w:fill="auto"/>
            <w:vAlign w:val="center"/>
            <w:hideMark/>
          </w:tcPr>
          <w:p w:rsidR="00DE2C5B" w:rsidRPr="00331E71" w:rsidRDefault="00DE2C5B" w:rsidP="00B723BB">
            <w:pPr>
              <w:rPr>
                <w:rFonts w:eastAsia="Times New Roman" w:cs="Times New Roman"/>
                <w:color w:val="000000"/>
                <w:sz w:val="20"/>
                <w:szCs w:val="20"/>
                <w:lang w:eastAsia="pt-BR"/>
              </w:rPr>
            </w:pPr>
            <w:r w:rsidRPr="00331E71">
              <w:rPr>
                <w:rFonts w:eastAsia="Times New Roman" w:cs="Times New Roman"/>
                <w:color w:val="000000"/>
                <w:sz w:val="20"/>
                <w:szCs w:val="20"/>
                <w:lang w:eastAsia="pt-BR"/>
              </w:rPr>
              <w:t>P</w:t>
            </w:r>
            <w:r w:rsidRPr="00331E71">
              <w:rPr>
                <w:rFonts w:eastAsia="Times New Roman" w:cs="Times New Roman"/>
                <w:color w:val="000000"/>
                <w:sz w:val="20"/>
                <w:szCs w:val="20"/>
                <w:vertAlign w:val="subscript"/>
                <w:lang w:eastAsia="pt-BR"/>
              </w:rPr>
              <w:t>it</w:t>
            </w:r>
          </w:p>
        </w:tc>
        <w:tc>
          <w:tcPr>
            <w:tcW w:w="625" w:type="pct"/>
            <w:gridSpan w:val="2"/>
            <w:tcBorders>
              <w:top w:val="single" w:sz="4" w:space="0" w:color="auto"/>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0,01</w:t>
            </w:r>
          </w:p>
        </w:tc>
        <w:tc>
          <w:tcPr>
            <w:tcW w:w="625" w:type="pct"/>
            <w:gridSpan w:val="2"/>
            <w:tcBorders>
              <w:top w:val="single" w:sz="4" w:space="0" w:color="auto"/>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427,17</w:t>
            </w:r>
          </w:p>
        </w:tc>
        <w:tc>
          <w:tcPr>
            <w:tcW w:w="625" w:type="pct"/>
            <w:gridSpan w:val="2"/>
            <w:tcBorders>
              <w:top w:val="single" w:sz="4" w:space="0" w:color="auto"/>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18,19</w:t>
            </w:r>
          </w:p>
        </w:tc>
        <w:tc>
          <w:tcPr>
            <w:tcW w:w="625" w:type="pct"/>
            <w:gridSpan w:val="2"/>
            <w:tcBorders>
              <w:top w:val="single" w:sz="4" w:space="0" w:color="auto"/>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36,44</w:t>
            </w:r>
          </w:p>
        </w:tc>
        <w:tc>
          <w:tcPr>
            <w:tcW w:w="625" w:type="pct"/>
            <w:gridSpan w:val="2"/>
            <w:tcBorders>
              <w:top w:val="single" w:sz="4" w:space="0" w:color="auto"/>
              <w:left w:val="nil"/>
              <w:bottom w:val="nil"/>
              <w:right w:val="nil"/>
            </w:tcBorders>
            <w:vAlign w:val="center"/>
          </w:tcPr>
          <w:p w:rsidR="00DE2C5B" w:rsidRPr="00331E71" w:rsidRDefault="00DE2C5B" w:rsidP="00B723BB">
            <w:pPr>
              <w:jc w:val="center"/>
              <w:rPr>
                <w:rFonts w:cs="Times New Roman"/>
                <w:color w:val="000000"/>
                <w:sz w:val="20"/>
                <w:szCs w:val="20"/>
              </w:rPr>
            </w:pPr>
            <w:r w:rsidRPr="00331E71">
              <w:rPr>
                <w:rFonts w:cs="Times New Roman"/>
                <w:color w:val="000000"/>
                <w:sz w:val="20"/>
                <w:szCs w:val="20"/>
              </w:rPr>
              <w:t>2,00</w:t>
            </w:r>
          </w:p>
        </w:tc>
        <w:tc>
          <w:tcPr>
            <w:tcW w:w="625" w:type="pct"/>
            <w:gridSpan w:val="2"/>
            <w:tcBorders>
              <w:top w:val="single" w:sz="4" w:space="0" w:color="auto"/>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7,09</w:t>
            </w:r>
          </w:p>
        </w:tc>
        <w:tc>
          <w:tcPr>
            <w:tcW w:w="625" w:type="pct"/>
            <w:tcBorders>
              <w:top w:val="single" w:sz="4" w:space="0" w:color="auto"/>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60,57</w:t>
            </w:r>
          </w:p>
        </w:tc>
      </w:tr>
      <w:tr w:rsidR="00DE2C5B" w:rsidRPr="00331E71" w:rsidTr="00DE2C5B">
        <w:trPr>
          <w:trHeight w:val="255"/>
        </w:trPr>
        <w:tc>
          <w:tcPr>
            <w:tcW w:w="625" w:type="pct"/>
            <w:gridSpan w:val="2"/>
            <w:tcBorders>
              <w:top w:val="nil"/>
              <w:left w:val="nil"/>
              <w:bottom w:val="nil"/>
              <w:right w:val="nil"/>
            </w:tcBorders>
            <w:shd w:val="clear" w:color="auto" w:fill="auto"/>
            <w:vAlign w:val="center"/>
            <w:hideMark/>
          </w:tcPr>
          <w:p w:rsidR="00DE2C5B" w:rsidRPr="00331E71" w:rsidRDefault="00DE2C5B" w:rsidP="00B723BB">
            <w:pPr>
              <w:rPr>
                <w:rFonts w:eastAsia="Times New Roman" w:cs="Times New Roman"/>
                <w:color w:val="000000"/>
                <w:sz w:val="20"/>
                <w:szCs w:val="20"/>
                <w:lang w:eastAsia="pt-BR"/>
              </w:rPr>
            </w:pPr>
            <w:r w:rsidRPr="00331E71">
              <w:rPr>
                <w:rFonts w:eastAsia="Times New Roman" w:cs="Times New Roman"/>
                <w:color w:val="000000"/>
                <w:sz w:val="20"/>
                <w:szCs w:val="20"/>
                <w:lang w:eastAsia="pt-BR"/>
              </w:rPr>
              <w:t>VPA</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-43,86</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423,93</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12,46</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32,46</w:t>
            </w:r>
          </w:p>
        </w:tc>
        <w:tc>
          <w:tcPr>
            <w:tcW w:w="625" w:type="pct"/>
            <w:gridSpan w:val="2"/>
            <w:tcBorders>
              <w:top w:val="nil"/>
              <w:left w:val="nil"/>
              <w:bottom w:val="nil"/>
              <w:right w:val="nil"/>
            </w:tcBorders>
            <w:vAlign w:val="center"/>
          </w:tcPr>
          <w:p w:rsidR="00DE2C5B" w:rsidRPr="00331E71" w:rsidRDefault="00DE2C5B" w:rsidP="00B723BB">
            <w:pPr>
              <w:jc w:val="center"/>
              <w:rPr>
                <w:rFonts w:cs="Times New Roman"/>
                <w:color w:val="000000"/>
                <w:sz w:val="20"/>
                <w:szCs w:val="20"/>
              </w:rPr>
            </w:pPr>
            <w:r w:rsidRPr="00331E71">
              <w:rPr>
                <w:rFonts w:cs="Times New Roman"/>
                <w:color w:val="000000"/>
                <w:sz w:val="20"/>
                <w:szCs w:val="20"/>
              </w:rPr>
              <w:t>2,61</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9,95</w:t>
            </w:r>
          </w:p>
        </w:tc>
        <w:tc>
          <w:tcPr>
            <w:tcW w:w="625" w:type="pct"/>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113,69</w:t>
            </w:r>
          </w:p>
        </w:tc>
      </w:tr>
      <w:tr w:rsidR="00DE2C5B" w:rsidRPr="00331E71" w:rsidTr="00DE2C5B">
        <w:trPr>
          <w:trHeight w:val="255"/>
        </w:trPr>
        <w:tc>
          <w:tcPr>
            <w:tcW w:w="625" w:type="pct"/>
            <w:gridSpan w:val="2"/>
            <w:tcBorders>
              <w:top w:val="nil"/>
              <w:left w:val="nil"/>
              <w:bottom w:val="nil"/>
              <w:right w:val="nil"/>
            </w:tcBorders>
            <w:shd w:val="clear" w:color="auto" w:fill="auto"/>
            <w:vAlign w:val="center"/>
            <w:hideMark/>
          </w:tcPr>
          <w:p w:rsidR="00DE2C5B" w:rsidRPr="00331E71" w:rsidRDefault="00DE2C5B" w:rsidP="00B723BB">
            <w:pPr>
              <w:rPr>
                <w:rFonts w:eastAsia="Times New Roman" w:cs="Times New Roman"/>
                <w:color w:val="000000"/>
                <w:sz w:val="20"/>
                <w:szCs w:val="20"/>
                <w:lang w:eastAsia="pt-BR"/>
              </w:rPr>
            </w:pPr>
            <w:r w:rsidRPr="00331E71">
              <w:rPr>
                <w:rFonts w:eastAsia="Times New Roman" w:cs="Times New Roman"/>
                <w:color w:val="000000"/>
                <w:sz w:val="20"/>
                <w:szCs w:val="20"/>
                <w:lang w:eastAsia="pt-BR"/>
              </w:rPr>
              <w:t>LPA</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-33,72</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25,52</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0,62</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3,13</w:t>
            </w:r>
          </w:p>
        </w:tc>
        <w:tc>
          <w:tcPr>
            <w:tcW w:w="625" w:type="pct"/>
            <w:gridSpan w:val="2"/>
            <w:tcBorders>
              <w:top w:val="nil"/>
              <w:left w:val="nil"/>
              <w:bottom w:val="nil"/>
              <w:right w:val="nil"/>
            </w:tcBorders>
            <w:vAlign w:val="center"/>
          </w:tcPr>
          <w:p w:rsidR="00DE2C5B" w:rsidRPr="00331E71" w:rsidRDefault="00DE2C5B" w:rsidP="00B723BB">
            <w:pPr>
              <w:jc w:val="center"/>
              <w:rPr>
                <w:rFonts w:cs="Times New Roman"/>
                <w:color w:val="000000"/>
                <w:sz w:val="20"/>
                <w:szCs w:val="20"/>
              </w:rPr>
            </w:pPr>
            <w:r w:rsidRPr="00331E71">
              <w:rPr>
                <w:rFonts w:cs="Times New Roman"/>
                <w:color w:val="000000"/>
                <w:sz w:val="20"/>
                <w:szCs w:val="20"/>
              </w:rPr>
              <w:t>5,05</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-1,40</w:t>
            </w:r>
          </w:p>
        </w:tc>
        <w:tc>
          <w:tcPr>
            <w:tcW w:w="625" w:type="pct"/>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40,32</w:t>
            </w:r>
          </w:p>
        </w:tc>
      </w:tr>
      <w:tr w:rsidR="00DE2C5B" w:rsidRPr="00331E71" w:rsidTr="00DE2C5B">
        <w:trPr>
          <w:trHeight w:val="255"/>
        </w:trPr>
        <w:tc>
          <w:tcPr>
            <w:tcW w:w="625" w:type="pct"/>
            <w:gridSpan w:val="2"/>
            <w:tcBorders>
              <w:top w:val="nil"/>
              <w:left w:val="nil"/>
              <w:bottom w:val="nil"/>
              <w:right w:val="nil"/>
            </w:tcBorders>
            <w:shd w:val="clear" w:color="auto" w:fill="auto"/>
            <w:vAlign w:val="center"/>
            <w:hideMark/>
          </w:tcPr>
          <w:p w:rsidR="00DE2C5B" w:rsidRPr="00331E71" w:rsidRDefault="00DE2C5B" w:rsidP="00B723BB">
            <w:pPr>
              <w:rPr>
                <w:rFonts w:eastAsia="Times New Roman" w:cs="Times New Roman"/>
                <w:color w:val="000000"/>
                <w:sz w:val="20"/>
                <w:szCs w:val="20"/>
                <w:lang w:eastAsia="pt-BR"/>
              </w:rPr>
            </w:pPr>
            <w:r w:rsidRPr="00331E71">
              <w:rPr>
                <w:rFonts w:eastAsia="Times New Roman" w:cs="Times New Roman"/>
                <w:color w:val="000000"/>
                <w:sz w:val="20"/>
                <w:szCs w:val="20"/>
                <w:lang w:eastAsia="pt-BR"/>
              </w:rPr>
              <w:t>ORA_A</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-62,54</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17,68</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-0,20</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3,73</w:t>
            </w:r>
          </w:p>
        </w:tc>
        <w:tc>
          <w:tcPr>
            <w:tcW w:w="625" w:type="pct"/>
            <w:gridSpan w:val="2"/>
            <w:tcBorders>
              <w:top w:val="nil"/>
              <w:left w:val="nil"/>
              <w:bottom w:val="nil"/>
              <w:right w:val="nil"/>
            </w:tcBorders>
            <w:vAlign w:val="center"/>
          </w:tcPr>
          <w:p w:rsidR="00DE2C5B" w:rsidRPr="00331E71" w:rsidRDefault="00DE2C5B" w:rsidP="00B723BB">
            <w:pPr>
              <w:jc w:val="center"/>
              <w:rPr>
                <w:rFonts w:cs="Times New Roman"/>
                <w:color w:val="000000"/>
                <w:sz w:val="20"/>
                <w:szCs w:val="20"/>
              </w:rPr>
            </w:pPr>
            <w:r w:rsidRPr="00331E71">
              <w:rPr>
                <w:rFonts w:cs="Times New Roman"/>
                <w:color w:val="000000"/>
                <w:sz w:val="20"/>
                <w:szCs w:val="20"/>
              </w:rPr>
              <w:t>-18,65</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-12,48</w:t>
            </w:r>
          </w:p>
        </w:tc>
        <w:tc>
          <w:tcPr>
            <w:tcW w:w="625" w:type="pct"/>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189,80</w:t>
            </w:r>
          </w:p>
        </w:tc>
      </w:tr>
      <w:tr w:rsidR="00DE2C5B" w:rsidRPr="00331E71" w:rsidTr="00DE2C5B">
        <w:trPr>
          <w:trHeight w:val="255"/>
        </w:trPr>
        <w:tc>
          <w:tcPr>
            <w:tcW w:w="625" w:type="pct"/>
            <w:gridSpan w:val="2"/>
            <w:tcBorders>
              <w:top w:val="nil"/>
              <w:left w:val="nil"/>
              <w:bottom w:val="nil"/>
              <w:right w:val="nil"/>
            </w:tcBorders>
            <w:shd w:val="clear" w:color="auto" w:fill="auto"/>
            <w:vAlign w:val="center"/>
            <w:hideMark/>
          </w:tcPr>
          <w:p w:rsidR="00DE2C5B" w:rsidRPr="00331E71" w:rsidRDefault="00DE2C5B" w:rsidP="00B723BB">
            <w:pPr>
              <w:rPr>
                <w:rFonts w:eastAsia="Times New Roman" w:cs="Times New Roman"/>
                <w:color w:val="000000"/>
                <w:sz w:val="20"/>
                <w:szCs w:val="20"/>
                <w:lang w:eastAsia="pt-BR"/>
              </w:rPr>
            </w:pPr>
            <w:r w:rsidRPr="00331E71">
              <w:rPr>
                <w:rFonts w:eastAsia="Times New Roman" w:cs="Times New Roman"/>
                <w:color w:val="000000"/>
                <w:sz w:val="20"/>
                <w:szCs w:val="20"/>
                <w:lang w:eastAsia="pt-BR"/>
              </w:rPr>
              <w:t>TVM_A</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-7,28</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9,22</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0,02</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0,58</w:t>
            </w:r>
          </w:p>
        </w:tc>
        <w:tc>
          <w:tcPr>
            <w:tcW w:w="625" w:type="pct"/>
            <w:gridSpan w:val="2"/>
            <w:tcBorders>
              <w:top w:val="nil"/>
              <w:left w:val="nil"/>
              <w:bottom w:val="nil"/>
              <w:right w:val="nil"/>
            </w:tcBorders>
            <w:vAlign w:val="center"/>
          </w:tcPr>
          <w:p w:rsidR="00DE2C5B" w:rsidRPr="00331E71" w:rsidRDefault="00DE2C5B" w:rsidP="00B723BB">
            <w:pPr>
              <w:jc w:val="center"/>
              <w:rPr>
                <w:rFonts w:cs="Times New Roman"/>
                <w:color w:val="000000"/>
                <w:sz w:val="20"/>
                <w:szCs w:val="20"/>
              </w:rPr>
            </w:pPr>
            <w:r w:rsidRPr="00331E71">
              <w:rPr>
                <w:rFonts w:cs="Times New Roman"/>
                <w:color w:val="000000"/>
                <w:sz w:val="20"/>
                <w:szCs w:val="20"/>
              </w:rPr>
              <w:t>29,00</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6,27</w:t>
            </w:r>
          </w:p>
        </w:tc>
        <w:tc>
          <w:tcPr>
            <w:tcW w:w="625" w:type="pct"/>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175,51</w:t>
            </w:r>
          </w:p>
        </w:tc>
      </w:tr>
      <w:tr w:rsidR="00DE2C5B" w:rsidRPr="00331E71" w:rsidTr="00DE2C5B">
        <w:trPr>
          <w:trHeight w:val="255"/>
        </w:trPr>
        <w:tc>
          <w:tcPr>
            <w:tcW w:w="625" w:type="pct"/>
            <w:gridSpan w:val="2"/>
            <w:tcBorders>
              <w:top w:val="nil"/>
              <w:left w:val="nil"/>
              <w:bottom w:val="nil"/>
              <w:right w:val="nil"/>
            </w:tcBorders>
            <w:shd w:val="clear" w:color="auto" w:fill="auto"/>
            <w:vAlign w:val="center"/>
            <w:hideMark/>
          </w:tcPr>
          <w:p w:rsidR="00DE2C5B" w:rsidRPr="00331E71" w:rsidRDefault="00DE2C5B" w:rsidP="00B723BB">
            <w:pPr>
              <w:rPr>
                <w:rFonts w:eastAsia="Times New Roman" w:cs="Times New Roman"/>
                <w:color w:val="000000"/>
                <w:sz w:val="20"/>
                <w:szCs w:val="20"/>
                <w:lang w:eastAsia="pt-BR"/>
              </w:rPr>
            </w:pPr>
            <w:r w:rsidRPr="00331E71">
              <w:rPr>
                <w:rFonts w:eastAsia="Times New Roman" w:cs="Times New Roman"/>
                <w:color w:val="000000"/>
                <w:sz w:val="20"/>
                <w:szCs w:val="20"/>
                <w:lang w:eastAsia="pt-BR"/>
              </w:rPr>
              <w:t>CON_A</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-3,49</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5,96</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0,06</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0,48</w:t>
            </w:r>
          </w:p>
        </w:tc>
        <w:tc>
          <w:tcPr>
            <w:tcW w:w="625" w:type="pct"/>
            <w:gridSpan w:val="2"/>
            <w:tcBorders>
              <w:top w:val="nil"/>
              <w:left w:val="nil"/>
              <w:bottom w:val="nil"/>
              <w:right w:val="nil"/>
            </w:tcBorders>
            <w:vAlign w:val="center"/>
          </w:tcPr>
          <w:p w:rsidR="00DE2C5B" w:rsidRPr="00331E71" w:rsidRDefault="00DE2C5B" w:rsidP="00B723BB">
            <w:pPr>
              <w:jc w:val="center"/>
              <w:rPr>
                <w:rFonts w:cs="Times New Roman"/>
                <w:color w:val="000000"/>
                <w:sz w:val="20"/>
                <w:szCs w:val="20"/>
              </w:rPr>
            </w:pPr>
            <w:r w:rsidRPr="00331E71">
              <w:rPr>
                <w:rFonts w:cs="Times New Roman"/>
                <w:color w:val="000000"/>
                <w:sz w:val="20"/>
                <w:szCs w:val="20"/>
              </w:rPr>
              <w:t>8,00</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7,33</w:t>
            </w:r>
          </w:p>
        </w:tc>
        <w:tc>
          <w:tcPr>
            <w:tcW w:w="625" w:type="pct"/>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88,42</w:t>
            </w:r>
          </w:p>
        </w:tc>
      </w:tr>
      <w:tr w:rsidR="00DE2C5B" w:rsidRPr="00331E71" w:rsidTr="00DE2C5B">
        <w:trPr>
          <w:trHeight w:val="255"/>
        </w:trPr>
        <w:tc>
          <w:tcPr>
            <w:tcW w:w="625" w:type="pct"/>
            <w:gridSpan w:val="2"/>
            <w:tcBorders>
              <w:top w:val="nil"/>
              <w:left w:val="nil"/>
              <w:bottom w:val="nil"/>
              <w:right w:val="nil"/>
            </w:tcBorders>
            <w:shd w:val="clear" w:color="auto" w:fill="auto"/>
            <w:vAlign w:val="center"/>
            <w:hideMark/>
          </w:tcPr>
          <w:p w:rsidR="00DE2C5B" w:rsidRPr="00331E71" w:rsidRDefault="00DE2C5B" w:rsidP="00B723BB">
            <w:pPr>
              <w:rPr>
                <w:rFonts w:eastAsia="Times New Roman" w:cs="Times New Roman"/>
                <w:color w:val="000000"/>
                <w:sz w:val="20"/>
                <w:szCs w:val="20"/>
                <w:lang w:eastAsia="pt-BR"/>
              </w:rPr>
            </w:pPr>
            <w:r w:rsidRPr="00331E71">
              <w:rPr>
                <w:rFonts w:eastAsia="Times New Roman" w:cs="Times New Roman"/>
                <w:color w:val="000000"/>
                <w:sz w:val="20"/>
                <w:szCs w:val="20"/>
                <w:lang w:eastAsia="pt-BR"/>
              </w:rPr>
              <w:t>PEN_A</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-10,72</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10,34</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-0,02</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0,65</w:t>
            </w:r>
          </w:p>
        </w:tc>
        <w:tc>
          <w:tcPr>
            <w:tcW w:w="625" w:type="pct"/>
            <w:gridSpan w:val="2"/>
            <w:tcBorders>
              <w:top w:val="nil"/>
              <w:left w:val="nil"/>
              <w:bottom w:val="nil"/>
              <w:right w:val="nil"/>
            </w:tcBorders>
            <w:vAlign w:val="center"/>
          </w:tcPr>
          <w:p w:rsidR="00DE2C5B" w:rsidRPr="00331E71" w:rsidRDefault="00DE2C5B" w:rsidP="00B723BB">
            <w:pPr>
              <w:jc w:val="center"/>
              <w:rPr>
                <w:rFonts w:cs="Times New Roman"/>
                <w:color w:val="000000"/>
                <w:sz w:val="20"/>
                <w:szCs w:val="20"/>
              </w:rPr>
            </w:pPr>
            <w:r w:rsidRPr="00331E71">
              <w:rPr>
                <w:rFonts w:cs="Times New Roman"/>
                <w:color w:val="000000"/>
                <w:sz w:val="20"/>
                <w:szCs w:val="20"/>
              </w:rPr>
              <w:t>-32,50</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-0,93</w:t>
            </w:r>
          </w:p>
        </w:tc>
        <w:tc>
          <w:tcPr>
            <w:tcW w:w="625" w:type="pct"/>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233,63</w:t>
            </w:r>
          </w:p>
        </w:tc>
      </w:tr>
      <w:tr w:rsidR="00DE2C5B" w:rsidRPr="00331E71" w:rsidTr="00DE2C5B">
        <w:trPr>
          <w:trHeight w:val="255"/>
        </w:trPr>
        <w:tc>
          <w:tcPr>
            <w:tcW w:w="625" w:type="pct"/>
            <w:gridSpan w:val="2"/>
            <w:tcBorders>
              <w:top w:val="nil"/>
              <w:left w:val="nil"/>
              <w:bottom w:val="nil"/>
              <w:right w:val="nil"/>
            </w:tcBorders>
            <w:shd w:val="clear" w:color="auto" w:fill="auto"/>
            <w:vAlign w:val="center"/>
            <w:hideMark/>
          </w:tcPr>
          <w:p w:rsidR="00DE2C5B" w:rsidRPr="00331E71" w:rsidRDefault="00DE2C5B" w:rsidP="00B723BB">
            <w:pPr>
              <w:rPr>
                <w:rFonts w:eastAsia="Times New Roman" w:cs="Times New Roman"/>
                <w:color w:val="000000"/>
                <w:sz w:val="20"/>
                <w:szCs w:val="20"/>
                <w:lang w:eastAsia="pt-BR"/>
              </w:rPr>
            </w:pPr>
            <w:r w:rsidRPr="00331E71">
              <w:rPr>
                <w:rFonts w:eastAsia="Times New Roman" w:cs="Times New Roman"/>
                <w:color w:val="000000"/>
                <w:sz w:val="20"/>
                <w:szCs w:val="20"/>
                <w:lang w:eastAsia="pt-BR"/>
              </w:rPr>
              <w:t>HED_A</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-2,89</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0,18</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-0,03</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0,23</w:t>
            </w:r>
          </w:p>
        </w:tc>
        <w:tc>
          <w:tcPr>
            <w:tcW w:w="625" w:type="pct"/>
            <w:gridSpan w:val="2"/>
            <w:tcBorders>
              <w:top w:val="nil"/>
              <w:left w:val="nil"/>
              <w:bottom w:val="nil"/>
              <w:right w:val="nil"/>
            </w:tcBorders>
            <w:vAlign w:val="center"/>
          </w:tcPr>
          <w:p w:rsidR="00DE2C5B" w:rsidRPr="00331E71" w:rsidRDefault="00DE2C5B" w:rsidP="00B723BB">
            <w:pPr>
              <w:jc w:val="center"/>
              <w:rPr>
                <w:rFonts w:cs="Times New Roman"/>
                <w:color w:val="000000"/>
                <w:sz w:val="20"/>
                <w:szCs w:val="20"/>
              </w:rPr>
            </w:pPr>
            <w:r w:rsidRPr="00331E71">
              <w:rPr>
                <w:rFonts w:cs="Times New Roman"/>
                <w:color w:val="000000"/>
                <w:sz w:val="20"/>
                <w:szCs w:val="20"/>
              </w:rPr>
              <w:t>-7,67</w:t>
            </w:r>
          </w:p>
        </w:tc>
        <w:tc>
          <w:tcPr>
            <w:tcW w:w="625" w:type="pct"/>
            <w:gridSpan w:val="2"/>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-9,79</w:t>
            </w:r>
          </w:p>
        </w:tc>
        <w:tc>
          <w:tcPr>
            <w:tcW w:w="625" w:type="pct"/>
            <w:tcBorders>
              <w:top w:val="nil"/>
              <w:left w:val="nil"/>
              <w:bottom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102,87</w:t>
            </w:r>
          </w:p>
        </w:tc>
      </w:tr>
      <w:tr w:rsidR="00DE2C5B" w:rsidRPr="00331E71" w:rsidTr="00DE2C5B">
        <w:trPr>
          <w:trHeight w:val="255"/>
        </w:trPr>
        <w:tc>
          <w:tcPr>
            <w:tcW w:w="625" w:type="pct"/>
            <w:gridSpan w:val="2"/>
            <w:tcBorders>
              <w:top w:val="nil"/>
              <w:left w:val="nil"/>
              <w:right w:val="nil"/>
            </w:tcBorders>
            <w:shd w:val="clear" w:color="auto" w:fill="auto"/>
            <w:vAlign w:val="center"/>
            <w:hideMark/>
          </w:tcPr>
          <w:p w:rsidR="00DE2C5B" w:rsidRPr="00331E71" w:rsidRDefault="00DE2C5B" w:rsidP="00B723BB">
            <w:pPr>
              <w:rPr>
                <w:rFonts w:eastAsia="Times New Roman" w:cs="Times New Roman"/>
                <w:color w:val="000000"/>
                <w:sz w:val="20"/>
                <w:szCs w:val="20"/>
                <w:lang w:eastAsia="pt-BR"/>
              </w:rPr>
            </w:pPr>
            <w:r w:rsidRPr="00331E71">
              <w:rPr>
                <w:rFonts w:eastAsia="Times New Roman" w:cs="Times New Roman"/>
                <w:color w:val="000000"/>
                <w:sz w:val="20"/>
                <w:szCs w:val="20"/>
                <w:lang w:eastAsia="pt-BR"/>
              </w:rPr>
              <w:t>RAC_A</w:t>
            </w:r>
          </w:p>
        </w:tc>
        <w:tc>
          <w:tcPr>
            <w:tcW w:w="625" w:type="pct"/>
            <w:gridSpan w:val="2"/>
            <w:tcBorders>
              <w:top w:val="nil"/>
              <w:left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-55,62</w:t>
            </w:r>
          </w:p>
        </w:tc>
        <w:tc>
          <w:tcPr>
            <w:tcW w:w="625" w:type="pct"/>
            <w:gridSpan w:val="2"/>
            <w:tcBorders>
              <w:top w:val="nil"/>
              <w:left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268,82</w:t>
            </w:r>
          </w:p>
        </w:tc>
        <w:tc>
          <w:tcPr>
            <w:tcW w:w="625" w:type="pct"/>
            <w:gridSpan w:val="2"/>
            <w:tcBorders>
              <w:top w:val="nil"/>
              <w:left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17,05</w:t>
            </w:r>
          </w:p>
        </w:tc>
        <w:tc>
          <w:tcPr>
            <w:tcW w:w="625" w:type="pct"/>
            <w:gridSpan w:val="2"/>
            <w:tcBorders>
              <w:top w:val="nil"/>
              <w:left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169,17</w:t>
            </w:r>
          </w:p>
        </w:tc>
        <w:tc>
          <w:tcPr>
            <w:tcW w:w="625" w:type="pct"/>
            <w:gridSpan w:val="2"/>
            <w:tcBorders>
              <w:top w:val="nil"/>
              <w:left w:val="nil"/>
              <w:right w:val="nil"/>
            </w:tcBorders>
            <w:vAlign w:val="center"/>
          </w:tcPr>
          <w:p w:rsidR="00DE2C5B" w:rsidRPr="00331E71" w:rsidRDefault="00DE2C5B" w:rsidP="00B723BB">
            <w:pPr>
              <w:jc w:val="center"/>
              <w:rPr>
                <w:rFonts w:cs="Times New Roman"/>
                <w:color w:val="000000"/>
                <w:sz w:val="20"/>
                <w:szCs w:val="20"/>
              </w:rPr>
            </w:pPr>
            <w:r w:rsidRPr="00331E71">
              <w:rPr>
                <w:rFonts w:cs="Times New Roman"/>
                <w:color w:val="000000"/>
                <w:sz w:val="20"/>
                <w:szCs w:val="20"/>
              </w:rPr>
              <w:t>9,92</w:t>
            </w:r>
          </w:p>
        </w:tc>
        <w:tc>
          <w:tcPr>
            <w:tcW w:w="625" w:type="pct"/>
            <w:gridSpan w:val="2"/>
            <w:tcBorders>
              <w:top w:val="nil"/>
              <w:left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12,39</w:t>
            </w:r>
          </w:p>
        </w:tc>
        <w:tc>
          <w:tcPr>
            <w:tcW w:w="625" w:type="pct"/>
            <w:tcBorders>
              <w:top w:val="nil"/>
              <w:left w:val="nil"/>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166,79</w:t>
            </w:r>
          </w:p>
        </w:tc>
      </w:tr>
      <w:tr w:rsidR="00DE2C5B" w:rsidRPr="00331E71" w:rsidTr="00DE2C5B">
        <w:trPr>
          <w:trHeight w:val="255"/>
        </w:trPr>
        <w:tc>
          <w:tcPr>
            <w:tcW w:w="625" w:type="pct"/>
            <w:gridSpan w:val="2"/>
            <w:tcBorders>
              <w:top w:val="nil"/>
              <w:left w:val="nil"/>
              <w:bottom w:val="single" w:sz="12" w:space="0" w:color="auto"/>
              <w:right w:val="nil"/>
            </w:tcBorders>
            <w:shd w:val="clear" w:color="auto" w:fill="auto"/>
            <w:vAlign w:val="center"/>
            <w:hideMark/>
          </w:tcPr>
          <w:p w:rsidR="00DE2C5B" w:rsidRPr="00331E71" w:rsidRDefault="00DE2C5B" w:rsidP="00B723BB">
            <w:pPr>
              <w:rPr>
                <w:rFonts w:eastAsia="Times New Roman" w:cs="Times New Roman"/>
                <w:color w:val="000000"/>
                <w:sz w:val="20"/>
                <w:szCs w:val="20"/>
                <w:lang w:eastAsia="pt-BR"/>
              </w:rPr>
            </w:pPr>
            <w:r w:rsidRPr="00331E71">
              <w:rPr>
                <w:rFonts w:eastAsia="Times New Roman" w:cs="Times New Roman"/>
                <w:color w:val="000000"/>
                <w:sz w:val="20"/>
                <w:szCs w:val="20"/>
                <w:lang w:eastAsia="pt-BR"/>
              </w:rPr>
              <w:t>NVM_A</w:t>
            </w:r>
          </w:p>
        </w:tc>
        <w:tc>
          <w:tcPr>
            <w:tcW w:w="625" w:type="pct"/>
            <w:gridSpan w:val="2"/>
            <w:tcBorders>
              <w:top w:val="nil"/>
              <w:left w:val="nil"/>
              <w:bottom w:val="single" w:sz="12" w:space="0" w:color="auto"/>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-44,09</w:t>
            </w:r>
          </w:p>
        </w:tc>
        <w:tc>
          <w:tcPr>
            <w:tcW w:w="625" w:type="pct"/>
            <w:gridSpan w:val="2"/>
            <w:tcBorders>
              <w:top w:val="nil"/>
              <w:left w:val="nil"/>
              <w:bottom w:val="single" w:sz="12" w:space="0" w:color="auto"/>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17,59</w:t>
            </w:r>
          </w:p>
        </w:tc>
        <w:tc>
          <w:tcPr>
            <w:tcW w:w="625" w:type="pct"/>
            <w:gridSpan w:val="2"/>
            <w:tcBorders>
              <w:top w:val="nil"/>
              <w:left w:val="nil"/>
              <w:bottom w:val="single" w:sz="12" w:space="0" w:color="auto"/>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-0,10</w:t>
            </w:r>
          </w:p>
        </w:tc>
        <w:tc>
          <w:tcPr>
            <w:tcW w:w="625" w:type="pct"/>
            <w:gridSpan w:val="2"/>
            <w:tcBorders>
              <w:top w:val="nil"/>
              <w:left w:val="nil"/>
              <w:bottom w:val="single" w:sz="12" w:space="0" w:color="auto"/>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2,84</w:t>
            </w:r>
          </w:p>
        </w:tc>
        <w:tc>
          <w:tcPr>
            <w:tcW w:w="625" w:type="pct"/>
            <w:gridSpan w:val="2"/>
            <w:tcBorders>
              <w:top w:val="nil"/>
              <w:left w:val="nil"/>
              <w:bottom w:val="single" w:sz="12" w:space="0" w:color="auto"/>
              <w:right w:val="nil"/>
            </w:tcBorders>
            <w:vAlign w:val="center"/>
          </w:tcPr>
          <w:p w:rsidR="00DE2C5B" w:rsidRPr="00331E71" w:rsidRDefault="00DE2C5B" w:rsidP="00B723BB">
            <w:pPr>
              <w:jc w:val="center"/>
              <w:rPr>
                <w:rFonts w:cs="Times New Roman"/>
                <w:color w:val="000000"/>
                <w:sz w:val="20"/>
                <w:szCs w:val="20"/>
              </w:rPr>
            </w:pPr>
            <w:r w:rsidRPr="00331E71">
              <w:rPr>
                <w:rFonts w:cs="Times New Roman"/>
                <w:color w:val="000000"/>
                <w:sz w:val="20"/>
                <w:szCs w:val="20"/>
              </w:rPr>
              <w:t>-28,40</w:t>
            </w:r>
          </w:p>
        </w:tc>
        <w:tc>
          <w:tcPr>
            <w:tcW w:w="625" w:type="pct"/>
            <w:gridSpan w:val="2"/>
            <w:tcBorders>
              <w:top w:val="nil"/>
              <w:left w:val="nil"/>
              <w:bottom w:val="single" w:sz="12" w:space="0" w:color="auto"/>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-10,63</w:t>
            </w:r>
          </w:p>
        </w:tc>
        <w:tc>
          <w:tcPr>
            <w:tcW w:w="625" w:type="pct"/>
            <w:tcBorders>
              <w:top w:val="nil"/>
              <w:left w:val="nil"/>
              <w:bottom w:val="single" w:sz="12" w:space="0" w:color="auto"/>
              <w:right w:val="nil"/>
            </w:tcBorders>
            <w:shd w:val="clear" w:color="auto" w:fill="auto"/>
            <w:noWrap/>
            <w:vAlign w:val="center"/>
            <w:hideMark/>
          </w:tcPr>
          <w:p w:rsidR="00DE2C5B" w:rsidRPr="00331E71" w:rsidRDefault="00DE2C5B" w:rsidP="00B723BB">
            <w:pPr>
              <w:jc w:val="center"/>
              <w:rPr>
                <w:rFonts w:eastAsia="Times New Roman" w:cs="Times New Roman"/>
                <w:color w:val="000000"/>
                <w:sz w:val="20"/>
                <w:szCs w:val="20"/>
                <w:lang w:eastAsia="pt-BR"/>
              </w:rPr>
            </w:pPr>
            <w:r w:rsidRPr="00331E71">
              <w:rPr>
                <w:rFonts w:eastAsia="Times New Roman" w:cs="Times New Roman"/>
                <w:color w:val="000000"/>
                <w:sz w:val="20"/>
                <w:szCs w:val="20"/>
                <w:lang w:eastAsia="pt-BR"/>
              </w:rPr>
              <w:t>170,23</w:t>
            </w:r>
          </w:p>
        </w:tc>
      </w:tr>
    </w:tbl>
    <w:p w:rsidR="0068566A" w:rsidRPr="00331E71" w:rsidRDefault="0068566A" w:rsidP="00B723BB">
      <w:pPr>
        <w:spacing w:after="120"/>
        <w:jc w:val="both"/>
        <w:rPr>
          <w:rFonts w:cs="Times New Roman"/>
          <w:sz w:val="20"/>
          <w:szCs w:val="20"/>
        </w:rPr>
      </w:pPr>
      <w:r w:rsidRPr="00331E71">
        <w:rPr>
          <w:rFonts w:cs="Times New Roman"/>
          <w:sz w:val="20"/>
          <w:szCs w:val="20"/>
        </w:rPr>
        <w:t>Fonte: resultados da pesquisa.</w:t>
      </w:r>
    </w:p>
    <w:p w:rsidR="004B0E0C" w:rsidRPr="00DB41CE" w:rsidRDefault="00D4303F" w:rsidP="00331E71">
      <w:pPr>
        <w:spacing w:line="360" w:lineRule="auto"/>
        <w:ind w:firstLine="709"/>
        <w:jc w:val="both"/>
        <w:rPr>
          <w:rFonts w:cs="Times New Roman"/>
          <w:szCs w:val="24"/>
        </w:rPr>
      </w:pPr>
      <w:r w:rsidRPr="00DB41CE">
        <w:rPr>
          <w:rFonts w:cs="Times New Roman"/>
          <w:szCs w:val="24"/>
        </w:rPr>
        <w:t>A amostra possui</w:t>
      </w:r>
      <w:r w:rsidR="004B0E0C" w:rsidRPr="00DB41CE">
        <w:rPr>
          <w:rFonts w:cs="Times New Roman"/>
          <w:szCs w:val="24"/>
        </w:rPr>
        <w:t xml:space="preserve"> grande dispersão dos dados, em função da </w:t>
      </w:r>
      <w:r w:rsidR="00376937" w:rsidRPr="00DB41CE">
        <w:rPr>
          <w:rFonts w:cs="Times New Roman"/>
          <w:szCs w:val="24"/>
        </w:rPr>
        <w:t>diversidade</w:t>
      </w:r>
      <w:r w:rsidR="004B0E0C" w:rsidRPr="00DB41CE">
        <w:rPr>
          <w:rFonts w:cs="Times New Roman"/>
          <w:szCs w:val="24"/>
        </w:rPr>
        <w:t xml:space="preserve"> da</w:t>
      </w:r>
      <w:r w:rsidR="00376937" w:rsidRPr="00DB41CE">
        <w:rPr>
          <w:rFonts w:cs="Times New Roman"/>
          <w:szCs w:val="24"/>
        </w:rPr>
        <w:t>s</w:t>
      </w:r>
      <w:r w:rsidR="004B0E0C" w:rsidRPr="00DB41CE">
        <w:rPr>
          <w:rFonts w:cs="Times New Roman"/>
          <w:szCs w:val="24"/>
        </w:rPr>
        <w:t xml:space="preserve"> </w:t>
      </w:r>
      <w:r w:rsidR="00376937" w:rsidRPr="00DB41CE">
        <w:rPr>
          <w:rFonts w:cs="Times New Roman"/>
          <w:szCs w:val="24"/>
        </w:rPr>
        <w:t>empresas</w:t>
      </w:r>
      <w:r w:rsidR="004B0E0C" w:rsidRPr="00DB41CE">
        <w:rPr>
          <w:rFonts w:cs="Times New Roman"/>
          <w:szCs w:val="24"/>
        </w:rPr>
        <w:t xml:space="preserve">, </w:t>
      </w:r>
      <w:r w:rsidR="00376937" w:rsidRPr="00DB41CE">
        <w:rPr>
          <w:rFonts w:cs="Times New Roman"/>
          <w:szCs w:val="24"/>
        </w:rPr>
        <w:t>de distintos setores e tamanhos</w:t>
      </w:r>
      <w:r w:rsidRPr="00DB41CE">
        <w:rPr>
          <w:rFonts w:cs="Times New Roman"/>
          <w:szCs w:val="24"/>
        </w:rPr>
        <w:t xml:space="preserve">. Acrescenta-se que da amostra inicial com 798 observações, 37% não apresentaram </w:t>
      </w:r>
      <w:r w:rsidR="003D500F">
        <w:rPr>
          <w:rFonts w:cs="Times New Roman"/>
          <w:szCs w:val="24"/>
        </w:rPr>
        <w:t>o</w:t>
      </w:r>
      <w:r w:rsidRPr="00DB41CE">
        <w:rPr>
          <w:rFonts w:cs="Times New Roman"/>
          <w:szCs w:val="24"/>
        </w:rPr>
        <w:t xml:space="preserve">utros </w:t>
      </w:r>
      <w:r w:rsidR="003D500F">
        <w:rPr>
          <w:rFonts w:cs="Times New Roman"/>
          <w:szCs w:val="24"/>
        </w:rPr>
        <w:t>r</w:t>
      </w:r>
      <w:r w:rsidRPr="00DB41CE">
        <w:rPr>
          <w:rFonts w:cs="Times New Roman"/>
          <w:szCs w:val="24"/>
        </w:rPr>
        <w:t xml:space="preserve">esultados </w:t>
      </w:r>
      <w:r w:rsidR="003D500F">
        <w:rPr>
          <w:rFonts w:cs="Times New Roman"/>
          <w:szCs w:val="24"/>
        </w:rPr>
        <w:t>a</w:t>
      </w:r>
      <w:r w:rsidRPr="00DB41CE">
        <w:rPr>
          <w:rFonts w:cs="Times New Roman"/>
          <w:szCs w:val="24"/>
        </w:rPr>
        <w:t>brangentes. Dentre as empresas com ORA diferente de zero, poucas tiveram seu resultado afetado por todos os componentes</w:t>
      </w:r>
      <w:r w:rsidR="0021332A" w:rsidRPr="00DB41CE">
        <w:rPr>
          <w:rFonts w:cs="Times New Roman"/>
          <w:szCs w:val="24"/>
        </w:rPr>
        <w:t xml:space="preserve">: TVM, CON, PEN e </w:t>
      </w:r>
      <w:r w:rsidR="0021332A" w:rsidRPr="00DB41CE">
        <w:rPr>
          <w:rFonts w:cs="Times New Roman"/>
          <w:szCs w:val="24"/>
        </w:rPr>
        <w:lastRenderedPageBreak/>
        <w:t>HED, que em média apareceram em um quinto das observações, cada um. Essa variabilidade das informações, mais especificamente sobre a DRA, justifica parcialmente os problemas de heterocedasticidade e não normalidade dos resíduos verificada nas regressões.</w:t>
      </w:r>
    </w:p>
    <w:p w:rsidR="00BD2543" w:rsidRDefault="00880B40" w:rsidP="00331E71">
      <w:pPr>
        <w:spacing w:line="360" w:lineRule="auto"/>
        <w:ind w:firstLine="709"/>
        <w:jc w:val="both"/>
        <w:rPr>
          <w:szCs w:val="24"/>
        </w:rPr>
      </w:pPr>
      <w:r w:rsidRPr="00DB41CE">
        <w:rPr>
          <w:rFonts w:cs="Times New Roman"/>
          <w:szCs w:val="24"/>
        </w:rPr>
        <w:t>As medidas de simetria, verificadas n</w:t>
      </w:r>
      <w:r w:rsidR="005B1898">
        <w:rPr>
          <w:rFonts w:cs="Times New Roman"/>
          <w:szCs w:val="24"/>
        </w:rPr>
        <w:t xml:space="preserve">o Painel A da </w:t>
      </w:r>
      <w:r w:rsidR="005916D8">
        <w:rPr>
          <w:rFonts w:cs="Times New Roman"/>
          <w:szCs w:val="24"/>
        </w:rPr>
        <w:t xml:space="preserve">Tabela </w:t>
      </w:r>
      <w:r w:rsidRPr="00DB41CE">
        <w:rPr>
          <w:rFonts w:cs="Times New Roman"/>
          <w:szCs w:val="24"/>
        </w:rPr>
        <w:t xml:space="preserve">1, </w:t>
      </w:r>
      <w:r w:rsidR="00947D9D" w:rsidRPr="00DB41CE">
        <w:rPr>
          <w:rFonts w:cs="Times New Roman"/>
          <w:szCs w:val="24"/>
        </w:rPr>
        <w:t>denotam similaridades entre o LL, ORA e RAC. Ambas são assimétricas à direita, com tendência de mais valores positivos que negativos.</w:t>
      </w:r>
      <w:r w:rsidRPr="00DB41CE">
        <w:rPr>
          <w:rFonts w:cs="Times New Roman"/>
          <w:szCs w:val="24"/>
        </w:rPr>
        <w:t xml:space="preserve"> Opostos a esse comportamento tem-se os resultados </w:t>
      </w:r>
      <w:r w:rsidRPr="00DB41CE">
        <w:rPr>
          <w:szCs w:val="24"/>
        </w:rPr>
        <w:t>na mensuração a valor justo de instrumentos financeiros disponíveis para venda (TVM) e hedge de fluxo de caixa (HED). Todas as variáveis que compõe os modelos possuem uma distribuição com um pico mais acentuado do que uma distribuição em formato de sino, contribuindo para que os resíduos também não sejam normalmente distribuídos.</w:t>
      </w:r>
    </w:p>
    <w:p w:rsidR="00DB41CE" w:rsidRPr="00B34B3D" w:rsidRDefault="005916D8" w:rsidP="00F271C6">
      <w:pPr>
        <w:jc w:val="center"/>
        <w:rPr>
          <w:rFonts w:cs="Times New Roman"/>
          <w:sz w:val="20"/>
          <w:szCs w:val="20"/>
        </w:rPr>
      </w:pPr>
      <w:r>
        <w:rPr>
          <w:rFonts w:cs="Times New Roman"/>
          <w:sz w:val="20"/>
          <w:szCs w:val="20"/>
        </w:rPr>
        <w:t xml:space="preserve">Tabela </w:t>
      </w:r>
      <w:r w:rsidR="001C7686" w:rsidRPr="00B34B3D">
        <w:rPr>
          <w:rFonts w:cs="Times New Roman"/>
          <w:sz w:val="20"/>
          <w:szCs w:val="20"/>
        </w:rPr>
        <w:t>2</w:t>
      </w:r>
      <w:r w:rsidR="00DB41CE" w:rsidRPr="00B34B3D">
        <w:rPr>
          <w:rFonts w:cs="Times New Roman"/>
          <w:sz w:val="20"/>
          <w:szCs w:val="20"/>
        </w:rPr>
        <w:t xml:space="preserve"> – Matriz de correlações de Pearson</w:t>
      </w:r>
    </w:p>
    <w:tbl>
      <w:tblPr>
        <w:tblW w:w="5000" w:type="pct"/>
        <w:tblCellMar>
          <w:left w:w="70" w:type="dxa"/>
          <w:right w:w="70" w:type="dxa"/>
        </w:tblCellMar>
        <w:tblLook w:val="04A0" w:firstRow="1" w:lastRow="0" w:firstColumn="1" w:lastColumn="0" w:noHBand="0" w:noVBand="1"/>
      </w:tblPr>
      <w:tblGrid>
        <w:gridCol w:w="836"/>
        <w:gridCol w:w="85"/>
        <w:gridCol w:w="752"/>
        <w:gridCol w:w="169"/>
        <w:gridCol w:w="667"/>
        <w:gridCol w:w="254"/>
        <w:gridCol w:w="584"/>
        <w:gridCol w:w="337"/>
        <w:gridCol w:w="499"/>
        <w:gridCol w:w="422"/>
        <w:gridCol w:w="416"/>
        <w:gridCol w:w="505"/>
        <w:gridCol w:w="332"/>
        <w:gridCol w:w="590"/>
        <w:gridCol w:w="247"/>
        <w:gridCol w:w="674"/>
        <w:gridCol w:w="164"/>
        <w:gridCol w:w="757"/>
        <w:gridCol w:w="79"/>
        <w:gridCol w:w="842"/>
      </w:tblGrid>
      <w:tr w:rsidR="00DB41CE" w:rsidRPr="00DB41CE" w:rsidTr="007E41C9">
        <w:trPr>
          <w:trHeight w:val="340"/>
        </w:trPr>
        <w:tc>
          <w:tcPr>
            <w:tcW w:w="5000" w:type="pct"/>
            <w:gridSpan w:val="20"/>
            <w:tcBorders>
              <w:top w:val="single" w:sz="12" w:space="0" w:color="auto"/>
              <w:left w:val="nil"/>
              <w:bottom w:val="single" w:sz="4" w:space="0" w:color="auto"/>
              <w:right w:val="nil"/>
            </w:tcBorders>
            <w:shd w:val="clear" w:color="auto" w:fill="auto"/>
            <w:vAlign w:val="center"/>
          </w:tcPr>
          <w:p w:rsidR="00DB41CE" w:rsidRPr="00DB41CE" w:rsidRDefault="001C7686" w:rsidP="00B723BB">
            <w:pPr>
              <w:rPr>
                <w:rFonts w:eastAsia="Times New Roman" w:cs="Times New Roman"/>
                <w:bCs/>
                <w:color w:val="000000"/>
                <w:sz w:val="20"/>
                <w:szCs w:val="20"/>
                <w:lang w:eastAsia="pt-BR"/>
              </w:rPr>
            </w:pPr>
            <w:r>
              <w:rPr>
                <w:rFonts w:eastAsia="Times New Roman" w:cs="Times New Roman"/>
                <w:bCs/>
                <w:color w:val="000000"/>
                <w:sz w:val="20"/>
                <w:szCs w:val="20"/>
                <w:lang w:eastAsia="pt-BR"/>
              </w:rPr>
              <w:t>Painel A</w:t>
            </w:r>
            <w:r w:rsidR="00DB41CE" w:rsidRPr="00DB41CE">
              <w:rPr>
                <w:rFonts w:eastAsia="Times New Roman" w:cs="Times New Roman"/>
                <w:bCs/>
                <w:color w:val="000000"/>
                <w:sz w:val="20"/>
                <w:szCs w:val="20"/>
                <w:lang w:eastAsia="pt-BR"/>
              </w:rPr>
              <w:t xml:space="preserve"> – Variáveis utilizadas nas equações 01 a 05: </w:t>
            </w:r>
            <w:proofErr w:type="gramStart"/>
            <w:r w:rsidR="00DB41CE" w:rsidRPr="00DB41CE">
              <w:rPr>
                <w:rFonts w:eastAsia="Times New Roman" w:cs="Times New Roman"/>
                <w:bCs/>
                <w:color w:val="000000"/>
                <w:sz w:val="20"/>
                <w:szCs w:val="20"/>
                <w:lang w:eastAsia="pt-BR"/>
              </w:rPr>
              <w:t>FCO</w:t>
            </w:r>
            <w:r w:rsidR="00DB41CE" w:rsidRPr="00DB41CE">
              <w:rPr>
                <w:rFonts w:eastAsia="Times New Roman" w:cs="Times New Roman"/>
                <w:bCs/>
                <w:color w:val="000000"/>
                <w:sz w:val="20"/>
                <w:szCs w:val="20"/>
                <w:vertAlign w:val="subscript"/>
                <w:lang w:eastAsia="pt-BR"/>
              </w:rPr>
              <w:t>t</w:t>
            </w:r>
            <w:proofErr w:type="gramEnd"/>
            <w:r w:rsidR="00DB41CE" w:rsidRPr="00DB41CE">
              <w:rPr>
                <w:rFonts w:eastAsia="Times New Roman" w:cs="Times New Roman"/>
                <w:bCs/>
                <w:color w:val="000000"/>
                <w:sz w:val="20"/>
                <w:szCs w:val="20"/>
                <w:vertAlign w:val="subscript"/>
                <w:lang w:eastAsia="pt-BR"/>
              </w:rPr>
              <w:t>+1</w:t>
            </w:r>
          </w:p>
        </w:tc>
      </w:tr>
      <w:tr w:rsidR="00DB41CE" w:rsidRPr="00DB41CE" w:rsidTr="007E41C9">
        <w:trPr>
          <w:trHeight w:val="255"/>
        </w:trPr>
        <w:tc>
          <w:tcPr>
            <w:tcW w:w="500" w:type="pct"/>
            <w:gridSpan w:val="2"/>
            <w:tcBorders>
              <w:top w:val="single" w:sz="4" w:space="0" w:color="auto"/>
              <w:left w:val="nil"/>
              <w:bottom w:val="single" w:sz="4" w:space="0" w:color="auto"/>
              <w:right w:val="nil"/>
            </w:tcBorders>
            <w:shd w:val="clear" w:color="auto" w:fill="auto"/>
            <w:vAlign w:val="center"/>
            <w:hideMark/>
          </w:tcPr>
          <w:p w:rsidR="00DB41CE" w:rsidRPr="00DB41CE" w:rsidRDefault="00DB41CE" w:rsidP="00B723BB">
            <w:pPr>
              <w:rPr>
                <w:rFonts w:eastAsia="Times New Roman" w:cs="Times New Roman"/>
                <w:color w:val="000000"/>
                <w:sz w:val="20"/>
                <w:szCs w:val="20"/>
                <w:lang w:eastAsia="pt-BR"/>
              </w:rPr>
            </w:pPr>
            <w:r w:rsidRPr="00DB41CE">
              <w:rPr>
                <w:rFonts w:eastAsia="Times New Roman" w:cs="Times New Roman"/>
                <w:color w:val="000000"/>
                <w:sz w:val="20"/>
                <w:szCs w:val="20"/>
                <w:lang w:eastAsia="pt-BR"/>
              </w:rPr>
              <w:t> </w:t>
            </w:r>
          </w:p>
        </w:tc>
        <w:tc>
          <w:tcPr>
            <w:tcW w:w="500" w:type="pct"/>
            <w:gridSpan w:val="2"/>
            <w:tcBorders>
              <w:top w:val="single" w:sz="4" w:space="0" w:color="auto"/>
              <w:left w:val="nil"/>
              <w:bottom w:val="single" w:sz="4" w:space="0" w:color="auto"/>
              <w:right w:val="nil"/>
            </w:tcBorders>
            <w:shd w:val="clear" w:color="auto" w:fill="auto"/>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FCO</w:t>
            </w:r>
            <w:r w:rsidRPr="00DB41CE">
              <w:rPr>
                <w:rFonts w:eastAsia="Times New Roman" w:cs="Times New Roman"/>
                <w:color w:val="000000"/>
                <w:sz w:val="20"/>
                <w:szCs w:val="20"/>
                <w:vertAlign w:val="subscript"/>
                <w:lang w:eastAsia="pt-BR"/>
              </w:rPr>
              <w:t>t</w:t>
            </w:r>
            <w:proofErr w:type="gramEnd"/>
            <w:r w:rsidRPr="00DB41CE">
              <w:rPr>
                <w:rFonts w:eastAsia="Times New Roman" w:cs="Times New Roman"/>
                <w:color w:val="000000"/>
                <w:sz w:val="20"/>
                <w:szCs w:val="20"/>
                <w:vertAlign w:val="subscript"/>
                <w:lang w:eastAsia="pt-BR"/>
              </w:rPr>
              <w:t>+1</w:t>
            </w:r>
          </w:p>
        </w:tc>
        <w:tc>
          <w:tcPr>
            <w:tcW w:w="500" w:type="pct"/>
            <w:gridSpan w:val="2"/>
            <w:tcBorders>
              <w:top w:val="single" w:sz="4" w:space="0" w:color="auto"/>
              <w:left w:val="nil"/>
              <w:bottom w:val="single" w:sz="4" w:space="0" w:color="auto"/>
              <w:right w:val="nil"/>
            </w:tcBorders>
            <w:shd w:val="clear" w:color="auto" w:fill="auto"/>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LL</w:t>
            </w:r>
          </w:p>
        </w:tc>
        <w:tc>
          <w:tcPr>
            <w:tcW w:w="500" w:type="pct"/>
            <w:gridSpan w:val="2"/>
            <w:tcBorders>
              <w:top w:val="single" w:sz="4" w:space="0" w:color="auto"/>
              <w:left w:val="nil"/>
              <w:bottom w:val="single" w:sz="4" w:space="0" w:color="auto"/>
              <w:right w:val="nil"/>
            </w:tcBorders>
            <w:shd w:val="clear" w:color="auto" w:fill="auto"/>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ORA</w:t>
            </w:r>
          </w:p>
        </w:tc>
        <w:tc>
          <w:tcPr>
            <w:tcW w:w="500" w:type="pct"/>
            <w:gridSpan w:val="2"/>
            <w:tcBorders>
              <w:top w:val="single" w:sz="4" w:space="0" w:color="auto"/>
              <w:left w:val="nil"/>
              <w:bottom w:val="single" w:sz="4" w:space="0" w:color="auto"/>
              <w:right w:val="nil"/>
            </w:tcBorders>
            <w:shd w:val="clear" w:color="auto" w:fill="auto"/>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TVM</w:t>
            </w:r>
          </w:p>
        </w:tc>
        <w:tc>
          <w:tcPr>
            <w:tcW w:w="500" w:type="pct"/>
            <w:gridSpan w:val="2"/>
            <w:tcBorders>
              <w:top w:val="single" w:sz="4" w:space="0" w:color="auto"/>
              <w:left w:val="nil"/>
              <w:bottom w:val="single" w:sz="4" w:space="0" w:color="auto"/>
              <w:right w:val="nil"/>
            </w:tcBorders>
            <w:shd w:val="clear" w:color="auto" w:fill="auto"/>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CO</w:t>
            </w:r>
            <w:r w:rsidR="009E630F">
              <w:rPr>
                <w:rFonts w:eastAsia="Times New Roman" w:cs="Times New Roman"/>
                <w:color w:val="000000"/>
                <w:sz w:val="20"/>
                <w:szCs w:val="20"/>
                <w:lang w:eastAsia="pt-BR"/>
              </w:rPr>
              <w:t>N</w:t>
            </w:r>
          </w:p>
        </w:tc>
        <w:tc>
          <w:tcPr>
            <w:tcW w:w="500" w:type="pct"/>
            <w:gridSpan w:val="2"/>
            <w:tcBorders>
              <w:top w:val="single" w:sz="4" w:space="0" w:color="auto"/>
              <w:left w:val="nil"/>
              <w:bottom w:val="single" w:sz="4" w:space="0" w:color="auto"/>
              <w:right w:val="nil"/>
            </w:tcBorders>
            <w:shd w:val="clear" w:color="auto" w:fill="auto"/>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PEN</w:t>
            </w:r>
          </w:p>
        </w:tc>
        <w:tc>
          <w:tcPr>
            <w:tcW w:w="500" w:type="pct"/>
            <w:gridSpan w:val="2"/>
            <w:tcBorders>
              <w:top w:val="single" w:sz="4" w:space="0" w:color="auto"/>
              <w:left w:val="nil"/>
              <w:bottom w:val="single" w:sz="4" w:space="0" w:color="auto"/>
              <w:right w:val="nil"/>
            </w:tcBorders>
            <w:shd w:val="clear" w:color="auto" w:fill="auto"/>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HED</w:t>
            </w:r>
          </w:p>
        </w:tc>
        <w:tc>
          <w:tcPr>
            <w:tcW w:w="500" w:type="pct"/>
            <w:gridSpan w:val="2"/>
            <w:tcBorders>
              <w:top w:val="single" w:sz="4" w:space="0" w:color="auto"/>
              <w:left w:val="nil"/>
              <w:bottom w:val="single" w:sz="4" w:space="0" w:color="auto"/>
              <w:right w:val="nil"/>
            </w:tcBorders>
            <w:shd w:val="clear" w:color="auto" w:fill="auto"/>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NVM</w:t>
            </w:r>
          </w:p>
        </w:tc>
        <w:tc>
          <w:tcPr>
            <w:tcW w:w="500" w:type="pct"/>
            <w:gridSpan w:val="2"/>
            <w:tcBorders>
              <w:top w:val="single" w:sz="4" w:space="0" w:color="auto"/>
              <w:left w:val="nil"/>
              <w:bottom w:val="single" w:sz="4" w:space="0" w:color="auto"/>
              <w:right w:val="nil"/>
            </w:tcBorders>
            <w:shd w:val="clear" w:color="auto" w:fill="auto"/>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RAC</w:t>
            </w:r>
          </w:p>
        </w:tc>
      </w:tr>
      <w:tr w:rsidR="00DB41CE" w:rsidRPr="00DB41CE" w:rsidTr="007E41C9">
        <w:trPr>
          <w:trHeight w:val="255"/>
        </w:trPr>
        <w:tc>
          <w:tcPr>
            <w:tcW w:w="500" w:type="pct"/>
            <w:gridSpan w:val="2"/>
            <w:tcBorders>
              <w:top w:val="single" w:sz="4" w:space="0" w:color="auto"/>
              <w:left w:val="nil"/>
              <w:bottom w:val="nil"/>
              <w:right w:val="nil"/>
            </w:tcBorders>
            <w:shd w:val="clear" w:color="auto" w:fill="auto"/>
            <w:vAlign w:val="center"/>
            <w:hideMark/>
          </w:tcPr>
          <w:p w:rsidR="00DB41CE" w:rsidRPr="00DB41CE" w:rsidRDefault="00DB41CE" w:rsidP="00B723BB">
            <w:pP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FCO</w:t>
            </w:r>
            <w:r w:rsidRPr="00DB41CE">
              <w:rPr>
                <w:rFonts w:eastAsia="Times New Roman" w:cs="Times New Roman"/>
                <w:color w:val="000000"/>
                <w:sz w:val="20"/>
                <w:szCs w:val="20"/>
                <w:vertAlign w:val="subscript"/>
                <w:lang w:eastAsia="pt-BR"/>
              </w:rPr>
              <w:t>t</w:t>
            </w:r>
            <w:proofErr w:type="gramEnd"/>
            <w:r w:rsidRPr="00DB41CE">
              <w:rPr>
                <w:rFonts w:eastAsia="Times New Roman" w:cs="Times New Roman"/>
                <w:color w:val="000000"/>
                <w:sz w:val="20"/>
                <w:szCs w:val="20"/>
                <w:vertAlign w:val="subscript"/>
                <w:lang w:eastAsia="pt-BR"/>
              </w:rPr>
              <w:t>+1</w:t>
            </w:r>
          </w:p>
        </w:tc>
        <w:tc>
          <w:tcPr>
            <w:tcW w:w="500" w:type="pct"/>
            <w:gridSpan w:val="2"/>
            <w:tcBorders>
              <w:top w:val="single" w:sz="4" w:space="0" w:color="auto"/>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1,00</w:t>
            </w:r>
          </w:p>
        </w:tc>
        <w:tc>
          <w:tcPr>
            <w:tcW w:w="500" w:type="pct"/>
            <w:gridSpan w:val="2"/>
            <w:tcBorders>
              <w:top w:val="single" w:sz="4" w:space="0" w:color="auto"/>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500" w:type="pct"/>
            <w:gridSpan w:val="2"/>
            <w:tcBorders>
              <w:top w:val="single" w:sz="4" w:space="0" w:color="auto"/>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500" w:type="pct"/>
            <w:gridSpan w:val="2"/>
            <w:tcBorders>
              <w:top w:val="single" w:sz="4" w:space="0" w:color="auto"/>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500" w:type="pct"/>
            <w:gridSpan w:val="2"/>
            <w:tcBorders>
              <w:top w:val="single" w:sz="4" w:space="0" w:color="auto"/>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500" w:type="pct"/>
            <w:gridSpan w:val="2"/>
            <w:tcBorders>
              <w:top w:val="single" w:sz="4" w:space="0" w:color="auto"/>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500" w:type="pct"/>
            <w:gridSpan w:val="2"/>
            <w:tcBorders>
              <w:top w:val="single" w:sz="4" w:space="0" w:color="auto"/>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500" w:type="pct"/>
            <w:gridSpan w:val="2"/>
            <w:tcBorders>
              <w:top w:val="single" w:sz="4" w:space="0" w:color="auto"/>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500" w:type="pct"/>
            <w:gridSpan w:val="2"/>
            <w:tcBorders>
              <w:top w:val="single" w:sz="4" w:space="0" w:color="auto"/>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r>
      <w:tr w:rsidR="00DB41CE" w:rsidRPr="00DB41CE" w:rsidTr="007E41C9">
        <w:trPr>
          <w:trHeight w:val="255"/>
        </w:trPr>
        <w:tc>
          <w:tcPr>
            <w:tcW w:w="500" w:type="pct"/>
            <w:gridSpan w:val="2"/>
            <w:tcBorders>
              <w:top w:val="nil"/>
              <w:left w:val="nil"/>
              <w:bottom w:val="nil"/>
              <w:right w:val="nil"/>
            </w:tcBorders>
            <w:shd w:val="clear" w:color="auto" w:fill="auto"/>
            <w:vAlign w:val="center"/>
            <w:hideMark/>
          </w:tcPr>
          <w:p w:rsidR="00DB41CE" w:rsidRPr="00DB41CE" w:rsidRDefault="00DB41CE" w:rsidP="00B723BB">
            <w:pPr>
              <w:rPr>
                <w:rFonts w:eastAsia="Times New Roman" w:cs="Times New Roman"/>
                <w:color w:val="000000"/>
                <w:sz w:val="20"/>
                <w:szCs w:val="20"/>
                <w:lang w:eastAsia="pt-BR"/>
              </w:rPr>
            </w:pPr>
            <w:r w:rsidRPr="00DB41CE">
              <w:rPr>
                <w:rFonts w:eastAsia="Times New Roman" w:cs="Times New Roman"/>
                <w:color w:val="000000"/>
                <w:sz w:val="20"/>
                <w:szCs w:val="20"/>
                <w:lang w:eastAsia="pt-BR"/>
              </w:rPr>
              <w:t>LL</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,690</w:t>
            </w:r>
            <w:proofErr w:type="gramEnd"/>
            <w:r w:rsidRPr="00DB41CE">
              <w:rPr>
                <w:rFonts w:eastAsia="Times New Roman" w:cs="Times New Roman"/>
                <w:color w:val="000000"/>
                <w:sz w:val="20"/>
                <w:szCs w:val="20"/>
                <w:vertAlign w:val="superscript"/>
                <w:lang w:eastAsia="pt-BR"/>
              </w:rPr>
              <w:t>**</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1,00</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r>
      <w:tr w:rsidR="00DB41CE" w:rsidRPr="00DB41CE" w:rsidTr="007E41C9">
        <w:trPr>
          <w:trHeight w:val="255"/>
        </w:trPr>
        <w:tc>
          <w:tcPr>
            <w:tcW w:w="500" w:type="pct"/>
            <w:gridSpan w:val="2"/>
            <w:tcBorders>
              <w:top w:val="nil"/>
              <w:left w:val="nil"/>
              <w:bottom w:val="nil"/>
              <w:right w:val="nil"/>
            </w:tcBorders>
            <w:shd w:val="clear" w:color="auto" w:fill="auto"/>
            <w:vAlign w:val="center"/>
            <w:hideMark/>
          </w:tcPr>
          <w:p w:rsidR="00DB41CE" w:rsidRPr="00DB41CE" w:rsidRDefault="00DB41CE" w:rsidP="00B723BB">
            <w:pPr>
              <w:rPr>
                <w:rFonts w:eastAsia="Times New Roman" w:cs="Times New Roman"/>
                <w:color w:val="000000"/>
                <w:sz w:val="20"/>
                <w:szCs w:val="20"/>
                <w:lang w:eastAsia="pt-BR"/>
              </w:rPr>
            </w:pPr>
            <w:r w:rsidRPr="00DB41CE">
              <w:rPr>
                <w:rFonts w:eastAsia="Times New Roman" w:cs="Times New Roman"/>
                <w:color w:val="000000"/>
                <w:sz w:val="20"/>
                <w:szCs w:val="20"/>
                <w:lang w:eastAsia="pt-BR"/>
              </w:rPr>
              <w:t>ORA</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0,00</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-0,03</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1,00</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r>
      <w:tr w:rsidR="00DB41CE" w:rsidRPr="00DB41CE" w:rsidTr="007E41C9">
        <w:trPr>
          <w:trHeight w:val="255"/>
        </w:trPr>
        <w:tc>
          <w:tcPr>
            <w:tcW w:w="500" w:type="pct"/>
            <w:gridSpan w:val="2"/>
            <w:tcBorders>
              <w:top w:val="nil"/>
              <w:left w:val="nil"/>
              <w:bottom w:val="nil"/>
              <w:right w:val="nil"/>
            </w:tcBorders>
            <w:shd w:val="clear" w:color="auto" w:fill="auto"/>
            <w:vAlign w:val="center"/>
            <w:hideMark/>
          </w:tcPr>
          <w:p w:rsidR="00DB41CE" w:rsidRPr="00DB41CE" w:rsidRDefault="00DB41CE" w:rsidP="00B723BB">
            <w:pPr>
              <w:rPr>
                <w:rFonts w:eastAsia="Times New Roman" w:cs="Times New Roman"/>
                <w:color w:val="000000"/>
                <w:sz w:val="20"/>
                <w:szCs w:val="20"/>
                <w:lang w:eastAsia="pt-BR"/>
              </w:rPr>
            </w:pPr>
            <w:r w:rsidRPr="00DB41CE">
              <w:rPr>
                <w:rFonts w:eastAsia="Times New Roman" w:cs="Times New Roman"/>
                <w:color w:val="000000"/>
                <w:sz w:val="20"/>
                <w:szCs w:val="20"/>
                <w:lang w:eastAsia="pt-BR"/>
              </w:rPr>
              <w:t>TVM</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w:t>
            </w:r>
            <w:proofErr w:type="gramEnd"/>
            <w:r w:rsidRPr="00DB41CE">
              <w:rPr>
                <w:rFonts w:eastAsia="Times New Roman" w:cs="Times New Roman"/>
                <w:color w:val="000000"/>
                <w:sz w:val="20"/>
                <w:szCs w:val="20"/>
                <w:lang w:eastAsia="pt-BR"/>
              </w:rPr>
              <w:t>188</w:t>
            </w:r>
            <w:r w:rsidRPr="00DB41CE">
              <w:rPr>
                <w:rFonts w:eastAsia="Times New Roman" w:cs="Times New Roman"/>
                <w:color w:val="000000"/>
                <w:sz w:val="20"/>
                <w:szCs w:val="20"/>
                <w:vertAlign w:val="superscript"/>
                <w:lang w:eastAsia="pt-BR"/>
              </w:rPr>
              <w:t>**</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w:t>
            </w:r>
            <w:proofErr w:type="gramEnd"/>
            <w:r w:rsidRPr="00DB41CE">
              <w:rPr>
                <w:rFonts w:eastAsia="Times New Roman" w:cs="Times New Roman"/>
                <w:color w:val="000000"/>
                <w:sz w:val="20"/>
                <w:szCs w:val="20"/>
                <w:lang w:eastAsia="pt-BR"/>
              </w:rPr>
              <w:t>170</w:t>
            </w:r>
            <w:r w:rsidRPr="00DB41CE">
              <w:rPr>
                <w:rFonts w:eastAsia="Times New Roman" w:cs="Times New Roman"/>
                <w:color w:val="000000"/>
                <w:sz w:val="20"/>
                <w:szCs w:val="20"/>
                <w:vertAlign w:val="superscript"/>
                <w:lang w:eastAsia="pt-BR"/>
              </w:rPr>
              <w:t>**</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,200</w:t>
            </w:r>
            <w:proofErr w:type="gramEnd"/>
            <w:r w:rsidRPr="00DB41CE">
              <w:rPr>
                <w:rFonts w:eastAsia="Times New Roman" w:cs="Times New Roman"/>
                <w:color w:val="000000"/>
                <w:sz w:val="20"/>
                <w:szCs w:val="20"/>
                <w:vertAlign w:val="superscript"/>
                <w:lang w:eastAsia="pt-BR"/>
              </w:rPr>
              <w:t>**</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1,00</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r>
      <w:tr w:rsidR="00DB41CE" w:rsidRPr="00DB41CE" w:rsidTr="007E41C9">
        <w:trPr>
          <w:trHeight w:val="255"/>
        </w:trPr>
        <w:tc>
          <w:tcPr>
            <w:tcW w:w="500" w:type="pct"/>
            <w:gridSpan w:val="2"/>
            <w:tcBorders>
              <w:top w:val="nil"/>
              <w:left w:val="nil"/>
              <w:bottom w:val="nil"/>
              <w:right w:val="nil"/>
            </w:tcBorders>
            <w:shd w:val="clear" w:color="auto" w:fill="auto"/>
            <w:vAlign w:val="center"/>
            <w:hideMark/>
          </w:tcPr>
          <w:p w:rsidR="00DB41CE" w:rsidRPr="00DB41CE" w:rsidRDefault="001C7686" w:rsidP="00B723BB">
            <w:pPr>
              <w:rPr>
                <w:rFonts w:eastAsia="Times New Roman" w:cs="Times New Roman"/>
                <w:color w:val="000000"/>
                <w:sz w:val="20"/>
                <w:szCs w:val="20"/>
                <w:lang w:eastAsia="pt-BR"/>
              </w:rPr>
            </w:pPr>
            <w:r>
              <w:rPr>
                <w:rFonts w:eastAsia="Times New Roman" w:cs="Times New Roman"/>
                <w:color w:val="000000"/>
                <w:sz w:val="20"/>
                <w:szCs w:val="20"/>
                <w:lang w:eastAsia="pt-BR"/>
              </w:rPr>
              <w:t>COM</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,319</w:t>
            </w:r>
            <w:proofErr w:type="gramEnd"/>
            <w:r w:rsidRPr="00DB41CE">
              <w:rPr>
                <w:rFonts w:eastAsia="Times New Roman" w:cs="Times New Roman"/>
                <w:color w:val="000000"/>
                <w:sz w:val="20"/>
                <w:szCs w:val="20"/>
                <w:vertAlign w:val="superscript"/>
                <w:lang w:eastAsia="pt-BR"/>
              </w:rPr>
              <w:t>**</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,286</w:t>
            </w:r>
            <w:proofErr w:type="gramEnd"/>
            <w:r w:rsidRPr="00DB41CE">
              <w:rPr>
                <w:rFonts w:eastAsia="Times New Roman" w:cs="Times New Roman"/>
                <w:color w:val="000000"/>
                <w:sz w:val="20"/>
                <w:szCs w:val="20"/>
                <w:vertAlign w:val="superscript"/>
                <w:lang w:eastAsia="pt-BR"/>
              </w:rPr>
              <w:t>**</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,670</w:t>
            </w:r>
            <w:proofErr w:type="gramEnd"/>
            <w:r w:rsidRPr="00DB41CE">
              <w:rPr>
                <w:rFonts w:eastAsia="Times New Roman" w:cs="Times New Roman"/>
                <w:color w:val="000000"/>
                <w:sz w:val="20"/>
                <w:szCs w:val="20"/>
                <w:vertAlign w:val="superscript"/>
                <w:lang w:eastAsia="pt-BR"/>
              </w:rPr>
              <w:t>**</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-0,04</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1,00</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r>
      <w:tr w:rsidR="00DB41CE" w:rsidRPr="00DB41CE" w:rsidTr="007E41C9">
        <w:trPr>
          <w:trHeight w:val="255"/>
        </w:trPr>
        <w:tc>
          <w:tcPr>
            <w:tcW w:w="500" w:type="pct"/>
            <w:gridSpan w:val="2"/>
            <w:tcBorders>
              <w:top w:val="nil"/>
              <w:left w:val="nil"/>
              <w:bottom w:val="nil"/>
              <w:right w:val="nil"/>
            </w:tcBorders>
            <w:shd w:val="clear" w:color="auto" w:fill="auto"/>
            <w:vAlign w:val="center"/>
            <w:hideMark/>
          </w:tcPr>
          <w:p w:rsidR="00DB41CE" w:rsidRPr="00DB41CE" w:rsidRDefault="00DB41CE" w:rsidP="00B723BB">
            <w:pPr>
              <w:rPr>
                <w:rFonts w:eastAsia="Times New Roman" w:cs="Times New Roman"/>
                <w:color w:val="000000"/>
                <w:sz w:val="20"/>
                <w:szCs w:val="20"/>
                <w:lang w:eastAsia="pt-BR"/>
              </w:rPr>
            </w:pPr>
            <w:r w:rsidRPr="00DB41CE">
              <w:rPr>
                <w:rFonts w:eastAsia="Times New Roman" w:cs="Times New Roman"/>
                <w:color w:val="000000"/>
                <w:sz w:val="20"/>
                <w:szCs w:val="20"/>
                <w:lang w:eastAsia="pt-BR"/>
              </w:rPr>
              <w:t>PEN</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,113</w:t>
            </w:r>
            <w:proofErr w:type="gramEnd"/>
            <w:r w:rsidRPr="00DB41CE">
              <w:rPr>
                <w:rFonts w:eastAsia="Times New Roman" w:cs="Times New Roman"/>
                <w:color w:val="000000"/>
                <w:sz w:val="20"/>
                <w:szCs w:val="20"/>
                <w:vertAlign w:val="superscript"/>
                <w:lang w:eastAsia="pt-BR"/>
              </w:rPr>
              <w:t>*</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,169</w:t>
            </w:r>
            <w:proofErr w:type="gramEnd"/>
            <w:r w:rsidRPr="00DB41CE">
              <w:rPr>
                <w:rFonts w:eastAsia="Times New Roman" w:cs="Times New Roman"/>
                <w:color w:val="000000"/>
                <w:sz w:val="20"/>
                <w:szCs w:val="20"/>
                <w:vertAlign w:val="superscript"/>
                <w:lang w:eastAsia="pt-BR"/>
              </w:rPr>
              <w:t>**</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,422</w:t>
            </w:r>
            <w:proofErr w:type="gramEnd"/>
            <w:r w:rsidRPr="00DB41CE">
              <w:rPr>
                <w:rFonts w:eastAsia="Times New Roman" w:cs="Times New Roman"/>
                <w:color w:val="000000"/>
                <w:sz w:val="20"/>
                <w:szCs w:val="20"/>
                <w:vertAlign w:val="superscript"/>
                <w:lang w:eastAsia="pt-BR"/>
              </w:rPr>
              <w:t>**</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-0,01</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,148</w:t>
            </w:r>
            <w:proofErr w:type="gramEnd"/>
            <w:r w:rsidRPr="00DB41CE">
              <w:rPr>
                <w:rFonts w:eastAsia="Times New Roman" w:cs="Times New Roman"/>
                <w:color w:val="000000"/>
                <w:sz w:val="20"/>
                <w:szCs w:val="20"/>
                <w:vertAlign w:val="superscript"/>
                <w:lang w:eastAsia="pt-BR"/>
              </w:rPr>
              <w:t>**</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1,00</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r>
      <w:tr w:rsidR="00DB41CE" w:rsidRPr="00DB41CE" w:rsidTr="007E41C9">
        <w:trPr>
          <w:trHeight w:val="255"/>
        </w:trPr>
        <w:tc>
          <w:tcPr>
            <w:tcW w:w="500" w:type="pct"/>
            <w:gridSpan w:val="2"/>
            <w:tcBorders>
              <w:top w:val="nil"/>
              <w:left w:val="nil"/>
              <w:bottom w:val="nil"/>
              <w:right w:val="nil"/>
            </w:tcBorders>
            <w:shd w:val="clear" w:color="auto" w:fill="auto"/>
            <w:vAlign w:val="center"/>
            <w:hideMark/>
          </w:tcPr>
          <w:p w:rsidR="00DB41CE" w:rsidRPr="00DB41CE" w:rsidRDefault="00DB41CE" w:rsidP="00B723BB">
            <w:pPr>
              <w:rPr>
                <w:rFonts w:eastAsia="Times New Roman" w:cs="Times New Roman"/>
                <w:color w:val="000000"/>
                <w:sz w:val="20"/>
                <w:szCs w:val="20"/>
                <w:lang w:eastAsia="pt-BR"/>
              </w:rPr>
            </w:pPr>
            <w:r w:rsidRPr="00DB41CE">
              <w:rPr>
                <w:rFonts w:eastAsia="Times New Roman" w:cs="Times New Roman"/>
                <w:color w:val="000000"/>
                <w:sz w:val="20"/>
                <w:szCs w:val="20"/>
                <w:lang w:eastAsia="pt-BR"/>
              </w:rPr>
              <w:t>HED</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w:t>
            </w:r>
            <w:proofErr w:type="gramEnd"/>
            <w:r w:rsidRPr="00DB41CE">
              <w:rPr>
                <w:rFonts w:eastAsia="Times New Roman" w:cs="Times New Roman"/>
                <w:color w:val="000000"/>
                <w:sz w:val="20"/>
                <w:szCs w:val="20"/>
                <w:lang w:eastAsia="pt-BR"/>
              </w:rPr>
              <w:t>341</w:t>
            </w:r>
            <w:r w:rsidRPr="00DB41CE">
              <w:rPr>
                <w:rFonts w:eastAsia="Times New Roman" w:cs="Times New Roman"/>
                <w:color w:val="000000"/>
                <w:sz w:val="20"/>
                <w:szCs w:val="20"/>
                <w:vertAlign w:val="superscript"/>
                <w:lang w:eastAsia="pt-BR"/>
              </w:rPr>
              <w:t>**</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w:t>
            </w:r>
            <w:proofErr w:type="gramEnd"/>
            <w:r w:rsidRPr="00DB41CE">
              <w:rPr>
                <w:rFonts w:eastAsia="Times New Roman" w:cs="Times New Roman"/>
                <w:color w:val="000000"/>
                <w:sz w:val="20"/>
                <w:szCs w:val="20"/>
                <w:lang w:eastAsia="pt-BR"/>
              </w:rPr>
              <w:t>451</w:t>
            </w:r>
            <w:r w:rsidRPr="00DB41CE">
              <w:rPr>
                <w:rFonts w:eastAsia="Times New Roman" w:cs="Times New Roman"/>
                <w:color w:val="000000"/>
                <w:sz w:val="20"/>
                <w:szCs w:val="20"/>
                <w:vertAlign w:val="superscript"/>
                <w:lang w:eastAsia="pt-BR"/>
              </w:rPr>
              <w:t>**</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w:t>
            </w:r>
            <w:proofErr w:type="gramEnd"/>
            <w:r w:rsidRPr="00DB41CE">
              <w:rPr>
                <w:rFonts w:eastAsia="Times New Roman" w:cs="Times New Roman"/>
                <w:color w:val="000000"/>
                <w:sz w:val="20"/>
                <w:szCs w:val="20"/>
                <w:lang w:eastAsia="pt-BR"/>
              </w:rPr>
              <w:t>286</w:t>
            </w:r>
            <w:r w:rsidRPr="00DB41CE">
              <w:rPr>
                <w:rFonts w:eastAsia="Times New Roman" w:cs="Times New Roman"/>
                <w:color w:val="000000"/>
                <w:sz w:val="20"/>
                <w:szCs w:val="20"/>
                <w:vertAlign w:val="superscript"/>
                <w:lang w:eastAsia="pt-BR"/>
              </w:rPr>
              <w:t>**</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0,03</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w:t>
            </w:r>
            <w:proofErr w:type="gramEnd"/>
            <w:r w:rsidRPr="00DB41CE">
              <w:rPr>
                <w:rFonts w:eastAsia="Times New Roman" w:cs="Times New Roman"/>
                <w:color w:val="000000"/>
                <w:sz w:val="20"/>
                <w:szCs w:val="20"/>
                <w:lang w:eastAsia="pt-BR"/>
              </w:rPr>
              <w:t>295</w:t>
            </w:r>
            <w:r w:rsidRPr="00DB41CE">
              <w:rPr>
                <w:rFonts w:eastAsia="Times New Roman" w:cs="Times New Roman"/>
                <w:color w:val="000000"/>
                <w:sz w:val="20"/>
                <w:szCs w:val="20"/>
                <w:vertAlign w:val="superscript"/>
                <w:lang w:eastAsia="pt-BR"/>
              </w:rPr>
              <w:t>**</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w:t>
            </w:r>
            <w:proofErr w:type="gramEnd"/>
            <w:r w:rsidRPr="00DB41CE">
              <w:rPr>
                <w:rFonts w:eastAsia="Times New Roman" w:cs="Times New Roman"/>
                <w:color w:val="000000"/>
                <w:sz w:val="20"/>
                <w:szCs w:val="20"/>
                <w:lang w:eastAsia="pt-BR"/>
              </w:rPr>
              <w:t>795</w:t>
            </w:r>
            <w:r w:rsidRPr="00DB41CE">
              <w:rPr>
                <w:rFonts w:eastAsia="Times New Roman" w:cs="Times New Roman"/>
                <w:color w:val="000000"/>
                <w:sz w:val="20"/>
                <w:szCs w:val="20"/>
                <w:vertAlign w:val="superscript"/>
                <w:lang w:eastAsia="pt-BR"/>
              </w:rPr>
              <w:t>**</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1,00</w:t>
            </w: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500"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r>
      <w:tr w:rsidR="00DB41CE" w:rsidRPr="00DB41CE" w:rsidTr="007E41C9">
        <w:trPr>
          <w:trHeight w:val="255"/>
        </w:trPr>
        <w:tc>
          <w:tcPr>
            <w:tcW w:w="500" w:type="pct"/>
            <w:gridSpan w:val="2"/>
            <w:tcBorders>
              <w:top w:val="nil"/>
              <w:left w:val="nil"/>
              <w:right w:val="nil"/>
            </w:tcBorders>
            <w:shd w:val="clear" w:color="auto" w:fill="auto"/>
            <w:vAlign w:val="center"/>
            <w:hideMark/>
          </w:tcPr>
          <w:p w:rsidR="00DB41CE" w:rsidRPr="00DB41CE" w:rsidRDefault="00DB41CE" w:rsidP="00B723BB">
            <w:pPr>
              <w:rPr>
                <w:rFonts w:eastAsia="Times New Roman" w:cs="Times New Roman"/>
                <w:color w:val="000000"/>
                <w:sz w:val="20"/>
                <w:szCs w:val="20"/>
                <w:lang w:eastAsia="pt-BR"/>
              </w:rPr>
            </w:pPr>
            <w:r w:rsidRPr="00DB41CE">
              <w:rPr>
                <w:rFonts w:eastAsia="Times New Roman" w:cs="Times New Roman"/>
                <w:color w:val="000000"/>
                <w:sz w:val="20"/>
                <w:szCs w:val="20"/>
                <w:lang w:eastAsia="pt-BR"/>
              </w:rPr>
              <w:t>NVM</w:t>
            </w:r>
          </w:p>
        </w:tc>
        <w:tc>
          <w:tcPr>
            <w:tcW w:w="500" w:type="pct"/>
            <w:gridSpan w:val="2"/>
            <w:tcBorders>
              <w:top w:val="nil"/>
              <w:left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0,05</w:t>
            </w:r>
          </w:p>
        </w:tc>
        <w:tc>
          <w:tcPr>
            <w:tcW w:w="500" w:type="pct"/>
            <w:gridSpan w:val="2"/>
            <w:tcBorders>
              <w:top w:val="nil"/>
              <w:left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0,08</w:t>
            </w:r>
          </w:p>
        </w:tc>
        <w:tc>
          <w:tcPr>
            <w:tcW w:w="500" w:type="pct"/>
            <w:gridSpan w:val="2"/>
            <w:tcBorders>
              <w:top w:val="nil"/>
              <w:left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,932</w:t>
            </w:r>
            <w:proofErr w:type="gramEnd"/>
            <w:r w:rsidRPr="00DB41CE">
              <w:rPr>
                <w:rFonts w:eastAsia="Times New Roman" w:cs="Times New Roman"/>
                <w:color w:val="000000"/>
                <w:sz w:val="20"/>
                <w:szCs w:val="20"/>
                <w:vertAlign w:val="superscript"/>
                <w:lang w:eastAsia="pt-BR"/>
              </w:rPr>
              <w:t>**</w:t>
            </w:r>
          </w:p>
        </w:tc>
        <w:tc>
          <w:tcPr>
            <w:tcW w:w="500" w:type="pct"/>
            <w:gridSpan w:val="2"/>
            <w:tcBorders>
              <w:top w:val="nil"/>
              <w:left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-0,03</w:t>
            </w:r>
          </w:p>
        </w:tc>
        <w:tc>
          <w:tcPr>
            <w:tcW w:w="500" w:type="pct"/>
            <w:gridSpan w:val="2"/>
            <w:tcBorders>
              <w:top w:val="nil"/>
              <w:left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,716</w:t>
            </w:r>
            <w:proofErr w:type="gramEnd"/>
            <w:r w:rsidRPr="00DB41CE">
              <w:rPr>
                <w:rFonts w:eastAsia="Times New Roman" w:cs="Times New Roman"/>
                <w:color w:val="000000"/>
                <w:sz w:val="20"/>
                <w:szCs w:val="20"/>
                <w:vertAlign w:val="superscript"/>
                <w:lang w:eastAsia="pt-BR"/>
              </w:rPr>
              <w:t>**</w:t>
            </w:r>
          </w:p>
        </w:tc>
        <w:tc>
          <w:tcPr>
            <w:tcW w:w="500" w:type="pct"/>
            <w:gridSpan w:val="2"/>
            <w:tcBorders>
              <w:top w:val="nil"/>
              <w:left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,484</w:t>
            </w:r>
            <w:proofErr w:type="gramEnd"/>
            <w:r w:rsidRPr="00DB41CE">
              <w:rPr>
                <w:rFonts w:eastAsia="Times New Roman" w:cs="Times New Roman"/>
                <w:color w:val="000000"/>
                <w:sz w:val="20"/>
                <w:szCs w:val="20"/>
                <w:vertAlign w:val="superscript"/>
                <w:lang w:eastAsia="pt-BR"/>
              </w:rPr>
              <w:t>**</w:t>
            </w:r>
          </w:p>
        </w:tc>
        <w:tc>
          <w:tcPr>
            <w:tcW w:w="500" w:type="pct"/>
            <w:gridSpan w:val="2"/>
            <w:tcBorders>
              <w:top w:val="nil"/>
              <w:left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w:t>
            </w:r>
            <w:proofErr w:type="gramEnd"/>
            <w:r w:rsidRPr="00DB41CE">
              <w:rPr>
                <w:rFonts w:eastAsia="Times New Roman" w:cs="Times New Roman"/>
                <w:color w:val="000000"/>
                <w:sz w:val="20"/>
                <w:szCs w:val="20"/>
                <w:lang w:eastAsia="pt-BR"/>
              </w:rPr>
              <w:t>336</w:t>
            </w:r>
            <w:r w:rsidRPr="00DB41CE">
              <w:rPr>
                <w:rFonts w:eastAsia="Times New Roman" w:cs="Times New Roman"/>
                <w:color w:val="000000"/>
                <w:sz w:val="20"/>
                <w:szCs w:val="20"/>
                <w:vertAlign w:val="superscript"/>
                <w:lang w:eastAsia="pt-BR"/>
              </w:rPr>
              <w:t>**</w:t>
            </w:r>
          </w:p>
        </w:tc>
        <w:tc>
          <w:tcPr>
            <w:tcW w:w="500" w:type="pct"/>
            <w:gridSpan w:val="2"/>
            <w:tcBorders>
              <w:top w:val="nil"/>
              <w:left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1,00</w:t>
            </w:r>
          </w:p>
        </w:tc>
        <w:tc>
          <w:tcPr>
            <w:tcW w:w="500" w:type="pct"/>
            <w:gridSpan w:val="2"/>
            <w:tcBorders>
              <w:top w:val="nil"/>
              <w:left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r>
      <w:tr w:rsidR="00DB41CE" w:rsidRPr="00DB41CE" w:rsidTr="007E41C9">
        <w:trPr>
          <w:trHeight w:val="255"/>
        </w:trPr>
        <w:tc>
          <w:tcPr>
            <w:tcW w:w="500" w:type="pct"/>
            <w:gridSpan w:val="2"/>
            <w:tcBorders>
              <w:top w:val="nil"/>
              <w:left w:val="nil"/>
              <w:bottom w:val="double" w:sz="4" w:space="0" w:color="auto"/>
              <w:right w:val="nil"/>
            </w:tcBorders>
            <w:shd w:val="clear" w:color="auto" w:fill="auto"/>
            <w:vAlign w:val="center"/>
            <w:hideMark/>
          </w:tcPr>
          <w:p w:rsidR="00DB41CE" w:rsidRPr="00DB41CE" w:rsidRDefault="00DB41CE" w:rsidP="00B723BB">
            <w:pPr>
              <w:rPr>
                <w:rFonts w:eastAsia="Times New Roman" w:cs="Times New Roman"/>
                <w:color w:val="000000"/>
                <w:sz w:val="20"/>
                <w:szCs w:val="20"/>
                <w:lang w:eastAsia="pt-BR"/>
              </w:rPr>
            </w:pPr>
            <w:r w:rsidRPr="00DB41CE">
              <w:rPr>
                <w:rFonts w:eastAsia="Times New Roman" w:cs="Times New Roman"/>
                <w:color w:val="000000"/>
                <w:sz w:val="20"/>
                <w:szCs w:val="20"/>
                <w:lang w:eastAsia="pt-BR"/>
              </w:rPr>
              <w:t>RAC</w:t>
            </w:r>
          </w:p>
        </w:tc>
        <w:tc>
          <w:tcPr>
            <w:tcW w:w="500" w:type="pct"/>
            <w:gridSpan w:val="2"/>
            <w:tcBorders>
              <w:top w:val="nil"/>
              <w:left w:val="nil"/>
              <w:bottom w:val="double" w:sz="4" w:space="0" w:color="auto"/>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,421</w:t>
            </w:r>
            <w:proofErr w:type="gramEnd"/>
            <w:r w:rsidRPr="00DB41CE">
              <w:rPr>
                <w:rFonts w:eastAsia="Times New Roman" w:cs="Times New Roman"/>
                <w:color w:val="000000"/>
                <w:sz w:val="20"/>
                <w:szCs w:val="20"/>
                <w:vertAlign w:val="superscript"/>
                <w:lang w:eastAsia="pt-BR"/>
              </w:rPr>
              <w:t>**</w:t>
            </w:r>
          </w:p>
        </w:tc>
        <w:tc>
          <w:tcPr>
            <w:tcW w:w="500" w:type="pct"/>
            <w:gridSpan w:val="2"/>
            <w:tcBorders>
              <w:top w:val="nil"/>
              <w:left w:val="nil"/>
              <w:bottom w:val="double" w:sz="4" w:space="0" w:color="auto"/>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,589</w:t>
            </w:r>
            <w:proofErr w:type="gramEnd"/>
            <w:r w:rsidRPr="00DB41CE">
              <w:rPr>
                <w:rFonts w:eastAsia="Times New Roman" w:cs="Times New Roman"/>
                <w:color w:val="000000"/>
                <w:sz w:val="20"/>
                <w:szCs w:val="20"/>
                <w:vertAlign w:val="superscript"/>
                <w:lang w:eastAsia="pt-BR"/>
              </w:rPr>
              <w:t>**</w:t>
            </w:r>
          </w:p>
        </w:tc>
        <w:tc>
          <w:tcPr>
            <w:tcW w:w="500" w:type="pct"/>
            <w:gridSpan w:val="2"/>
            <w:tcBorders>
              <w:top w:val="nil"/>
              <w:left w:val="nil"/>
              <w:bottom w:val="double" w:sz="4" w:space="0" w:color="auto"/>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,127</w:t>
            </w:r>
            <w:proofErr w:type="gramEnd"/>
            <w:r w:rsidRPr="00DB41CE">
              <w:rPr>
                <w:rFonts w:eastAsia="Times New Roman" w:cs="Times New Roman"/>
                <w:color w:val="000000"/>
                <w:sz w:val="20"/>
                <w:szCs w:val="20"/>
                <w:vertAlign w:val="superscript"/>
                <w:lang w:eastAsia="pt-BR"/>
              </w:rPr>
              <w:t>**</w:t>
            </w:r>
          </w:p>
        </w:tc>
        <w:tc>
          <w:tcPr>
            <w:tcW w:w="500" w:type="pct"/>
            <w:gridSpan w:val="2"/>
            <w:tcBorders>
              <w:top w:val="nil"/>
              <w:left w:val="nil"/>
              <w:bottom w:val="double" w:sz="4" w:space="0" w:color="auto"/>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-0,05</w:t>
            </w:r>
          </w:p>
        </w:tc>
        <w:tc>
          <w:tcPr>
            <w:tcW w:w="500" w:type="pct"/>
            <w:gridSpan w:val="2"/>
            <w:tcBorders>
              <w:top w:val="nil"/>
              <w:left w:val="nil"/>
              <w:bottom w:val="double" w:sz="4" w:space="0" w:color="auto"/>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,322</w:t>
            </w:r>
            <w:proofErr w:type="gramEnd"/>
            <w:r w:rsidRPr="00DB41CE">
              <w:rPr>
                <w:rFonts w:eastAsia="Times New Roman" w:cs="Times New Roman"/>
                <w:color w:val="000000"/>
                <w:sz w:val="20"/>
                <w:szCs w:val="20"/>
                <w:vertAlign w:val="superscript"/>
                <w:lang w:eastAsia="pt-BR"/>
              </w:rPr>
              <w:t>**</w:t>
            </w:r>
          </w:p>
        </w:tc>
        <w:tc>
          <w:tcPr>
            <w:tcW w:w="500" w:type="pct"/>
            <w:gridSpan w:val="2"/>
            <w:tcBorders>
              <w:top w:val="nil"/>
              <w:left w:val="nil"/>
              <w:bottom w:val="double" w:sz="4" w:space="0" w:color="auto"/>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,196</w:t>
            </w:r>
            <w:proofErr w:type="gramEnd"/>
            <w:r w:rsidRPr="00DB41CE">
              <w:rPr>
                <w:rFonts w:eastAsia="Times New Roman" w:cs="Times New Roman"/>
                <w:color w:val="000000"/>
                <w:sz w:val="20"/>
                <w:szCs w:val="20"/>
                <w:vertAlign w:val="superscript"/>
                <w:lang w:eastAsia="pt-BR"/>
              </w:rPr>
              <w:t>**</w:t>
            </w:r>
          </w:p>
        </w:tc>
        <w:tc>
          <w:tcPr>
            <w:tcW w:w="500" w:type="pct"/>
            <w:gridSpan w:val="2"/>
            <w:tcBorders>
              <w:top w:val="nil"/>
              <w:left w:val="nil"/>
              <w:bottom w:val="double" w:sz="4" w:space="0" w:color="auto"/>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w:t>
            </w:r>
            <w:proofErr w:type="gramEnd"/>
            <w:r w:rsidRPr="00DB41CE">
              <w:rPr>
                <w:rFonts w:eastAsia="Times New Roman" w:cs="Times New Roman"/>
                <w:color w:val="000000"/>
                <w:sz w:val="20"/>
                <w:szCs w:val="20"/>
                <w:lang w:eastAsia="pt-BR"/>
              </w:rPr>
              <w:t>344</w:t>
            </w:r>
            <w:r w:rsidRPr="00DB41CE">
              <w:rPr>
                <w:rFonts w:eastAsia="Times New Roman" w:cs="Times New Roman"/>
                <w:color w:val="000000"/>
                <w:sz w:val="20"/>
                <w:szCs w:val="20"/>
                <w:vertAlign w:val="superscript"/>
                <w:lang w:eastAsia="pt-BR"/>
              </w:rPr>
              <w:t>**</w:t>
            </w:r>
          </w:p>
        </w:tc>
        <w:tc>
          <w:tcPr>
            <w:tcW w:w="500" w:type="pct"/>
            <w:gridSpan w:val="2"/>
            <w:tcBorders>
              <w:top w:val="nil"/>
              <w:left w:val="nil"/>
              <w:bottom w:val="double" w:sz="4" w:space="0" w:color="auto"/>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,210</w:t>
            </w:r>
            <w:proofErr w:type="gramEnd"/>
            <w:r w:rsidRPr="00DB41CE">
              <w:rPr>
                <w:rFonts w:eastAsia="Times New Roman" w:cs="Times New Roman"/>
                <w:color w:val="000000"/>
                <w:sz w:val="20"/>
                <w:szCs w:val="20"/>
                <w:vertAlign w:val="superscript"/>
                <w:lang w:eastAsia="pt-BR"/>
              </w:rPr>
              <w:t>**</w:t>
            </w:r>
          </w:p>
        </w:tc>
        <w:tc>
          <w:tcPr>
            <w:tcW w:w="500" w:type="pct"/>
            <w:gridSpan w:val="2"/>
            <w:tcBorders>
              <w:top w:val="nil"/>
              <w:left w:val="nil"/>
              <w:bottom w:val="double" w:sz="4" w:space="0" w:color="auto"/>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1,00</w:t>
            </w:r>
          </w:p>
        </w:tc>
      </w:tr>
      <w:tr w:rsidR="00DB41CE" w:rsidRPr="00DB41CE" w:rsidTr="007E41C9">
        <w:trPr>
          <w:trHeight w:val="340"/>
        </w:trPr>
        <w:tc>
          <w:tcPr>
            <w:tcW w:w="5000" w:type="pct"/>
            <w:gridSpan w:val="20"/>
            <w:tcBorders>
              <w:top w:val="double" w:sz="4" w:space="0" w:color="auto"/>
              <w:left w:val="nil"/>
              <w:bottom w:val="single" w:sz="4" w:space="0" w:color="auto"/>
              <w:right w:val="nil"/>
            </w:tcBorders>
            <w:shd w:val="clear" w:color="auto" w:fill="auto"/>
            <w:vAlign w:val="center"/>
          </w:tcPr>
          <w:p w:rsidR="00DB41CE" w:rsidRPr="00DB41CE" w:rsidRDefault="001C7686" w:rsidP="00B723BB">
            <w:pPr>
              <w:rPr>
                <w:rFonts w:eastAsia="Times New Roman" w:cs="Times New Roman"/>
                <w:bCs/>
                <w:color w:val="000000"/>
                <w:sz w:val="20"/>
                <w:szCs w:val="20"/>
                <w:lang w:eastAsia="pt-BR"/>
              </w:rPr>
            </w:pPr>
            <w:r>
              <w:rPr>
                <w:rFonts w:eastAsia="Times New Roman" w:cs="Times New Roman"/>
                <w:bCs/>
                <w:color w:val="000000"/>
                <w:sz w:val="20"/>
                <w:szCs w:val="20"/>
                <w:lang w:eastAsia="pt-BR"/>
              </w:rPr>
              <w:t>Painel B</w:t>
            </w:r>
            <w:r w:rsidR="00DB41CE" w:rsidRPr="00DB41CE">
              <w:rPr>
                <w:rFonts w:eastAsia="Times New Roman" w:cs="Times New Roman"/>
                <w:bCs/>
                <w:color w:val="000000"/>
                <w:sz w:val="20"/>
                <w:szCs w:val="20"/>
                <w:lang w:eastAsia="pt-BR"/>
              </w:rPr>
              <w:t xml:space="preserve"> – Variáveis utilizadas nas equações 06 a 10: P</w:t>
            </w:r>
            <w:r w:rsidR="00DB41CE" w:rsidRPr="00DB41CE">
              <w:rPr>
                <w:rFonts w:eastAsia="Times New Roman" w:cs="Times New Roman"/>
                <w:bCs/>
                <w:color w:val="000000"/>
                <w:sz w:val="20"/>
                <w:szCs w:val="20"/>
                <w:vertAlign w:val="subscript"/>
                <w:lang w:eastAsia="pt-BR"/>
              </w:rPr>
              <w:t>it</w:t>
            </w:r>
          </w:p>
        </w:tc>
      </w:tr>
      <w:tr w:rsidR="00DB41CE" w:rsidRPr="00DB41CE" w:rsidTr="007E41C9">
        <w:trPr>
          <w:trHeight w:val="255"/>
        </w:trPr>
        <w:tc>
          <w:tcPr>
            <w:tcW w:w="454" w:type="pct"/>
            <w:tcBorders>
              <w:top w:val="single" w:sz="4" w:space="0" w:color="auto"/>
              <w:left w:val="nil"/>
              <w:bottom w:val="single" w:sz="4" w:space="0" w:color="auto"/>
              <w:right w:val="nil"/>
            </w:tcBorders>
            <w:shd w:val="clear" w:color="auto" w:fill="auto"/>
            <w:vAlign w:val="center"/>
            <w:hideMark/>
          </w:tcPr>
          <w:p w:rsidR="00DB41CE" w:rsidRPr="00DB41CE" w:rsidRDefault="00DB41CE" w:rsidP="00B723BB">
            <w:pPr>
              <w:rPr>
                <w:rFonts w:eastAsia="Times New Roman" w:cs="Times New Roman"/>
                <w:color w:val="000000"/>
                <w:sz w:val="20"/>
                <w:szCs w:val="20"/>
                <w:lang w:eastAsia="pt-BR"/>
              </w:rPr>
            </w:pPr>
            <w:r w:rsidRPr="00DB41CE">
              <w:rPr>
                <w:rFonts w:eastAsia="Times New Roman" w:cs="Times New Roman"/>
                <w:color w:val="000000"/>
                <w:sz w:val="20"/>
                <w:szCs w:val="20"/>
                <w:lang w:eastAsia="pt-BR"/>
              </w:rPr>
              <w:t> </w:t>
            </w:r>
          </w:p>
        </w:tc>
        <w:tc>
          <w:tcPr>
            <w:tcW w:w="454" w:type="pct"/>
            <w:gridSpan w:val="2"/>
            <w:tcBorders>
              <w:top w:val="single" w:sz="4" w:space="0" w:color="auto"/>
              <w:left w:val="nil"/>
              <w:bottom w:val="single" w:sz="4" w:space="0" w:color="auto"/>
              <w:right w:val="nil"/>
            </w:tcBorders>
            <w:shd w:val="clear" w:color="auto" w:fill="auto"/>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P</w:t>
            </w:r>
            <w:r w:rsidRPr="00DB41CE">
              <w:rPr>
                <w:rFonts w:eastAsia="Times New Roman" w:cs="Times New Roman"/>
                <w:color w:val="000000"/>
                <w:sz w:val="20"/>
                <w:szCs w:val="20"/>
                <w:vertAlign w:val="subscript"/>
                <w:lang w:eastAsia="pt-BR"/>
              </w:rPr>
              <w:t>it</w:t>
            </w:r>
          </w:p>
        </w:tc>
        <w:tc>
          <w:tcPr>
            <w:tcW w:w="454" w:type="pct"/>
            <w:gridSpan w:val="2"/>
            <w:tcBorders>
              <w:top w:val="single" w:sz="4" w:space="0" w:color="auto"/>
              <w:left w:val="nil"/>
              <w:bottom w:val="single" w:sz="4" w:space="0" w:color="auto"/>
              <w:right w:val="nil"/>
            </w:tcBorders>
            <w:shd w:val="clear" w:color="auto" w:fill="auto"/>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VPA</w:t>
            </w:r>
          </w:p>
        </w:tc>
        <w:tc>
          <w:tcPr>
            <w:tcW w:w="455" w:type="pct"/>
            <w:gridSpan w:val="2"/>
            <w:tcBorders>
              <w:top w:val="single" w:sz="4" w:space="0" w:color="auto"/>
              <w:left w:val="nil"/>
              <w:bottom w:val="single" w:sz="4" w:space="0" w:color="auto"/>
              <w:right w:val="nil"/>
            </w:tcBorders>
            <w:shd w:val="clear" w:color="auto" w:fill="auto"/>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LPA</w:t>
            </w:r>
          </w:p>
        </w:tc>
        <w:tc>
          <w:tcPr>
            <w:tcW w:w="454" w:type="pct"/>
            <w:gridSpan w:val="2"/>
            <w:tcBorders>
              <w:top w:val="single" w:sz="4" w:space="0" w:color="auto"/>
              <w:left w:val="nil"/>
              <w:bottom w:val="single" w:sz="4" w:space="0" w:color="auto"/>
              <w:right w:val="nil"/>
            </w:tcBorders>
            <w:shd w:val="clear" w:color="auto" w:fill="auto"/>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ORA/A</w:t>
            </w:r>
          </w:p>
        </w:tc>
        <w:tc>
          <w:tcPr>
            <w:tcW w:w="455" w:type="pct"/>
            <w:gridSpan w:val="2"/>
            <w:tcBorders>
              <w:top w:val="single" w:sz="4" w:space="0" w:color="auto"/>
              <w:left w:val="nil"/>
              <w:bottom w:val="single" w:sz="4" w:space="0" w:color="auto"/>
              <w:right w:val="nil"/>
            </w:tcBorders>
            <w:shd w:val="clear" w:color="auto" w:fill="auto"/>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TVM/A</w:t>
            </w:r>
          </w:p>
        </w:tc>
        <w:tc>
          <w:tcPr>
            <w:tcW w:w="454" w:type="pct"/>
            <w:gridSpan w:val="2"/>
            <w:tcBorders>
              <w:top w:val="single" w:sz="4" w:space="0" w:color="auto"/>
              <w:left w:val="nil"/>
              <w:bottom w:val="single" w:sz="4" w:space="0" w:color="auto"/>
              <w:right w:val="nil"/>
            </w:tcBorders>
            <w:shd w:val="clear" w:color="auto" w:fill="auto"/>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CON/A</w:t>
            </w:r>
          </w:p>
        </w:tc>
        <w:tc>
          <w:tcPr>
            <w:tcW w:w="454" w:type="pct"/>
            <w:gridSpan w:val="2"/>
            <w:tcBorders>
              <w:top w:val="single" w:sz="4" w:space="0" w:color="auto"/>
              <w:left w:val="nil"/>
              <w:bottom w:val="single" w:sz="4" w:space="0" w:color="auto"/>
              <w:right w:val="nil"/>
            </w:tcBorders>
            <w:shd w:val="clear" w:color="auto" w:fill="auto"/>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PEN/A</w:t>
            </w:r>
          </w:p>
        </w:tc>
        <w:tc>
          <w:tcPr>
            <w:tcW w:w="455" w:type="pct"/>
            <w:gridSpan w:val="2"/>
            <w:tcBorders>
              <w:top w:val="single" w:sz="4" w:space="0" w:color="auto"/>
              <w:left w:val="nil"/>
              <w:bottom w:val="single" w:sz="4" w:space="0" w:color="auto"/>
              <w:right w:val="nil"/>
            </w:tcBorders>
            <w:shd w:val="clear" w:color="auto" w:fill="auto"/>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HED/A</w:t>
            </w:r>
          </w:p>
        </w:tc>
        <w:tc>
          <w:tcPr>
            <w:tcW w:w="454" w:type="pct"/>
            <w:gridSpan w:val="2"/>
            <w:tcBorders>
              <w:top w:val="single" w:sz="4" w:space="0" w:color="auto"/>
              <w:left w:val="nil"/>
              <w:bottom w:val="single" w:sz="4" w:space="0" w:color="auto"/>
              <w:right w:val="nil"/>
            </w:tcBorders>
            <w:shd w:val="clear" w:color="auto" w:fill="auto"/>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RAC/A</w:t>
            </w:r>
          </w:p>
        </w:tc>
        <w:tc>
          <w:tcPr>
            <w:tcW w:w="457" w:type="pct"/>
            <w:tcBorders>
              <w:top w:val="single" w:sz="4" w:space="0" w:color="auto"/>
              <w:left w:val="nil"/>
              <w:bottom w:val="single" w:sz="4" w:space="0" w:color="auto"/>
              <w:right w:val="nil"/>
            </w:tcBorders>
            <w:shd w:val="clear" w:color="auto" w:fill="auto"/>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NVM/A</w:t>
            </w:r>
          </w:p>
        </w:tc>
      </w:tr>
      <w:tr w:rsidR="00DB41CE" w:rsidRPr="00DB41CE" w:rsidTr="007E41C9">
        <w:trPr>
          <w:trHeight w:val="255"/>
        </w:trPr>
        <w:tc>
          <w:tcPr>
            <w:tcW w:w="454" w:type="pct"/>
            <w:tcBorders>
              <w:top w:val="single" w:sz="4" w:space="0" w:color="auto"/>
              <w:left w:val="nil"/>
              <w:bottom w:val="nil"/>
              <w:right w:val="nil"/>
            </w:tcBorders>
            <w:shd w:val="clear" w:color="auto" w:fill="auto"/>
            <w:vAlign w:val="center"/>
            <w:hideMark/>
          </w:tcPr>
          <w:p w:rsidR="00DB41CE" w:rsidRPr="00DB41CE" w:rsidRDefault="00DB41CE" w:rsidP="00B723BB">
            <w:pPr>
              <w:rPr>
                <w:rFonts w:eastAsia="Times New Roman" w:cs="Times New Roman"/>
                <w:color w:val="000000"/>
                <w:sz w:val="20"/>
                <w:szCs w:val="20"/>
                <w:lang w:eastAsia="pt-BR"/>
              </w:rPr>
            </w:pPr>
            <w:r w:rsidRPr="00DB41CE">
              <w:rPr>
                <w:rFonts w:eastAsia="Times New Roman" w:cs="Times New Roman"/>
                <w:color w:val="000000"/>
                <w:sz w:val="20"/>
                <w:szCs w:val="20"/>
                <w:lang w:eastAsia="pt-BR"/>
              </w:rPr>
              <w:t>P</w:t>
            </w:r>
            <w:r w:rsidRPr="00DB41CE">
              <w:rPr>
                <w:rFonts w:eastAsia="Times New Roman" w:cs="Times New Roman"/>
                <w:color w:val="000000"/>
                <w:sz w:val="20"/>
                <w:szCs w:val="20"/>
                <w:vertAlign w:val="subscript"/>
                <w:lang w:eastAsia="pt-BR"/>
              </w:rPr>
              <w:t>it</w:t>
            </w:r>
          </w:p>
        </w:tc>
        <w:tc>
          <w:tcPr>
            <w:tcW w:w="454" w:type="pct"/>
            <w:gridSpan w:val="2"/>
            <w:tcBorders>
              <w:top w:val="single" w:sz="4" w:space="0" w:color="auto"/>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1,00</w:t>
            </w:r>
          </w:p>
        </w:tc>
        <w:tc>
          <w:tcPr>
            <w:tcW w:w="454" w:type="pct"/>
            <w:gridSpan w:val="2"/>
            <w:tcBorders>
              <w:top w:val="single" w:sz="4" w:space="0" w:color="auto"/>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5" w:type="pct"/>
            <w:gridSpan w:val="2"/>
            <w:tcBorders>
              <w:top w:val="single" w:sz="4" w:space="0" w:color="auto"/>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4" w:type="pct"/>
            <w:gridSpan w:val="2"/>
            <w:tcBorders>
              <w:top w:val="single" w:sz="4" w:space="0" w:color="auto"/>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5" w:type="pct"/>
            <w:gridSpan w:val="2"/>
            <w:tcBorders>
              <w:top w:val="single" w:sz="4" w:space="0" w:color="auto"/>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4" w:type="pct"/>
            <w:gridSpan w:val="2"/>
            <w:tcBorders>
              <w:top w:val="single" w:sz="4" w:space="0" w:color="auto"/>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4" w:type="pct"/>
            <w:gridSpan w:val="2"/>
            <w:tcBorders>
              <w:top w:val="single" w:sz="4" w:space="0" w:color="auto"/>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5" w:type="pct"/>
            <w:gridSpan w:val="2"/>
            <w:tcBorders>
              <w:top w:val="single" w:sz="4" w:space="0" w:color="auto"/>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4" w:type="pct"/>
            <w:gridSpan w:val="2"/>
            <w:tcBorders>
              <w:top w:val="single" w:sz="4" w:space="0" w:color="auto"/>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7" w:type="pct"/>
            <w:tcBorders>
              <w:top w:val="single" w:sz="4" w:space="0" w:color="auto"/>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r>
      <w:tr w:rsidR="00DB41CE" w:rsidRPr="00DB41CE" w:rsidTr="007E41C9">
        <w:trPr>
          <w:trHeight w:val="255"/>
        </w:trPr>
        <w:tc>
          <w:tcPr>
            <w:tcW w:w="454" w:type="pct"/>
            <w:tcBorders>
              <w:top w:val="nil"/>
              <w:left w:val="nil"/>
              <w:bottom w:val="nil"/>
              <w:right w:val="nil"/>
            </w:tcBorders>
            <w:shd w:val="clear" w:color="auto" w:fill="auto"/>
            <w:vAlign w:val="center"/>
            <w:hideMark/>
          </w:tcPr>
          <w:p w:rsidR="00DB41CE" w:rsidRPr="00DB41CE" w:rsidRDefault="00DB41CE" w:rsidP="00B723BB">
            <w:pPr>
              <w:rPr>
                <w:rFonts w:eastAsia="Times New Roman" w:cs="Times New Roman"/>
                <w:color w:val="000000"/>
                <w:sz w:val="20"/>
                <w:szCs w:val="20"/>
                <w:lang w:eastAsia="pt-BR"/>
              </w:rPr>
            </w:pPr>
            <w:r w:rsidRPr="00DB41CE">
              <w:rPr>
                <w:rFonts w:eastAsia="Times New Roman" w:cs="Times New Roman"/>
                <w:color w:val="000000"/>
                <w:sz w:val="20"/>
                <w:szCs w:val="20"/>
                <w:lang w:eastAsia="pt-BR"/>
              </w:rPr>
              <w:t>VPA</w:t>
            </w: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,708</w:t>
            </w:r>
            <w:proofErr w:type="gramEnd"/>
            <w:r w:rsidRPr="00DB41CE">
              <w:rPr>
                <w:rFonts w:eastAsia="Times New Roman" w:cs="Times New Roman"/>
                <w:color w:val="000000"/>
                <w:sz w:val="20"/>
                <w:szCs w:val="20"/>
                <w:vertAlign w:val="superscript"/>
                <w:lang w:eastAsia="pt-BR"/>
              </w:rPr>
              <w:t>**</w:t>
            </w: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1,00</w:t>
            </w:r>
          </w:p>
        </w:tc>
        <w:tc>
          <w:tcPr>
            <w:tcW w:w="455"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5"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5"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7" w:type="pct"/>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r>
      <w:tr w:rsidR="00DB41CE" w:rsidRPr="00DB41CE" w:rsidTr="007E41C9">
        <w:trPr>
          <w:trHeight w:val="255"/>
        </w:trPr>
        <w:tc>
          <w:tcPr>
            <w:tcW w:w="454" w:type="pct"/>
            <w:tcBorders>
              <w:top w:val="nil"/>
              <w:left w:val="nil"/>
              <w:bottom w:val="nil"/>
              <w:right w:val="nil"/>
            </w:tcBorders>
            <w:shd w:val="clear" w:color="auto" w:fill="auto"/>
            <w:vAlign w:val="center"/>
            <w:hideMark/>
          </w:tcPr>
          <w:p w:rsidR="00DB41CE" w:rsidRPr="00DB41CE" w:rsidRDefault="00DB41CE" w:rsidP="00B723BB">
            <w:pPr>
              <w:rPr>
                <w:rFonts w:eastAsia="Times New Roman" w:cs="Times New Roman"/>
                <w:color w:val="000000"/>
                <w:sz w:val="20"/>
                <w:szCs w:val="20"/>
                <w:lang w:eastAsia="pt-BR"/>
              </w:rPr>
            </w:pPr>
            <w:r w:rsidRPr="00DB41CE">
              <w:rPr>
                <w:rFonts w:eastAsia="Times New Roman" w:cs="Times New Roman"/>
                <w:color w:val="000000"/>
                <w:sz w:val="20"/>
                <w:szCs w:val="20"/>
                <w:lang w:eastAsia="pt-BR"/>
              </w:rPr>
              <w:t>LPA</w:t>
            </w: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,459</w:t>
            </w:r>
            <w:proofErr w:type="gramEnd"/>
            <w:r w:rsidRPr="00DB41CE">
              <w:rPr>
                <w:rFonts w:eastAsia="Times New Roman" w:cs="Times New Roman"/>
                <w:color w:val="000000"/>
                <w:sz w:val="20"/>
                <w:szCs w:val="20"/>
                <w:vertAlign w:val="superscript"/>
                <w:lang w:eastAsia="pt-BR"/>
              </w:rPr>
              <w:t>**</w:t>
            </w: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,430</w:t>
            </w:r>
            <w:proofErr w:type="gramEnd"/>
            <w:r w:rsidRPr="00DB41CE">
              <w:rPr>
                <w:rFonts w:eastAsia="Times New Roman" w:cs="Times New Roman"/>
                <w:color w:val="000000"/>
                <w:sz w:val="20"/>
                <w:szCs w:val="20"/>
                <w:vertAlign w:val="superscript"/>
                <w:lang w:eastAsia="pt-BR"/>
              </w:rPr>
              <w:t>**</w:t>
            </w:r>
          </w:p>
        </w:tc>
        <w:tc>
          <w:tcPr>
            <w:tcW w:w="455"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1,00</w:t>
            </w: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5"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5"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7" w:type="pct"/>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r>
      <w:tr w:rsidR="00DB41CE" w:rsidRPr="00DB41CE" w:rsidTr="007E41C9">
        <w:trPr>
          <w:trHeight w:val="255"/>
        </w:trPr>
        <w:tc>
          <w:tcPr>
            <w:tcW w:w="454" w:type="pct"/>
            <w:tcBorders>
              <w:top w:val="nil"/>
              <w:left w:val="nil"/>
              <w:bottom w:val="nil"/>
              <w:right w:val="nil"/>
            </w:tcBorders>
            <w:shd w:val="clear" w:color="auto" w:fill="auto"/>
            <w:vAlign w:val="center"/>
            <w:hideMark/>
          </w:tcPr>
          <w:p w:rsidR="00DB41CE" w:rsidRPr="00DB41CE" w:rsidRDefault="00DB41CE" w:rsidP="00B723BB">
            <w:pPr>
              <w:rPr>
                <w:rFonts w:eastAsia="Times New Roman" w:cs="Times New Roman"/>
                <w:color w:val="000000"/>
                <w:sz w:val="20"/>
                <w:szCs w:val="20"/>
                <w:lang w:eastAsia="pt-BR"/>
              </w:rPr>
            </w:pPr>
            <w:r w:rsidRPr="00DB41CE">
              <w:rPr>
                <w:rFonts w:eastAsia="Times New Roman" w:cs="Times New Roman"/>
                <w:color w:val="000000"/>
                <w:sz w:val="20"/>
                <w:szCs w:val="20"/>
                <w:lang w:eastAsia="pt-BR"/>
              </w:rPr>
              <w:t>ORA/A</w:t>
            </w: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,083</w:t>
            </w:r>
            <w:proofErr w:type="gramEnd"/>
            <w:r w:rsidRPr="00DB41CE">
              <w:rPr>
                <w:rFonts w:eastAsia="Times New Roman" w:cs="Times New Roman"/>
                <w:color w:val="000000"/>
                <w:sz w:val="20"/>
                <w:szCs w:val="20"/>
                <w:vertAlign w:val="superscript"/>
                <w:lang w:eastAsia="pt-BR"/>
              </w:rPr>
              <w:t>*</w:t>
            </w: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-0,07</w:t>
            </w:r>
          </w:p>
        </w:tc>
        <w:tc>
          <w:tcPr>
            <w:tcW w:w="455"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-0,08</w:t>
            </w: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1,00</w:t>
            </w:r>
          </w:p>
        </w:tc>
        <w:tc>
          <w:tcPr>
            <w:tcW w:w="455"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5"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7" w:type="pct"/>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r>
      <w:tr w:rsidR="00DB41CE" w:rsidRPr="00DB41CE" w:rsidTr="007E41C9">
        <w:trPr>
          <w:trHeight w:val="255"/>
        </w:trPr>
        <w:tc>
          <w:tcPr>
            <w:tcW w:w="454" w:type="pct"/>
            <w:tcBorders>
              <w:top w:val="nil"/>
              <w:left w:val="nil"/>
              <w:bottom w:val="nil"/>
              <w:right w:val="nil"/>
            </w:tcBorders>
            <w:shd w:val="clear" w:color="auto" w:fill="auto"/>
            <w:vAlign w:val="center"/>
            <w:hideMark/>
          </w:tcPr>
          <w:p w:rsidR="00DB41CE" w:rsidRPr="00DB41CE" w:rsidRDefault="00DB41CE" w:rsidP="00B723BB">
            <w:pPr>
              <w:rPr>
                <w:rFonts w:eastAsia="Times New Roman" w:cs="Times New Roman"/>
                <w:color w:val="000000"/>
                <w:sz w:val="20"/>
                <w:szCs w:val="20"/>
                <w:lang w:eastAsia="pt-BR"/>
              </w:rPr>
            </w:pPr>
            <w:r w:rsidRPr="00DB41CE">
              <w:rPr>
                <w:rFonts w:eastAsia="Times New Roman" w:cs="Times New Roman"/>
                <w:color w:val="000000"/>
                <w:sz w:val="20"/>
                <w:szCs w:val="20"/>
                <w:lang w:eastAsia="pt-BR"/>
              </w:rPr>
              <w:t>TVM/A</w:t>
            </w: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w:t>
            </w:r>
            <w:proofErr w:type="gramEnd"/>
            <w:r w:rsidRPr="00DB41CE">
              <w:rPr>
                <w:rFonts w:eastAsia="Times New Roman" w:cs="Times New Roman"/>
                <w:color w:val="000000"/>
                <w:sz w:val="20"/>
                <w:szCs w:val="20"/>
                <w:lang w:eastAsia="pt-BR"/>
              </w:rPr>
              <w:t>153</w:t>
            </w:r>
            <w:r w:rsidRPr="00DB41CE">
              <w:rPr>
                <w:rFonts w:eastAsia="Times New Roman" w:cs="Times New Roman"/>
                <w:color w:val="000000"/>
                <w:sz w:val="20"/>
                <w:szCs w:val="20"/>
                <w:vertAlign w:val="superscript"/>
                <w:lang w:eastAsia="pt-BR"/>
              </w:rPr>
              <w:t>**</w:t>
            </w: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-0,06</w:t>
            </w:r>
          </w:p>
        </w:tc>
        <w:tc>
          <w:tcPr>
            <w:tcW w:w="455"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0,02</w:t>
            </w: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w:t>
            </w:r>
            <w:proofErr w:type="gramEnd"/>
            <w:r w:rsidRPr="00DB41CE">
              <w:rPr>
                <w:rFonts w:eastAsia="Times New Roman" w:cs="Times New Roman"/>
                <w:color w:val="000000"/>
                <w:sz w:val="20"/>
                <w:szCs w:val="20"/>
                <w:lang w:eastAsia="pt-BR"/>
              </w:rPr>
              <w:t>796</w:t>
            </w:r>
            <w:r w:rsidRPr="00DB41CE">
              <w:rPr>
                <w:rFonts w:eastAsia="Times New Roman" w:cs="Times New Roman"/>
                <w:color w:val="000000"/>
                <w:sz w:val="20"/>
                <w:szCs w:val="20"/>
                <w:vertAlign w:val="superscript"/>
                <w:lang w:eastAsia="pt-BR"/>
              </w:rPr>
              <w:t>**</w:t>
            </w:r>
          </w:p>
        </w:tc>
        <w:tc>
          <w:tcPr>
            <w:tcW w:w="455"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1,00</w:t>
            </w: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5"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7" w:type="pct"/>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r>
      <w:tr w:rsidR="00DB41CE" w:rsidRPr="00DB41CE" w:rsidTr="007E41C9">
        <w:trPr>
          <w:trHeight w:val="255"/>
        </w:trPr>
        <w:tc>
          <w:tcPr>
            <w:tcW w:w="454" w:type="pct"/>
            <w:tcBorders>
              <w:top w:val="nil"/>
              <w:left w:val="nil"/>
              <w:bottom w:val="nil"/>
              <w:right w:val="nil"/>
            </w:tcBorders>
            <w:shd w:val="clear" w:color="auto" w:fill="auto"/>
            <w:vAlign w:val="center"/>
            <w:hideMark/>
          </w:tcPr>
          <w:p w:rsidR="00DB41CE" w:rsidRPr="00DB41CE" w:rsidRDefault="00DB41CE" w:rsidP="00B723BB">
            <w:pPr>
              <w:rPr>
                <w:rFonts w:eastAsia="Times New Roman" w:cs="Times New Roman"/>
                <w:color w:val="000000"/>
                <w:sz w:val="20"/>
                <w:szCs w:val="20"/>
                <w:lang w:eastAsia="pt-BR"/>
              </w:rPr>
            </w:pPr>
            <w:r w:rsidRPr="00DB41CE">
              <w:rPr>
                <w:rFonts w:eastAsia="Times New Roman" w:cs="Times New Roman"/>
                <w:color w:val="000000"/>
                <w:sz w:val="20"/>
                <w:szCs w:val="20"/>
                <w:lang w:eastAsia="pt-BR"/>
              </w:rPr>
              <w:t>CON/A</w:t>
            </w: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-0,03</w:t>
            </w: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0,02</w:t>
            </w:r>
          </w:p>
        </w:tc>
        <w:tc>
          <w:tcPr>
            <w:tcW w:w="455"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w:t>
            </w:r>
            <w:proofErr w:type="gramEnd"/>
            <w:r w:rsidRPr="00DB41CE">
              <w:rPr>
                <w:rFonts w:eastAsia="Times New Roman" w:cs="Times New Roman"/>
                <w:color w:val="000000"/>
                <w:sz w:val="20"/>
                <w:szCs w:val="20"/>
                <w:lang w:eastAsia="pt-BR"/>
              </w:rPr>
              <w:t>216</w:t>
            </w:r>
            <w:r w:rsidRPr="00DB41CE">
              <w:rPr>
                <w:rFonts w:eastAsia="Times New Roman" w:cs="Times New Roman"/>
                <w:color w:val="000000"/>
                <w:sz w:val="20"/>
                <w:szCs w:val="20"/>
                <w:vertAlign w:val="superscript"/>
                <w:lang w:eastAsia="pt-BR"/>
              </w:rPr>
              <w:t>**</w:t>
            </w: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,112</w:t>
            </w:r>
            <w:proofErr w:type="gramEnd"/>
            <w:r w:rsidRPr="00DB41CE">
              <w:rPr>
                <w:rFonts w:eastAsia="Times New Roman" w:cs="Times New Roman"/>
                <w:color w:val="000000"/>
                <w:sz w:val="20"/>
                <w:szCs w:val="20"/>
                <w:vertAlign w:val="superscript"/>
                <w:lang w:eastAsia="pt-BR"/>
              </w:rPr>
              <w:t>**</w:t>
            </w:r>
          </w:p>
        </w:tc>
        <w:tc>
          <w:tcPr>
            <w:tcW w:w="455"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-0,02</w:t>
            </w: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1,00</w:t>
            </w: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5"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7" w:type="pct"/>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r>
      <w:tr w:rsidR="00DB41CE" w:rsidRPr="00DB41CE" w:rsidTr="007E41C9">
        <w:trPr>
          <w:trHeight w:val="255"/>
        </w:trPr>
        <w:tc>
          <w:tcPr>
            <w:tcW w:w="454" w:type="pct"/>
            <w:tcBorders>
              <w:top w:val="nil"/>
              <w:left w:val="nil"/>
              <w:bottom w:val="nil"/>
              <w:right w:val="nil"/>
            </w:tcBorders>
            <w:shd w:val="clear" w:color="auto" w:fill="auto"/>
            <w:vAlign w:val="center"/>
            <w:hideMark/>
          </w:tcPr>
          <w:p w:rsidR="00DB41CE" w:rsidRPr="00DB41CE" w:rsidRDefault="00DB41CE" w:rsidP="00B723BB">
            <w:pPr>
              <w:rPr>
                <w:rFonts w:eastAsia="Times New Roman" w:cs="Times New Roman"/>
                <w:color w:val="000000"/>
                <w:sz w:val="20"/>
                <w:szCs w:val="20"/>
                <w:lang w:eastAsia="pt-BR"/>
              </w:rPr>
            </w:pPr>
            <w:r w:rsidRPr="00DB41CE">
              <w:rPr>
                <w:rFonts w:eastAsia="Times New Roman" w:cs="Times New Roman"/>
                <w:color w:val="000000"/>
                <w:sz w:val="20"/>
                <w:szCs w:val="20"/>
                <w:lang w:eastAsia="pt-BR"/>
              </w:rPr>
              <w:t>PEN/A</w:t>
            </w: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-0,06</w:t>
            </w: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-0,04</w:t>
            </w:r>
          </w:p>
        </w:tc>
        <w:tc>
          <w:tcPr>
            <w:tcW w:w="455"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0,00</w:t>
            </w: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,162</w:t>
            </w:r>
            <w:proofErr w:type="gramEnd"/>
            <w:r w:rsidRPr="00DB41CE">
              <w:rPr>
                <w:rFonts w:eastAsia="Times New Roman" w:cs="Times New Roman"/>
                <w:color w:val="000000"/>
                <w:sz w:val="20"/>
                <w:szCs w:val="20"/>
                <w:vertAlign w:val="superscript"/>
                <w:lang w:eastAsia="pt-BR"/>
              </w:rPr>
              <w:t>**</w:t>
            </w:r>
          </w:p>
        </w:tc>
        <w:tc>
          <w:tcPr>
            <w:tcW w:w="455"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,147</w:t>
            </w:r>
            <w:proofErr w:type="gramEnd"/>
            <w:r w:rsidRPr="00DB41CE">
              <w:rPr>
                <w:rFonts w:eastAsia="Times New Roman" w:cs="Times New Roman"/>
                <w:color w:val="000000"/>
                <w:sz w:val="20"/>
                <w:szCs w:val="20"/>
                <w:vertAlign w:val="superscript"/>
                <w:lang w:eastAsia="pt-BR"/>
              </w:rPr>
              <w:t>**</w:t>
            </w: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0,01</w:t>
            </w: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1,00</w:t>
            </w:r>
          </w:p>
        </w:tc>
        <w:tc>
          <w:tcPr>
            <w:tcW w:w="455"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7" w:type="pct"/>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r>
      <w:tr w:rsidR="00DB41CE" w:rsidRPr="00DB41CE" w:rsidTr="007E41C9">
        <w:trPr>
          <w:trHeight w:val="255"/>
        </w:trPr>
        <w:tc>
          <w:tcPr>
            <w:tcW w:w="454" w:type="pct"/>
            <w:tcBorders>
              <w:top w:val="nil"/>
              <w:left w:val="nil"/>
              <w:bottom w:val="nil"/>
              <w:right w:val="nil"/>
            </w:tcBorders>
            <w:shd w:val="clear" w:color="auto" w:fill="auto"/>
            <w:vAlign w:val="center"/>
            <w:hideMark/>
          </w:tcPr>
          <w:p w:rsidR="00DB41CE" w:rsidRPr="00DB41CE" w:rsidRDefault="00DB41CE" w:rsidP="00B723BB">
            <w:pPr>
              <w:rPr>
                <w:rFonts w:eastAsia="Times New Roman" w:cs="Times New Roman"/>
                <w:color w:val="000000"/>
                <w:sz w:val="20"/>
                <w:szCs w:val="20"/>
                <w:lang w:eastAsia="pt-BR"/>
              </w:rPr>
            </w:pPr>
            <w:r w:rsidRPr="00DB41CE">
              <w:rPr>
                <w:rFonts w:eastAsia="Times New Roman" w:cs="Times New Roman"/>
                <w:color w:val="000000"/>
                <w:sz w:val="20"/>
                <w:szCs w:val="20"/>
                <w:lang w:eastAsia="pt-BR"/>
              </w:rPr>
              <w:t>HED/A</w:t>
            </w: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0,03</w:t>
            </w: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-0,01</w:t>
            </w:r>
          </w:p>
        </w:tc>
        <w:tc>
          <w:tcPr>
            <w:tcW w:w="455"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0,01</w:t>
            </w: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0,00</w:t>
            </w:r>
          </w:p>
        </w:tc>
        <w:tc>
          <w:tcPr>
            <w:tcW w:w="455"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0,01</w:t>
            </w: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w:t>
            </w:r>
            <w:proofErr w:type="gramEnd"/>
            <w:r w:rsidRPr="00DB41CE">
              <w:rPr>
                <w:rFonts w:eastAsia="Times New Roman" w:cs="Times New Roman"/>
                <w:color w:val="000000"/>
                <w:sz w:val="20"/>
                <w:szCs w:val="20"/>
                <w:lang w:eastAsia="pt-BR"/>
              </w:rPr>
              <w:t>368</w:t>
            </w:r>
            <w:r w:rsidRPr="00DB41CE">
              <w:rPr>
                <w:rFonts w:eastAsia="Times New Roman" w:cs="Times New Roman"/>
                <w:color w:val="000000"/>
                <w:sz w:val="20"/>
                <w:szCs w:val="20"/>
                <w:vertAlign w:val="superscript"/>
                <w:lang w:eastAsia="pt-BR"/>
              </w:rPr>
              <w:t>**</w:t>
            </w: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-0,01</w:t>
            </w:r>
          </w:p>
        </w:tc>
        <w:tc>
          <w:tcPr>
            <w:tcW w:w="455"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1,00</w:t>
            </w:r>
          </w:p>
        </w:tc>
        <w:tc>
          <w:tcPr>
            <w:tcW w:w="454" w:type="pct"/>
            <w:gridSpan w:val="2"/>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c>
          <w:tcPr>
            <w:tcW w:w="457" w:type="pct"/>
            <w:tcBorders>
              <w:top w:val="nil"/>
              <w:left w:val="nil"/>
              <w:bottom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r>
      <w:tr w:rsidR="00DB41CE" w:rsidRPr="00DB41CE" w:rsidTr="007E41C9">
        <w:trPr>
          <w:trHeight w:val="255"/>
        </w:trPr>
        <w:tc>
          <w:tcPr>
            <w:tcW w:w="454" w:type="pct"/>
            <w:tcBorders>
              <w:top w:val="nil"/>
              <w:left w:val="nil"/>
              <w:right w:val="nil"/>
            </w:tcBorders>
            <w:shd w:val="clear" w:color="auto" w:fill="auto"/>
            <w:vAlign w:val="center"/>
            <w:hideMark/>
          </w:tcPr>
          <w:p w:rsidR="00DB41CE" w:rsidRPr="00DB41CE" w:rsidRDefault="00DB41CE" w:rsidP="00B723BB">
            <w:pPr>
              <w:rPr>
                <w:rFonts w:eastAsia="Times New Roman" w:cs="Times New Roman"/>
                <w:color w:val="000000"/>
                <w:sz w:val="20"/>
                <w:szCs w:val="20"/>
                <w:lang w:eastAsia="pt-BR"/>
              </w:rPr>
            </w:pPr>
            <w:r w:rsidRPr="00DB41CE">
              <w:rPr>
                <w:rFonts w:eastAsia="Times New Roman" w:cs="Times New Roman"/>
                <w:color w:val="000000"/>
                <w:sz w:val="20"/>
                <w:szCs w:val="20"/>
                <w:lang w:eastAsia="pt-BR"/>
              </w:rPr>
              <w:t>RAC/A</w:t>
            </w:r>
          </w:p>
        </w:tc>
        <w:tc>
          <w:tcPr>
            <w:tcW w:w="454" w:type="pct"/>
            <w:gridSpan w:val="2"/>
            <w:tcBorders>
              <w:top w:val="nil"/>
              <w:left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0,00</w:t>
            </w:r>
          </w:p>
        </w:tc>
        <w:tc>
          <w:tcPr>
            <w:tcW w:w="454" w:type="pct"/>
            <w:gridSpan w:val="2"/>
            <w:tcBorders>
              <w:top w:val="nil"/>
              <w:left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0,00</w:t>
            </w:r>
          </w:p>
        </w:tc>
        <w:tc>
          <w:tcPr>
            <w:tcW w:w="455" w:type="pct"/>
            <w:gridSpan w:val="2"/>
            <w:tcBorders>
              <w:top w:val="nil"/>
              <w:left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0,05</w:t>
            </w:r>
          </w:p>
        </w:tc>
        <w:tc>
          <w:tcPr>
            <w:tcW w:w="454" w:type="pct"/>
            <w:gridSpan w:val="2"/>
            <w:tcBorders>
              <w:top w:val="nil"/>
              <w:left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w:t>
            </w:r>
            <w:proofErr w:type="gramEnd"/>
            <w:r w:rsidRPr="00DB41CE">
              <w:rPr>
                <w:rFonts w:eastAsia="Times New Roman" w:cs="Times New Roman"/>
                <w:color w:val="000000"/>
                <w:sz w:val="20"/>
                <w:szCs w:val="20"/>
                <w:lang w:eastAsia="pt-BR"/>
              </w:rPr>
              <w:t>850</w:t>
            </w:r>
            <w:r w:rsidRPr="00DB41CE">
              <w:rPr>
                <w:rFonts w:eastAsia="Times New Roman" w:cs="Times New Roman"/>
                <w:color w:val="000000"/>
                <w:sz w:val="20"/>
                <w:szCs w:val="20"/>
                <w:vertAlign w:val="superscript"/>
                <w:lang w:eastAsia="pt-BR"/>
              </w:rPr>
              <w:t>**</w:t>
            </w:r>
          </w:p>
        </w:tc>
        <w:tc>
          <w:tcPr>
            <w:tcW w:w="455" w:type="pct"/>
            <w:gridSpan w:val="2"/>
            <w:tcBorders>
              <w:top w:val="nil"/>
              <w:left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,740</w:t>
            </w:r>
            <w:proofErr w:type="gramEnd"/>
            <w:r w:rsidRPr="00DB41CE">
              <w:rPr>
                <w:rFonts w:eastAsia="Times New Roman" w:cs="Times New Roman"/>
                <w:color w:val="000000"/>
                <w:sz w:val="20"/>
                <w:szCs w:val="20"/>
                <w:vertAlign w:val="superscript"/>
                <w:lang w:eastAsia="pt-BR"/>
              </w:rPr>
              <w:t>**</w:t>
            </w:r>
          </w:p>
        </w:tc>
        <w:tc>
          <w:tcPr>
            <w:tcW w:w="454" w:type="pct"/>
            <w:gridSpan w:val="2"/>
            <w:tcBorders>
              <w:top w:val="nil"/>
              <w:left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-0,01</w:t>
            </w:r>
          </w:p>
        </w:tc>
        <w:tc>
          <w:tcPr>
            <w:tcW w:w="454" w:type="pct"/>
            <w:gridSpan w:val="2"/>
            <w:tcBorders>
              <w:top w:val="nil"/>
              <w:left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0,01</w:t>
            </w:r>
          </w:p>
        </w:tc>
        <w:tc>
          <w:tcPr>
            <w:tcW w:w="455" w:type="pct"/>
            <w:gridSpan w:val="2"/>
            <w:tcBorders>
              <w:top w:val="nil"/>
              <w:left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0,01</w:t>
            </w:r>
          </w:p>
        </w:tc>
        <w:tc>
          <w:tcPr>
            <w:tcW w:w="454" w:type="pct"/>
            <w:gridSpan w:val="2"/>
            <w:tcBorders>
              <w:top w:val="nil"/>
              <w:left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1,00</w:t>
            </w:r>
          </w:p>
        </w:tc>
        <w:tc>
          <w:tcPr>
            <w:tcW w:w="457" w:type="pct"/>
            <w:tcBorders>
              <w:top w:val="nil"/>
              <w:left w:val="nil"/>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
        </w:tc>
      </w:tr>
      <w:tr w:rsidR="00DB41CE" w:rsidRPr="00DB41CE" w:rsidTr="007E41C9">
        <w:trPr>
          <w:trHeight w:val="255"/>
        </w:trPr>
        <w:tc>
          <w:tcPr>
            <w:tcW w:w="454" w:type="pct"/>
            <w:tcBorders>
              <w:top w:val="nil"/>
              <w:left w:val="nil"/>
              <w:bottom w:val="single" w:sz="4" w:space="0" w:color="auto"/>
              <w:right w:val="nil"/>
            </w:tcBorders>
            <w:shd w:val="clear" w:color="auto" w:fill="auto"/>
            <w:vAlign w:val="center"/>
            <w:hideMark/>
          </w:tcPr>
          <w:p w:rsidR="00DB41CE" w:rsidRPr="00DB41CE" w:rsidRDefault="00DB41CE" w:rsidP="00B723BB">
            <w:pPr>
              <w:rPr>
                <w:rFonts w:eastAsia="Times New Roman" w:cs="Times New Roman"/>
                <w:color w:val="000000"/>
                <w:sz w:val="20"/>
                <w:szCs w:val="20"/>
                <w:lang w:eastAsia="pt-BR"/>
              </w:rPr>
            </w:pPr>
            <w:r w:rsidRPr="00DB41CE">
              <w:rPr>
                <w:rFonts w:eastAsia="Times New Roman" w:cs="Times New Roman"/>
                <w:color w:val="000000"/>
                <w:sz w:val="20"/>
                <w:szCs w:val="20"/>
                <w:lang w:eastAsia="pt-BR"/>
              </w:rPr>
              <w:t>NVM/A</w:t>
            </w:r>
          </w:p>
        </w:tc>
        <w:tc>
          <w:tcPr>
            <w:tcW w:w="454" w:type="pct"/>
            <w:gridSpan w:val="2"/>
            <w:tcBorders>
              <w:top w:val="nil"/>
              <w:left w:val="nil"/>
              <w:bottom w:val="single" w:sz="4" w:space="0" w:color="auto"/>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,137</w:t>
            </w:r>
            <w:proofErr w:type="gramEnd"/>
            <w:r w:rsidRPr="00DB41CE">
              <w:rPr>
                <w:rFonts w:eastAsia="Times New Roman" w:cs="Times New Roman"/>
                <w:color w:val="000000"/>
                <w:sz w:val="20"/>
                <w:szCs w:val="20"/>
                <w:vertAlign w:val="superscript"/>
                <w:lang w:eastAsia="pt-BR"/>
              </w:rPr>
              <w:t>**</w:t>
            </w:r>
          </w:p>
        </w:tc>
        <w:tc>
          <w:tcPr>
            <w:tcW w:w="454" w:type="pct"/>
            <w:gridSpan w:val="2"/>
            <w:tcBorders>
              <w:top w:val="nil"/>
              <w:left w:val="nil"/>
              <w:bottom w:val="single" w:sz="4" w:space="0" w:color="auto"/>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-0,05</w:t>
            </w:r>
          </w:p>
        </w:tc>
        <w:tc>
          <w:tcPr>
            <w:tcW w:w="455" w:type="pct"/>
            <w:gridSpan w:val="2"/>
            <w:tcBorders>
              <w:top w:val="nil"/>
              <w:left w:val="nil"/>
              <w:bottom w:val="single" w:sz="4" w:space="0" w:color="auto"/>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w:t>
            </w:r>
            <w:proofErr w:type="gramEnd"/>
            <w:r w:rsidRPr="00DB41CE">
              <w:rPr>
                <w:rFonts w:eastAsia="Times New Roman" w:cs="Times New Roman"/>
                <w:color w:val="000000"/>
                <w:sz w:val="20"/>
                <w:szCs w:val="20"/>
                <w:lang w:eastAsia="pt-BR"/>
              </w:rPr>
              <w:t>107</w:t>
            </w:r>
            <w:r w:rsidRPr="00DB41CE">
              <w:rPr>
                <w:rFonts w:eastAsia="Times New Roman" w:cs="Times New Roman"/>
                <w:color w:val="000000"/>
                <w:sz w:val="20"/>
                <w:szCs w:val="20"/>
                <w:vertAlign w:val="superscript"/>
                <w:lang w:eastAsia="pt-BR"/>
              </w:rPr>
              <w:t>**</w:t>
            </w:r>
          </w:p>
        </w:tc>
        <w:tc>
          <w:tcPr>
            <w:tcW w:w="454" w:type="pct"/>
            <w:gridSpan w:val="2"/>
            <w:tcBorders>
              <w:top w:val="nil"/>
              <w:left w:val="nil"/>
              <w:bottom w:val="single" w:sz="4" w:space="0" w:color="auto"/>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,971</w:t>
            </w:r>
            <w:proofErr w:type="gramEnd"/>
            <w:r w:rsidRPr="00DB41CE">
              <w:rPr>
                <w:rFonts w:eastAsia="Times New Roman" w:cs="Times New Roman"/>
                <w:color w:val="000000"/>
                <w:sz w:val="20"/>
                <w:szCs w:val="20"/>
                <w:vertAlign w:val="superscript"/>
                <w:lang w:eastAsia="pt-BR"/>
              </w:rPr>
              <w:t>**</w:t>
            </w:r>
          </w:p>
        </w:tc>
        <w:tc>
          <w:tcPr>
            <w:tcW w:w="455" w:type="pct"/>
            <w:gridSpan w:val="2"/>
            <w:tcBorders>
              <w:top w:val="nil"/>
              <w:left w:val="nil"/>
              <w:bottom w:val="single" w:sz="4" w:space="0" w:color="auto"/>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w:t>
            </w:r>
            <w:proofErr w:type="gramEnd"/>
            <w:r w:rsidRPr="00DB41CE">
              <w:rPr>
                <w:rFonts w:eastAsia="Times New Roman" w:cs="Times New Roman"/>
                <w:color w:val="000000"/>
                <w:sz w:val="20"/>
                <w:szCs w:val="20"/>
                <w:lang w:eastAsia="pt-BR"/>
              </w:rPr>
              <w:t>807</w:t>
            </w:r>
            <w:r w:rsidRPr="00DB41CE">
              <w:rPr>
                <w:rFonts w:eastAsia="Times New Roman" w:cs="Times New Roman"/>
                <w:color w:val="000000"/>
                <w:sz w:val="20"/>
                <w:szCs w:val="20"/>
                <w:vertAlign w:val="superscript"/>
                <w:lang w:eastAsia="pt-BR"/>
              </w:rPr>
              <w:t>**</w:t>
            </w:r>
          </w:p>
        </w:tc>
        <w:tc>
          <w:tcPr>
            <w:tcW w:w="454" w:type="pct"/>
            <w:gridSpan w:val="2"/>
            <w:tcBorders>
              <w:top w:val="nil"/>
              <w:left w:val="nil"/>
              <w:bottom w:val="single" w:sz="4" w:space="0" w:color="auto"/>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,147</w:t>
            </w:r>
            <w:proofErr w:type="gramEnd"/>
            <w:r w:rsidRPr="00DB41CE">
              <w:rPr>
                <w:rFonts w:eastAsia="Times New Roman" w:cs="Times New Roman"/>
                <w:color w:val="000000"/>
                <w:sz w:val="20"/>
                <w:szCs w:val="20"/>
                <w:vertAlign w:val="superscript"/>
                <w:lang w:eastAsia="pt-BR"/>
              </w:rPr>
              <w:t>**</w:t>
            </w:r>
          </w:p>
        </w:tc>
        <w:tc>
          <w:tcPr>
            <w:tcW w:w="454" w:type="pct"/>
            <w:gridSpan w:val="2"/>
            <w:tcBorders>
              <w:top w:val="nil"/>
              <w:left w:val="nil"/>
              <w:bottom w:val="single" w:sz="4" w:space="0" w:color="auto"/>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,188</w:t>
            </w:r>
            <w:proofErr w:type="gramEnd"/>
            <w:r w:rsidRPr="00DB41CE">
              <w:rPr>
                <w:rFonts w:eastAsia="Times New Roman" w:cs="Times New Roman"/>
                <w:color w:val="000000"/>
                <w:sz w:val="20"/>
                <w:szCs w:val="20"/>
                <w:vertAlign w:val="superscript"/>
                <w:lang w:eastAsia="pt-BR"/>
              </w:rPr>
              <w:t>**</w:t>
            </w:r>
          </w:p>
        </w:tc>
        <w:tc>
          <w:tcPr>
            <w:tcW w:w="455" w:type="pct"/>
            <w:gridSpan w:val="2"/>
            <w:tcBorders>
              <w:top w:val="nil"/>
              <w:left w:val="nil"/>
              <w:bottom w:val="single" w:sz="4" w:space="0" w:color="auto"/>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0,01</w:t>
            </w:r>
          </w:p>
        </w:tc>
        <w:tc>
          <w:tcPr>
            <w:tcW w:w="454" w:type="pct"/>
            <w:gridSpan w:val="2"/>
            <w:tcBorders>
              <w:top w:val="nil"/>
              <w:left w:val="nil"/>
              <w:bottom w:val="single" w:sz="4" w:space="0" w:color="auto"/>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proofErr w:type="gramStart"/>
            <w:r w:rsidRPr="00DB41CE">
              <w:rPr>
                <w:rFonts w:eastAsia="Times New Roman" w:cs="Times New Roman"/>
                <w:color w:val="000000"/>
                <w:sz w:val="20"/>
                <w:szCs w:val="20"/>
                <w:lang w:eastAsia="pt-BR"/>
              </w:rPr>
              <w:t>-,</w:t>
            </w:r>
            <w:proofErr w:type="gramEnd"/>
            <w:r w:rsidRPr="00DB41CE">
              <w:rPr>
                <w:rFonts w:eastAsia="Times New Roman" w:cs="Times New Roman"/>
                <w:color w:val="000000"/>
                <w:sz w:val="20"/>
                <w:szCs w:val="20"/>
                <w:lang w:eastAsia="pt-BR"/>
              </w:rPr>
              <w:t>784</w:t>
            </w:r>
            <w:r w:rsidRPr="00DB41CE">
              <w:rPr>
                <w:rFonts w:eastAsia="Times New Roman" w:cs="Times New Roman"/>
                <w:color w:val="000000"/>
                <w:sz w:val="20"/>
                <w:szCs w:val="20"/>
                <w:vertAlign w:val="superscript"/>
                <w:lang w:eastAsia="pt-BR"/>
              </w:rPr>
              <w:t>**</w:t>
            </w:r>
          </w:p>
        </w:tc>
        <w:tc>
          <w:tcPr>
            <w:tcW w:w="457" w:type="pct"/>
            <w:tcBorders>
              <w:top w:val="nil"/>
              <w:left w:val="nil"/>
              <w:bottom w:val="single" w:sz="4" w:space="0" w:color="auto"/>
              <w:right w:val="nil"/>
            </w:tcBorders>
            <w:shd w:val="clear" w:color="auto" w:fill="auto"/>
            <w:noWrap/>
            <w:vAlign w:val="center"/>
            <w:hideMark/>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1,00</w:t>
            </w:r>
          </w:p>
        </w:tc>
      </w:tr>
      <w:tr w:rsidR="00DB41CE" w:rsidRPr="00DB41CE" w:rsidTr="00DB41CE">
        <w:trPr>
          <w:trHeight w:val="20"/>
        </w:trPr>
        <w:tc>
          <w:tcPr>
            <w:tcW w:w="5000" w:type="pct"/>
            <w:gridSpan w:val="20"/>
            <w:tcBorders>
              <w:top w:val="single" w:sz="4" w:space="0" w:color="auto"/>
              <w:left w:val="nil"/>
              <w:bottom w:val="single" w:sz="12" w:space="0" w:color="auto"/>
              <w:right w:val="nil"/>
            </w:tcBorders>
            <w:shd w:val="clear" w:color="auto" w:fill="auto"/>
            <w:vAlign w:val="center"/>
          </w:tcPr>
          <w:p w:rsidR="00DB41CE" w:rsidRPr="00DB41CE" w:rsidRDefault="00DB41CE" w:rsidP="00B723BB">
            <w:pPr>
              <w:jc w:val="center"/>
              <w:rPr>
                <w:rFonts w:eastAsia="Times New Roman" w:cs="Times New Roman"/>
                <w:color w:val="000000"/>
                <w:sz w:val="20"/>
                <w:szCs w:val="20"/>
                <w:lang w:eastAsia="pt-BR"/>
              </w:rPr>
            </w:pPr>
            <w:r w:rsidRPr="00DB41CE">
              <w:rPr>
                <w:rFonts w:eastAsia="Times New Roman" w:cs="Times New Roman"/>
                <w:color w:val="000000"/>
                <w:sz w:val="20"/>
                <w:szCs w:val="20"/>
                <w:lang w:eastAsia="pt-BR"/>
              </w:rPr>
              <w:t>A correlação é significativa no nível 0,01</w:t>
            </w:r>
            <w:r>
              <w:rPr>
                <w:rFonts w:eastAsia="Times New Roman" w:cs="Times New Roman"/>
                <w:color w:val="000000"/>
                <w:sz w:val="20"/>
                <w:szCs w:val="20"/>
                <w:lang w:eastAsia="pt-BR"/>
              </w:rPr>
              <w:t xml:space="preserve"> (</w:t>
            </w:r>
            <w:r w:rsidRPr="00DB41CE">
              <w:rPr>
                <w:rFonts w:eastAsia="Times New Roman" w:cs="Times New Roman"/>
                <w:color w:val="000000"/>
                <w:sz w:val="20"/>
                <w:szCs w:val="20"/>
                <w:lang w:eastAsia="pt-BR"/>
              </w:rPr>
              <w:t>**</w:t>
            </w:r>
            <w:r>
              <w:rPr>
                <w:rFonts w:eastAsia="Times New Roman" w:cs="Times New Roman"/>
                <w:color w:val="000000"/>
                <w:sz w:val="20"/>
                <w:szCs w:val="20"/>
                <w:lang w:eastAsia="pt-BR"/>
              </w:rPr>
              <w:t>) e 0,05 (*)</w:t>
            </w:r>
            <w:r w:rsidRPr="00DB41CE">
              <w:rPr>
                <w:rFonts w:eastAsia="Times New Roman" w:cs="Times New Roman"/>
                <w:color w:val="000000"/>
                <w:sz w:val="20"/>
                <w:szCs w:val="20"/>
                <w:lang w:eastAsia="pt-BR"/>
              </w:rPr>
              <w:t xml:space="preserve"> (bilateral)</w:t>
            </w:r>
          </w:p>
        </w:tc>
      </w:tr>
    </w:tbl>
    <w:p w:rsidR="0068566A" w:rsidRDefault="0068566A" w:rsidP="00B723BB">
      <w:pPr>
        <w:spacing w:after="120"/>
        <w:jc w:val="both"/>
        <w:rPr>
          <w:rFonts w:cs="Times New Roman"/>
          <w:szCs w:val="24"/>
        </w:rPr>
      </w:pPr>
      <w:r w:rsidRPr="00B33FC1">
        <w:rPr>
          <w:rFonts w:cs="Times New Roman"/>
          <w:sz w:val="20"/>
          <w:szCs w:val="24"/>
        </w:rPr>
        <w:t xml:space="preserve">Fonte: </w:t>
      </w:r>
      <w:r>
        <w:rPr>
          <w:rFonts w:cs="Times New Roman"/>
          <w:sz w:val="20"/>
          <w:szCs w:val="24"/>
        </w:rPr>
        <w:t>resultados da pesquisa.</w:t>
      </w:r>
    </w:p>
    <w:p w:rsidR="00DB41CE" w:rsidRDefault="007E41C9" w:rsidP="00EB464C">
      <w:pPr>
        <w:spacing w:line="360" w:lineRule="auto"/>
        <w:jc w:val="both"/>
        <w:rPr>
          <w:rFonts w:cs="Times New Roman"/>
          <w:szCs w:val="24"/>
        </w:rPr>
      </w:pPr>
      <w:r>
        <w:rPr>
          <w:rFonts w:cs="Times New Roman"/>
          <w:szCs w:val="24"/>
        </w:rPr>
        <w:tab/>
      </w:r>
      <w:r w:rsidR="00911879">
        <w:rPr>
          <w:rFonts w:cs="Times New Roman"/>
          <w:szCs w:val="24"/>
        </w:rPr>
        <w:t>Observa-se n</w:t>
      </w:r>
      <w:r w:rsidR="001C7686">
        <w:rPr>
          <w:rFonts w:cs="Times New Roman"/>
          <w:szCs w:val="24"/>
        </w:rPr>
        <w:t>o painel A</w:t>
      </w:r>
      <w:r w:rsidR="001179E7">
        <w:rPr>
          <w:rFonts w:cs="Times New Roman"/>
          <w:szCs w:val="24"/>
        </w:rPr>
        <w:t xml:space="preserve"> da Tabela 2</w:t>
      </w:r>
      <w:r w:rsidR="00911879">
        <w:rPr>
          <w:rFonts w:cs="Times New Roman"/>
          <w:szCs w:val="24"/>
        </w:rPr>
        <w:t>, correlação</w:t>
      </w:r>
      <w:r w:rsidR="006634F0">
        <w:rPr>
          <w:rFonts w:cs="Times New Roman"/>
          <w:szCs w:val="24"/>
        </w:rPr>
        <w:t xml:space="preserve"> positiva</w:t>
      </w:r>
      <w:r w:rsidR="00911879">
        <w:rPr>
          <w:rFonts w:cs="Times New Roman"/>
          <w:szCs w:val="24"/>
        </w:rPr>
        <w:t xml:space="preserve"> </w:t>
      </w:r>
      <w:r w:rsidR="006634F0">
        <w:rPr>
          <w:rFonts w:cs="Times New Roman"/>
          <w:szCs w:val="24"/>
        </w:rPr>
        <w:t xml:space="preserve">mais expressiva </w:t>
      </w:r>
      <w:r w:rsidR="00911879">
        <w:rPr>
          <w:rFonts w:cs="Times New Roman"/>
          <w:szCs w:val="24"/>
        </w:rPr>
        <w:t xml:space="preserve">entre o </w:t>
      </w:r>
      <w:proofErr w:type="gramStart"/>
      <w:r w:rsidR="00911879">
        <w:rPr>
          <w:rFonts w:cs="Times New Roman"/>
          <w:szCs w:val="24"/>
        </w:rPr>
        <w:t>FCO</w:t>
      </w:r>
      <w:r w:rsidR="00911879" w:rsidRPr="00911879">
        <w:rPr>
          <w:rFonts w:cs="Times New Roman"/>
          <w:szCs w:val="24"/>
          <w:vertAlign w:val="subscript"/>
        </w:rPr>
        <w:t>t</w:t>
      </w:r>
      <w:proofErr w:type="gramEnd"/>
      <w:r w:rsidR="00911879" w:rsidRPr="00911879">
        <w:rPr>
          <w:rFonts w:cs="Times New Roman"/>
          <w:szCs w:val="24"/>
          <w:vertAlign w:val="subscript"/>
        </w:rPr>
        <w:t>+1</w:t>
      </w:r>
      <w:r w:rsidR="00911879">
        <w:rPr>
          <w:rFonts w:cs="Times New Roman"/>
          <w:szCs w:val="24"/>
        </w:rPr>
        <w:t xml:space="preserve"> </w:t>
      </w:r>
      <w:r w:rsidR="006634F0">
        <w:rPr>
          <w:rFonts w:cs="Times New Roman"/>
          <w:szCs w:val="24"/>
        </w:rPr>
        <w:t xml:space="preserve">com o LL, e moderada </w:t>
      </w:r>
      <w:r w:rsidR="009E630F">
        <w:rPr>
          <w:rFonts w:cs="Times New Roman"/>
          <w:szCs w:val="24"/>
        </w:rPr>
        <w:t>com o RAC</w:t>
      </w:r>
      <w:r w:rsidR="00C37597">
        <w:rPr>
          <w:rFonts w:cs="Times New Roman"/>
          <w:szCs w:val="24"/>
        </w:rPr>
        <w:t xml:space="preserve"> e CON. A variável dependente correlaciona-se negativamente </w:t>
      </w:r>
      <w:r w:rsidR="009E630F">
        <w:rPr>
          <w:rFonts w:cs="Times New Roman"/>
          <w:szCs w:val="24"/>
        </w:rPr>
        <w:t>apenas</w:t>
      </w:r>
      <w:r w:rsidR="00C37597">
        <w:rPr>
          <w:rFonts w:cs="Times New Roman"/>
          <w:szCs w:val="24"/>
        </w:rPr>
        <w:t xml:space="preserve"> com TVM e moderada com HED</w:t>
      </w:r>
      <w:r w:rsidR="009E630F">
        <w:rPr>
          <w:rFonts w:cs="Times New Roman"/>
          <w:szCs w:val="24"/>
        </w:rPr>
        <w:t>, indicando que o impacto nos fluxos de caixa futuros provenientes dessas será inverso aos demais componentes do resultado abrangente</w:t>
      </w:r>
      <w:r w:rsidR="00C37597">
        <w:rPr>
          <w:rFonts w:cs="Times New Roman"/>
          <w:szCs w:val="24"/>
        </w:rPr>
        <w:t>.</w:t>
      </w:r>
      <w:r w:rsidR="009E630F">
        <w:rPr>
          <w:rFonts w:cs="Times New Roman"/>
          <w:szCs w:val="24"/>
        </w:rPr>
        <w:t xml:space="preserve"> Entre as variáveis dependentes </w:t>
      </w:r>
      <w:r w:rsidR="000D4BBF">
        <w:rPr>
          <w:rFonts w:cs="Times New Roman"/>
          <w:szCs w:val="24"/>
        </w:rPr>
        <w:t>destaca</w:t>
      </w:r>
      <w:r w:rsidR="009E630F">
        <w:rPr>
          <w:rFonts w:cs="Times New Roman"/>
          <w:szCs w:val="24"/>
        </w:rPr>
        <w:t xml:space="preserve">-se uma relação </w:t>
      </w:r>
      <w:r w:rsidR="000D4BBF">
        <w:rPr>
          <w:rFonts w:cs="Times New Roman"/>
          <w:szCs w:val="24"/>
        </w:rPr>
        <w:t xml:space="preserve">muito </w:t>
      </w:r>
      <w:r w:rsidR="009E630F">
        <w:rPr>
          <w:rFonts w:cs="Times New Roman"/>
          <w:szCs w:val="24"/>
        </w:rPr>
        <w:t xml:space="preserve">elevada </w:t>
      </w:r>
      <w:r w:rsidR="000D4BBF">
        <w:rPr>
          <w:rFonts w:cs="Times New Roman"/>
          <w:szCs w:val="24"/>
        </w:rPr>
        <w:t>de</w:t>
      </w:r>
      <w:r w:rsidR="009E630F">
        <w:rPr>
          <w:rFonts w:cs="Times New Roman"/>
          <w:szCs w:val="24"/>
        </w:rPr>
        <w:t xml:space="preserve"> NVM</w:t>
      </w:r>
      <w:r w:rsidR="000D4BBF">
        <w:rPr>
          <w:rFonts w:cs="Times New Roman"/>
          <w:szCs w:val="24"/>
        </w:rPr>
        <w:t xml:space="preserve"> com a variável ORA (93%), pois possuem quase a mesma composição. Como não estão incluídas em um mesm</w:t>
      </w:r>
      <w:r w:rsidR="001179E7">
        <w:rPr>
          <w:rFonts w:cs="Times New Roman"/>
          <w:szCs w:val="24"/>
        </w:rPr>
        <w:t>o</w:t>
      </w:r>
      <w:r w:rsidR="000D4BBF">
        <w:rPr>
          <w:rFonts w:cs="Times New Roman"/>
          <w:szCs w:val="24"/>
        </w:rPr>
        <w:t xml:space="preserve"> </w:t>
      </w:r>
      <w:r w:rsidR="00DA298D">
        <w:rPr>
          <w:rFonts w:cs="Times New Roman"/>
          <w:szCs w:val="24"/>
        </w:rPr>
        <w:t>Modelo</w:t>
      </w:r>
      <w:r w:rsidR="000D4BBF">
        <w:rPr>
          <w:rFonts w:cs="Times New Roman"/>
          <w:szCs w:val="24"/>
        </w:rPr>
        <w:t xml:space="preserve"> essa correlação não implica em prejuízos para análise.</w:t>
      </w:r>
    </w:p>
    <w:p w:rsidR="002D72BA" w:rsidRDefault="000D4BBF" w:rsidP="00F271C6">
      <w:pPr>
        <w:spacing w:after="120" w:line="360" w:lineRule="auto"/>
        <w:jc w:val="both"/>
        <w:rPr>
          <w:rFonts w:cs="Times New Roman"/>
          <w:szCs w:val="24"/>
        </w:rPr>
      </w:pPr>
      <w:r>
        <w:rPr>
          <w:rFonts w:cs="Times New Roman"/>
          <w:szCs w:val="24"/>
        </w:rPr>
        <w:lastRenderedPageBreak/>
        <w:tab/>
        <w:t>Em relação à cotação das ações</w:t>
      </w:r>
      <w:r w:rsidR="00DD6BB9">
        <w:rPr>
          <w:rFonts w:cs="Times New Roman"/>
          <w:szCs w:val="24"/>
        </w:rPr>
        <w:t xml:space="preserve"> e as demais variáveis independentes, tem-se o </w:t>
      </w:r>
      <w:r w:rsidR="00DF17B4">
        <w:rPr>
          <w:rFonts w:cs="Times New Roman"/>
          <w:szCs w:val="24"/>
        </w:rPr>
        <w:t>p</w:t>
      </w:r>
      <w:r w:rsidR="00DD6BB9">
        <w:rPr>
          <w:rFonts w:cs="Times New Roman"/>
          <w:szCs w:val="24"/>
        </w:rPr>
        <w:t xml:space="preserve">atrimônio </w:t>
      </w:r>
      <w:r w:rsidR="00DF17B4">
        <w:rPr>
          <w:rFonts w:cs="Times New Roman"/>
          <w:szCs w:val="24"/>
        </w:rPr>
        <w:t>l</w:t>
      </w:r>
      <w:r w:rsidR="00DD6BB9">
        <w:rPr>
          <w:rFonts w:cs="Times New Roman"/>
          <w:szCs w:val="24"/>
        </w:rPr>
        <w:t xml:space="preserve">íquido por ação, ou valor patrimonial da ação, como o mais expressivo para a composição do preço (71%), seguido do lucro por ação (46%). Essa observação corrobora resultados de pesquisas anteriores </w:t>
      </w:r>
      <w:r w:rsidR="00DD6BB9">
        <w:rPr>
          <w:rFonts w:cs="Times New Roman"/>
          <w:szCs w:val="24"/>
        </w:rPr>
        <w:fldChar w:fldCharType="begin" w:fldLock="1"/>
      </w:r>
      <w:r w:rsidR="004B1329">
        <w:rPr>
          <w:rFonts w:cs="Times New Roman"/>
          <w:szCs w:val="24"/>
        </w:rPr>
        <w:instrText>ADDIN CSL_CITATION { "citationItems" : [ { "id" : "ITEM-1", "itemData" : { "author" : [ { "dropping-particle" : "", "family" : "Macedo", "given" : "Marcelo Alvaro da Silva", "non-dropping-particle" : "", "parse-names" : false, "suffix" : "" }, { "dropping-particle" : "", "family" : "Romana", "given" : "Tatiane Dutra", "non-dropping-particle" : "", "parse-names" : false, "suffix" : "" }, { "dropping-particle" : "", "family" : "Silva", "given" : "Jonathas Coelho", "non-dropping-particle" : "", "parse-names" : false, "suffix" : "" } ], "container-title" : "XIV Congresso USP", "id" : "ITEM-1", "issued" : { "date-parts" : [ [ "2014" ] ] }, "page" : "1-17", "publisher-place" : "S\u00e3o Paulo", "title" : "An\u00e1lise dos Determinantes da Relev\u00e2ncia das Informa\u00e7\u00f5es Cont\u00e1beis no Brasil: um estudo com base no lucro l\u00edquido (LL) e no patrim\u00f4nio l\u00edquido (PL) para o per\u00edodo de 2010 a 2012", "type" : "paper-conference" }, "uris" : [ "http://www.mendeley.com/documents/?uuid=c9c50322-d25d-4656-b32f-bec0cd31ed94" ] } ], "mendeley" : { "formattedCitation" : "(MACEDO; ROMANA; SILVA, 2014)", "plainTextFormattedCitation" : "(MACEDO; ROMANA; SILVA, 2014)", "previouslyFormattedCitation" : "(MACEDO; ROMANA; SILVA, 2014)" }, "properties" : { "noteIndex" : 0 }, "schema" : "https://github.com/citation-style-language/schema/raw/master/csl-citation.json" }</w:instrText>
      </w:r>
      <w:r w:rsidR="00DD6BB9">
        <w:rPr>
          <w:rFonts w:cs="Times New Roman"/>
          <w:szCs w:val="24"/>
        </w:rPr>
        <w:fldChar w:fldCharType="separate"/>
      </w:r>
      <w:r w:rsidR="00DD6BB9" w:rsidRPr="00DD6BB9">
        <w:rPr>
          <w:rFonts w:cs="Times New Roman"/>
          <w:noProof/>
          <w:szCs w:val="24"/>
        </w:rPr>
        <w:t>(MACEDO; ROMANA; SILVA, 2014)</w:t>
      </w:r>
      <w:r w:rsidR="00DD6BB9">
        <w:rPr>
          <w:rFonts w:cs="Times New Roman"/>
          <w:szCs w:val="24"/>
        </w:rPr>
        <w:fldChar w:fldCharType="end"/>
      </w:r>
      <w:r w:rsidR="002D72BA">
        <w:rPr>
          <w:rFonts w:cs="Times New Roman"/>
          <w:szCs w:val="24"/>
        </w:rPr>
        <w:t xml:space="preserve"> que apontam para relevância do LL e PL no Brasil. Uma correlação forte entre os </w:t>
      </w:r>
      <w:r w:rsidR="00DF17B4">
        <w:rPr>
          <w:rFonts w:cs="Times New Roman"/>
          <w:szCs w:val="24"/>
        </w:rPr>
        <w:t>o</w:t>
      </w:r>
      <w:r w:rsidR="002D72BA">
        <w:rPr>
          <w:rFonts w:cs="Times New Roman"/>
          <w:szCs w:val="24"/>
        </w:rPr>
        <w:t xml:space="preserve">utros </w:t>
      </w:r>
      <w:r w:rsidR="00DF17B4">
        <w:rPr>
          <w:rFonts w:cs="Times New Roman"/>
          <w:szCs w:val="24"/>
        </w:rPr>
        <w:t>r</w:t>
      </w:r>
      <w:r w:rsidR="002D72BA">
        <w:rPr>
          <w:rFonts w:cs="Times New Roman"/>
          <w:szCs w:val="24"/>
        </w:rPr>
        <w:t xml:space="preserve">esultados </w:t>
      </w:r>
      <w:r w:rsidR="00DF17B4">
        <w:rPr>
          <w:rFonts w:cs="Times New Roman"/>
          <w:szCs w:val="24"/>
        </w:rPr>
        <w:t>a</w:t>
      </w:r>
      <w:r w:rsidR="002D72BA">
        <w:rPr>
          <w:rFonts w:cs="Times New Roman"/>
          <w:szCs w:val="24"/>
        </w:rPr>
        <w:t xml:space="preserve">brangentes com os seus componentes, deflacionados pelo total de ações, é observada apenas com TVM (-79%). Esse </w:t>
      </w:r>
      <w:r w:rsidR="00C05C71">
        <w:rPr>
          <w:rFonts w:cs="Times New Roman"/>
          <w:szCs w:val="24"/>
        </w:rPr>
        <w:t>dado pode indicar que a</w:t>
      </w:r>
      <w:r w:rsidR="002D72BA">
        <w:rPr>
          <w:rFonts w:cs="Times New Roman"/>
          <w:szCs w:val="24"/>
        </w:rPr>
        <w:t xml:space="preserve"> capacidade informativa desses </w:t>
      </w:r>
      <w:r w:rsidR="00C05C71">
        <w:rPr>
          <w:rFonts w:cs="Times New Roman"/>
          <w:szCs w:val="24"/>
        </w:rPr>
        <w:t>itens individuais do resultado abrangente seja incremental ao</w:t>
      </w:r>
      <w:r w:rsidR="00DF17B4">
        <w:rPr>
          <w:rFonts w:cs="Times New Roman"/>
          <w:szCs w:val="24"/>
        </w:rPr>
        <w:t>s</w:t>
      </w:r>
      <w:r w:rsidR="00C05C71">
        <w:rPr>
          <w:rFonts w:cs="Times New Roman"/>
          <w:szCs w:val="24"/>
        </w:rPr>
        <w:t xml:space="preserve"> ORA.</w:t>
      </w:r>
    </w:p>
    <w:p w:rsidR="004B0E0C" w:rsidRPr="00874596" w:rsidRDefault="004B0E0C" w:rsidP="008C0014">
      <w:pPr>
        <w:spacing w:line="360" w:lineRule="auto"/>
        <w:jc w:val="both"/>
        <w:rPr>
          <w:rFonts w:cs="Times New Roman"/>
          <w:b/>
        </w:rPr>
      </w:pPr>
      <w:r w:rsidRPr="00874596">
        <w:rPr>
          <w:rFonts w:cs="Times New Roman"/>
          <w:b/>
        </w:rPr>
        <w:t>4.</w:t>
      </w:r>
      <w:r>
        <w:rPr>
          <w:rFonts w:cs="Times New Roman"/>
          <w:b/>
        </w:rPr>
        <w:t>2</w:t>
      </w:r>
      <w:r w:rsidRPr="00874596">
        <w:rPr>
          <w:rFonts w:cs="Times New Roman"/>
          <w:b/>
        </w:rPr>
        <w:t>. Poder preditivo do Resultado Abrangente e seus componentes</w:t>
      </w:r>
    </w:p>
    <w:p w:rsidR="006052A9" w:rsidRDefault="004B1329" w:rsidP="001179E7">
      <w:pPr>
        <w:spacing w:line="360" w:lineRule="auto"/>
        <w:jc w:val="both"/>
        <w:rPr>
          <w:rFonts w:cs="Times New Roman"/>
          <w:szCs w:val="24"/>
        </w:rPr>
      </w:pPr>
      <w:r>
        <w:rPr>
          <w:rFonts w:cs="Times New Roman"/>
          <w:szCs w:val="24"/>
        </w:rPr>
        <w:tab/>
        <w:t xml:space="preserve">Conforme apontam </w:t>
      </w:r>
      <w:r>
        <w:rPr>
          <w:rFonts w:cs="Times New Roman"/>
          <w:szCs w:val="24"/>
        </w:rPr>
        <w:fldChar w:fldCharType="begin" w:fldLock="1"/>
      </w:r>
      <w:r w:rsidR="000A0D87">
        <w:rPr>
          <w:rFonts w:cs="Times New Roman"/>
          <w:szCs w:val="24"/>
        </w:rPr>
        <w:instrText>ADDIN CSL_CITATION { "citationItems" : [ { "id" : "ITEM-1", "itemData" : { "author" : [ { "dropping-particle" : "", "family" : "Z\u00fclch", "given" : "Henning", "non-dropping-particle" : "", "parse-names" : false, "suffix" : "" }, { "dropping-particle" : "", "family" : "Pronobis", "given" : "Paul", "non-dropping-particle" : "", "parse-names" : false, "suffix" : "" } ], "id" : "ITEM-1", "issue" : "95", "issued" : { "date-parts" : [ [ "2010" ] ] }, "number" : "095", "number-of-pages" : "45", "publisher-place" : "Leipzig", "title" : "The Predictive Power of Comprehensive Income and Its Individual Components under IFRS", "type" : "report" }, "uris" : [ "http://www.mendeley.com/documents/?uuid=defd9389-1c23-4548-a6a5-42ea6e2499b8" ] } ], "mendeley" : { "formattedCitation" : "(Z\u00dcLCH; PRONOBIS, 2010)", "manualFormatting" : "Z\u00fclch e Pronobis (2010)", "plainTextFormattedCitation" : "(Z\u00dcLCH; PRONOBIS, 2010)", "previouslyFormattedCitation" : "(Z\u00dcLCH; PRONOBIS, 2010)" }, "properties" : { "noteIndex" : 0 }, "schema" : "https://github.com/citation-style-language/schema/raw/master/csl-citation.json" }</w:instrText>
      </w:r>
      <w:r>
        <w:rPr>
          <w:rFonts w:cs="Times New Roman"/>
          <w:szCs w:val="24"/>
        </w:rPr>
        <w:fldChar w:fldCharType="separate"/>
      </w:r>
      <w:r>
        <w:rPr>
          <w:rFonts w:cs="Times New Roman"/>
          <w:noProof/>
          <w:szCs w:val="24"/>
        </w:rPr>
        <w:t>Zülch e Pronobis</w:t>
      </w:r>
      <w:r w:rsidRPr="004B1329">
        <w:rPr>
          <w:rFonts w:cs="Times New Roman"/>
          <w:noProof/>
          <w:szCs w:val="24"/>
        </w:rPr>
        <w:t xml:space="preserve"> </w:t>
      </w:r>
      <w:r>
        <w:rPr>
          <w:rFonts w:cs="Times New Roman"/>
          <w:noProof/>
          <w:szCs w:val="24"/>
        </w:rPr>
        <w:t>(</w:t>
      </w:r>
      <w:r w:rsidRPr="004B1329">
        <w:rPr>
          <w:rFonts w:cs="Times New Roman"/>
          <w:noProof/>
          <w:szCs w:val="24"/>
        </w:rPr>
        <w:t>2010)</w:t>
      </w:r>
      <w:r>
        <w:rPr>
          <w:rFonts w:cs="Times New Roman"/>
          <w:szCs w:val="24"/>
        </w:rPr>
        <w:fldChar w:fldCharType="end"/>
      </w:r>
      <w:r>
        <w:rPr>
          <w:rFonts w:cs="Times New Roman"/>
          <w:szCs w:val="24"/>
        </w:rPr>
        <w:t xml:space="preserve"> são necessário</w:t>
      </w:r>
      <w:r w:rsidR="00D1157A">
        <w:rPr>
          <w:rFonts w:cs="Times New Roman"/>
          <w:szCs w:val="24"/>
        </w:rPr>
        <w:t>s</w:t>
      </w:r>
      <w:r>
        <w:rPr>
          <w:rFonts w:cs="Times New Roman"/>
          <w:szCs w:val="24"/>
        </w:rPr>
        <w:t xml:space="preserve"> mais testes com a finalidade de </w:t>
      </w:r>
      <w:r w:rsidR="00D1157A">
        <w:rPr>
          <w:rFonts w:cs="Times New Roman"/>
          <w:szCs w:val="24"/>
        </w:rPr>
        <w:t xml:space="preserve">examinar o poder preditivo do resultado abrangente. </w:t>
      </w:r>
      <w:r w:rsidR="00D1157A" w:rsidRPr="00D1157A">
        <w:rPr>
          <w:rFonts w:cs="Times New Roman"/>
          <w:szCs w:val="24"/>
        </w:rPr>
        <w:t xml:space="preserve">De acordo com os argumentos </w:t>
      </w:r>
      <w:r w:rsidR="00A8235C">
        <w:rPr>
          <w:rFonts w:cs="Times New Roman"/>
          <w:szCs w:val="24"/>
        </w:rPr>
        <w:t>apresentados pelos autores</w:t>
      </w:r>
      <w:r w:rsidR="00D1157A" w:rsidRPr="00D1157A">
        <w:rPr>
          <w:rFonts w:cs="Times New Roman"/>
          <w:szCs w:val="24"/>
        </w:rPr>
        <w:t>, o aumento da proeminência d</w:t>
      </w:r>
      <w:r w:rsidR="00A8235C">
        <w:rPr>
          <w:rFonts w:cs="Times New Roman"/>
          <w:szCs w:val="24"/>
        </w:rPr>
        <w:t>os</w:t>
      </w:r>
      <w:r w:rsidR="00D1157A" w:rsidRPr="00D1157A">
        <w:rPr>
          <w:rFonts w:cs="Times New Roman"/>
          <w:szCs w:val="24"/>
        </w:rPr>
        <w:t xml:space="preserve"> </w:t>
      </w:r>
      <w:r w:rsidR="00A8235C">
        <w:rPr>
          <w:rFonts w:cs="Times New Roman"/>
          <w:szCs w:val="24"/>
        </w:rPr>
        <w:t>ORA</w:t>
      </w:r>
      <w:r w:rsidR="00D1157A" w:rsidRPr="00D1157A">
        <w:rPr>
          <w:rFonts w:cs="Times New Roman"/>
          <w:szCs w:val="24"/>
        </w:rPr>
        <w:t xml:space="preserve"> deve</w:t>
      </w:r>
      <w:r w:rsidR="00A8235C">
        <w:rPr>
          <w:rFonts w:cs="Times New Roman"/>
          <w:szCs w:val="24"/>
        </w:rPr>
        <w:t>m</w:t>
      </w:r>
      <w:r w:rsidR="00D1157A" w:rsidRPr="00D1157A">
        <w:rPr>
          <w:rFonts w:cs="Times New Roman"/>
          <w:szCs w:val="24"/>
        </w:rPr>
        <w:t xml:space="preserve"> melhorar a previsibilidade </w:t>
      </w:r>
      <w:r w:rsidR="00A8235C">
        <w:rPr>
          <w:rFonts w:cs="Times New Roman"/>
          <w:szCs w:val="24"/>
        </w:rPr>
        <w:t xml:space="preserve">do </w:t>
      </w:r>
      <w:r w:rsidR="00D1157A" w:rsidRPr="00D1157A">
        <w:rPr>
          <w:rFonts w:cs="Times New Roman"/>
          <w:szCs w:val="24"/>
        </w:rPr>
        <w:t>de</w:t>
      </w:r>
      <w:r w:rsidR="00A8235C">
        <w:rPr>
          <w:rFonts w:cs="Times New Roman"/>
          <w:szCs w:val="24"/>
        </w:rPr>
        <w:t>sempenho operacional da empresa,</w:t>
      </w:r>
      <w:r w:rsidR="00D1157A" w:rsidRPr="00D1157A">
        <w:rPr>
          <w:rFonts w:cs="Times New Roman"/>
          <w:szCs w:val="24"/>
        </w:rPr>
        <w:t xml:space="preserve"> </w:t>
      </w:r>
      <w:r w:rsidR="00A8235C">
        <w:rPr>
          <w:rFonts w:cs="Times New Roman"/>
          <w:szCs w:val="24"/>
        </w:rPr>
        <w:t xml:space="preserve">ou seja, da </w:t>
      </w:r>
      <w:r w:rsidR="00D1157A" w:rsidRPr="00D1157A">
        <w:rPr>
          <w:rFonts w:cs="Times New Roman"/>
          <w:szCs w:val="24"/>
        </w:rPr>
        <w:t xml:space="preserve">capacidade de </w:t>
      </w:r>
      <w:r w:rsidR="00A8235C">
        <w:rPr>
          <w:rFonts w:cs="Times New Roman"/>
          <w:szCs w:val="24"/>
        </w:rPr>
        <w:t xml:space="preserve">se </w:t>
      </w:r>
      <w:r w:rsidR="00D1157A" w:rsidRPr="00D1157A">
        <w:rPr>
          <w:rFonts w:cs="Times New Roman"/>
          <w:szCs w:val="24"/>
        </w:rPr>
        <w:t xml:space="preserve">prever fluxos </w:t>
      </w:r>
      <w:r w:rsidR="00A8235C">
        <w:rPr>
          <w:rFonts w:cs="Times New Roman"/>
          <w:szCs w:val="24"/>
        </w:rPr>
        <w:t>de</w:t>
      </w:r>
      <w:r w:rsidR="00D1157A" w:rsidRPr="00D1157A">
        <w:rPr>
          <w:rFonts w:cs="Times New Roman"/>
          <w:szCs w:val="24"/>
        </w:rPr>
        <w:t xml:space="preserve"> caixa e </w:t>
      </w:r>
      <w:r w:rsidR="00A8235C">
        <w:rPr>
          <w:rFonts w:cs="Times New Roman"/>
          <w:szCs w:val="24"/>
        </w:rPr>
        <w:t xml:space="preserve">resultados </w:t>
      </w:r>
      <w:r w:rsidR="00A8235C" w:rsidRPr="00D1157A">
        <w:rPr>
          <w:rFonts w:cs="Times New Roman"/>
          <w:szCs w:val="24"/>
        </w:rPr>
        <w:t>operacionais</w:t>
      </w:r>
      <w:r w:rsidR="00D1157A" w:rsidRPr="00D1157A">
        <w:rPr>
          <w:rFonts w:cs="Times New Roman"/>
          <w:szCs w:val="24"/>
        </w:rPr>
        <w:t>.</w:t>
      </w:r>
      <w:r w:rsidR="00A8235C">
        <w:rPr>
          <w:rFonts w:cs="Times New Roman"/>
          <w:szCs w:val="24"/>
        </w:rPr>
        <w:t xml:space="preserve"> </w:t>
      </w:r>
      <w:r w:rsidR="00C26179">
        <w:rPr>
          <w:rFonts w:cs="Times New Roman"/>
          <w:szCs w:val="24"/>
        </w:rPr>
        <w:t>Buscou-se</w:t>
      </w:r>
      <w:r w:rsidR="00027343">
        <w:rPr>
          <w:rFonts w:cs="Times New Roman"/>
          <w:szCs w:val="24"/>
        </w:rPr>
        <w:t>, então,</w:t>
      </w:r>
      <w:r w:rsidR="00A8235C" w:rsidRPr="00A8235C">
        <w:rPr>
          <w:rFonts w:cs="Times New Roman"/>
          <w:szCs w:val="24"/>
        </w:rPr>
        <w:t xml:space="preserve"> </w:t>
      </w:r>
      <w:r w:rsidR="00027343">
        <w:rPr>
          <w:rFonts w:cs="Times New Roman"/>
          <w:szCs w:val="24"/>
        </w:rPr>
        <w:t xml:space="preserve">por meio das equações estimadas e expostas na Tabela </w:t>
      </w:r>
      <w:r w:rsidR="001C7686">
        <w:rPr>
          <w:rFonts w:cs="Times New Roman"/>
          <w:szCs w:val="24"/>
        </w:rPr>
        <w:t>3</w:t>
      </w:r>
      <w:r w:rsidR="00027343">
        <w:rPr>
          <w:rFonts w:cs="Times New Roman"/>
          <w:szCs w:val="24"/>
        </w:rPr>
        <w:t xml:space="preserve">, </w:t>
      </w:r>
      <w:r w:rsidR="00A8235C" w:rsidRPr="00A8235C">
        <w:rPr>
          <w:rFonts w:cs="Times New Roman"/>
          <w:szCs w:val="24"/>
        </w:rPr>
        <w:t xml:space="preserve">avaliar se o </w:t>
      </w:r>
      <w:r w:rsidR="00DF17B4">
        <w:rPr>
          <w:rFonts w:cs="Times New Roman"/>
          <w:szCs w:val="24"/>
        </w:rPr>
        <w:t xml:space="preserve">RAC, os ORA </w:t>
      </w:r>
      <w:r w:rsidR="00A8235C" w:rsidRPr="00A8235C">
        <w:rPr>
          <w:rFonts w:cs="Times New Roman"/>
          <w:szCs w:val="24"/>
        </w:rPr>
        <w:t>e os seus componentes pode</w:t>
      </w:r>
      <w:r w:rsidR="00027343">
        <w:rPr>
          <w:rFonts w:cs="Times New Roman"/>
          <w:szCs w:val="24"/>
        </w:rPr>
        <w:t>m</w:t>
      </w:r>
      <w:r w:rsidR="00A8235C" w:rsidRPr="00A8235C">
        <w:rPr>
          <w:rFonts w:cs="Times New Roman"/>
          <w:szCs w:val="24"/>
        </w:rPr>
        <w:t xml:space="preserve"> explicar </w:t>
      </w:r>
      <w:r w:rsidR="00027343">
        <w:rPr>
          <w:rFonts w:cs="Times New Roman"/>
          <w:szCs w:val="24"/>
        </w:rPr>
        <w:t>os</w:t>
      </w:r>
      <w:r w:rsidR="00A8235C" w:rsidRPr="00A8235C">
        <w:rPr>
          <w:rFonts w:cs="Times New Roman"/>
          <w:szCs w:val="24"/>
        </w:rPr>
        <w:t xml:space="preserve"> fluxos de </w:t>
      </w:r>
      <w:proofErr w:type="gramStart"/>
      <w:r w:rsidR="00A8235C" w:rsidRPr="00A8235C">
        <w:rPr>
          <w:rFonts w:cs="Times New Roman"/>
          <w:szCs w:val="24"/>
        </w:rPr>
        <w:t xml:space="preserve">caixa operacionais do período </w:t>
      </w:r>
      <w:r w:rsidR="00027343">
        <w:rPr>
          <w:rFonts w:cs="Times New Roman"/>
          <w:szCs w:val="24"/>
        </w:rPr>
        <w:t>subsequente</w:t>
      </w:r>
      <w:proofErr w:type="gramEnd"/>
      <w:r w:rsidR="00A8235C" w:rsidRPr="00A8235C">
        <w:rPr>
          <w:rFonts w:cs="Times New Roman"/>
          <w:szCs w:val="24"/>
        </w:rPr>
        <w:t>.</w:t>
      </w:r>
    </w:p>
    <w:p w:rsidR="006052A9" w:rsidRPr="00F271C6" w:rsidRDefault="005916D8" w:rsidP="00F271C6">
      <w:pPr>
        <w:jc w:val="center"/>
        <w:rPr>
          <w:rFonts w:cs="Times New Roman"/>
          <w:sz w:val="20"/>
          <w:szCs w:val="20"/>
        </w:rPr>
      </w:pPr>
      <w:r>
        <w:rPr>
          <w:rFonts w:cs="Times New Roman"/>
          <w:sz w:val="20"/>
          <w:szCs w:val="20"/>
        </w:rPr>
        <w:t xml:space="preserve">Tabela </w:t>
      </w:r>
      <w:r w:rsidR="001C7686" w:rsidRPr="00F271C6">
        <w:rPr>
          <w:rFonts w:cs="Times New Roman"/>
          <w:sz w:val="20"/>
          <w:szCs w:val="20"/>
        </w:rPr>
        <w:t>3</w:t>
      </w:r>
      <w:r w:rsidR="00027343" w:rsidRPr="00F271C6">
        <w:rPr>
          <w:rFonts w:cs="Times New Roman"/>
          <w:sz w:val="20"/>
          <w:szCs w:val="20"/>
        </w:rPr>
        <w:t xml:space="preserve">: </w:t>
      </w:r>
      <w:r w:rsidR="00706AF0" w:rsidRPr="00F271C6">
        <w:rPr>
          <w:rFonts w:cs="Times New Roman"/>
          <w:sz w:val="20"/>
          <w:szCs w:val="20"/>
        </w:rPr>
        <w:t>R</w:t>
      </w:r>
      <w:r w:rsidR="00027343" w:rsidRPr="00F271C6">
        <w:rPr>
          <w:rFonts w:cs="Times New Roman"/>
          <w:sz w:val="20"/>
          <w:szCs w:val="20"/>
        </w:rPr>
        <w:t xml:space="preserve">egressões </w:t>
      </w:r>
      <w:r w:rsidR="00DA298D" w:rsidRPr="00F271C6">
        <w:rPr>
          <w:rFonts w:cs="Times New Roman"/>
          <w:sz w:val="20"/>
          <w:szCs w:val="20"/>
        </w:rPr>
        <w:t>estimadas para os modelos 01 a 05</w:t>
      </w:r>
      <w:r w:rsidR="00CE7972" w:rsidRPr="00F271C6">
        <w:rPr>
          <w:rFonts w:cs="Times New Roman"/>
          <w:sz w:val="20"/>
          <w:szCs w:val="20"/>
        </w:rPr>
        <w:t xml:space="preserve"> </w:t>
      </w:r>
      <w:r w:rsidR="00155181" w:rsidRPr="00F271C6">
        <w:rPr>
          <w:rFonts w:cs="Times New Roman"/>
          <w:sz w:val="20"/>
          <w:szCs w:val="20"/>
        </w:rPr>
        <w:t>(</w:t>
      </w:r>
      <w:r w:rsidR="00706AF0" w:rsidRPr="00F271C6">
        <w:rPr>
          <w:rFonts w:cs="Times New Roman"/>
          <w:sz w:val="20"/>
          <w:szCs w:val="20"/>
        </w:rPr>
        <w:t xml:space="preserve">variável </w:t>
      </w:r>
      <w:r w:rsidR="00155181" w:rsidRPr="00F271C6">
        <w:rPr>
          <w:rFonts w:cs="Times New Roman"/>
          <w:sz w:val="20"/>
          <w:szCs w:val="20"/>
        </w:rPr>
        <w:t xml:space="preserve">dependente </w:t>
      </w:r>
      <w:proofErr w:type="gramStart"/>
      <w:r w:rsidR="00155181" w:rsidRPr="00F271C6">
        <w:rPr>
          <w:rFonts w:cs="Times New Roman"/>
          <w:sz w:val="20"/>
          <w:szCs w:val="20"/>
        </w:rPr>
        <w:t>FCO</w:t>
      </w:r>
      <w:r w:rsidR="00155181" w:rsidRPr="00F271C6">
        <w:rPr>
          <w:rFonts w:cs="Times New Roman"/>
          <w:sz w:val="20"/>
          <w:szCs w:val="20"/>
          <w:vertAlign w:val="subscript"/>
        </w:rPr>
        <w:t>t</w:t>
      </w:r>
      <w:proofErr w:type="gramEnd"/>
      <w:r w:rsidR="00155181" w:rsidRPr="00F271C6">
        <w:rPr>
          <w:rFonts w:cs="Times New Roman"/>
          <w:b/>
          <w:sz w:val="20"/>
          <w:szCs w:val="20"/>
          <w:vertAlign w:val="subscript"/>
        </w:rPr>
        <w:t>+1</w:t>
      </w:r>
      <w:r w:rsidR="00155181" w:rsidRPr="00F271C6">
        <w:rPr>
          <w:rFonts w:cs="Times New Roman"/>
          <w:sz w:val="20"/>
          <w:szCs w:val="20"/>
        </w:rPr>
        <w:t>)</w:t>
      </w:r>
    </w:p>
    <w:tbl>
      <w:tblPr>
        <w:tblW w:w="5000" w:type="pct"/>
        <w:tblCellMar>
          <w:left w:w="70" w:type="dxa"/>
          <w:right w:w="70" w:type="dxa"/>
        </w:tblCellMar>
        <w:tblLook w:val="04A0" w:firstRow="1" w:lastRow="0" w:firstColumn="1" w:lastColumn="0" w:noHBand="0" w:noVBand="1"/>
      </w:tblPr>
      <w:tblGrid>
        <w:gridCol w:w="1698"/>
        <w:gridCol w:w="1503"/>
        <w:gridCol w:w="1503"/>
        <w:gridCol w:w="1503"/>
        <w:gridCol w:w="1503"/>
        <w:gridCol w:w="1501"/>
      </w:tblGrid>
      <w:tr w:rsidR="006052A9" w:rsidRPr="00EB464C" w:rsidTr="00A43510">
        <w:trPr>
          <w:cantSplit/>
          <w:trHeight w:val="283"/>
        </w:trPr>
        <w:tc>
          <w:tcPr>
            <w:tcW w:w="921" w:type="pct"/>
            <w:tcBorders>
              <w:top w:val="single" w:sz="4" w:space="0" w:color="auto"/>
              <w:bottom w:val="single" w:sz="12"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b/>
                <w:bCs/>
                <w:color w:val="000000"/>
                <w:sz w:val="20"/>
                <w:szCs w:val="20"/>
                <w:lang w:eastAsia="pt-BR"/>
              </w:rPr>
            </w:pPr>
            <w:r w:rsidRPr="00EB464C">
              <w:rPr>
                <w:rFonts w:eastAsia="Times New Roman" w:cs="Times New Roman"/>
                <w:b/>
                <w:bCs/>
                <w:color w:val="000000"/>
                <w:sz w:val="20"/>
                <w:szCs w:val="20"/>
                <w:lang w:eastAsia="pt-BR"/>
              </w:rPr>
              <w:t>Variável</w:t>
            </w:r>
          </w:p>
        </w:tc>
        <w:tc>
          <w:tcPr>
            <w:tcW w:w="816" w:type="pct"/>
            <w:tcBorders>
              <w:top w:val="single" w:sz="4" w:space="0" w:color="auto"/>
              <w:left w:val="dotted" w:sz="4" w:space="0" w:color="auto"/>
              <w:bottom w:val="single" w:sz="12" w:space="0" w:color="auto"/>
              <w:right w:val="dotted" w:sz="4" w:space="0" w:color="auto"/>
            </w:tcBorders>
            <w:shd w:val="clear" w:color="auto" w:fill="auto"/>
            <w:noWrap/>
            <w:vAlign w:val="center"/>
            <w:hideMark/>
          </w:tcPr>
          <w:p w:rsidR="006052A9" w:rsidRPr="00EB464C" w:rsidRDefault="00DA298D" w:rsidP="00B723BB">
            <w:pPr>
              <w:jc w:val="center"/>
              <w:rPr>
                <w:rFonts w:eastAsia="Times New Roman" w:cs="Times New Roman"/>
                <w:b/>
                <w:bCs/>
                <w:color w:val="000000"/>
                <w:sz w:val="20"/>
                <w:szCs w:val="20"/>
                <w:lang w:eastAsia="pt-BR"/>
              </w:rPr>
            </w:pPr>
            <w:r w:rsidRPr="00EB464C">
              <w:rPr>
                <w:rFonts w:eastAsia="Times New Roman" w:cs="Times New Roman"/>
                <w:b/>
                <w:bCs/>
                <w:color w:val="000000"/>
                <w:sz w:val="20"/>
                <w:szCs w:val="20"/>
                <w:lang w:eastAsia="pt-BR"/>
              </w:rPr>
              <w:t>Modelo</w:t>
            </w:r>
            <w:r w:rsidR="006052A9" w:rsidRPr="00EB464C">
              <w:rPr>
                <w:rFonts w:eastAsia="Times New Roman" w:cs="Times New Roman"/>
                <w:b/>
                <w:bCs/>
                <w:color w:val="000000"/>
                <w:sz w:val="20"/>
                <w:szCs w:val="20"/>
                <w:lang w:eastAsia="pt-BR"/>
              </w:rPr>
              <w:t xml:space="preserve"> 01</w:t>
            </w:r>
          </w:p>
        </w:tc>
        <w:tc>
          <w:tcPr>
            <w:tcW w:w="816" w:type="pct"/>
            <w:tcBorders>
              <w:top w:val="single" w:sz="4" w:space="0" w:color="auto"/>
              <w:left w:val="dotted" w:sz="4" w:space="0" w:color="auto"/>
              <w:bottom w:val="single" w:sz="12" w:space="0" w:color="auto"/>
              <w:right w:val="dotted" w:sz="4" w:space="0" w:color="auto"/>
            </w:tcBorders>
            <w:shd w:val="clear" w:color="auto" w:fill="auto"/>
            <w:noWrap/>
            <w:vAlign w:val="center"/>
            <w:hideMark/>
          </w:tcPr>
          <w:p w:rsidR="006052A9" w:rsidRPr="00EB464C" w:rsidRDefault="00DA298D" w:rsidP="00B723BB">
            <w:pPr>
              <w:jc w:val="center"/>
              <w:rPr>
                <w:rFonts w:eastAsia="Times New Roman" w:cs="Times New Roman"/>
                <w:b/>
                <w:bCs/>
                <w:color w:val="000000"/>
                <w:sz w:val="20"/>
                <w:szCs w:val="20"/>
                <w:lang w:eastAsia="pt-BR"/>
              </w:rPr>
            </w:pPr>
            <w:r w:rsidRPr="00EB464C">
              <w:rPr>
                <w:rFonts w:eastAsia="Times New Roman" w:cs="Times New Roman"/>
                <w:b/>
                <w:bCs/>
                <w:color w:val="000000"/>
                <w:sz w:val="20"/>
                <w:szCs w:val="20"/>
                <w:lang w:eastAsia="pt-BR"/>
              </w:rPr>
              <w:t>Modelo</w:t>
            </w:r>
            <w:r w:rsidR="006052A9" w:rsidRPr="00EB464C">
              <w:rPr>
                <w:rFonts w:eastAsia="Times New Roman" w:cs="Times New Roman"/>
                <w:b/>
                <w:bCs/>
                <w:color w:val="000000"/>
                <w:sz w:val="20"/>
                <w:szCs w:val="20"/>
                <w:lang w:eastAsia="pt-BR"/>
              </w:rPr>
              <w:t xml:space="preserve"> 02</w:t>
            </w:r>
          </w:p>
        </w:tc>
        <w:tc>
          <w:tcPr>
            <w:tcW w:w="816" w:type="pct"/>
            <w:tcBorders>
              <w:top w:val="single" w:sz="4" w:space="0" w:color="auto"/>
              <w:left w:val="dotted" w:sz="4" w:space="0" w:color="auto"/>
              <w:bottom w:val="single" w:sz="12" w:space="0" w:color="auto"/>
              <w:right w:val="dotted" w:sz="4" w:space="0" w:color="auto"/>
            </w:tcBorders>
            <w:shd w:val="clear" w:color="auto" w:fill="auto"/>
            <w:noWrap/>
            <w:vAlign w:val="center"/>
            <w:hideMark/>
          </w:tcPr>
          <w:p w:rsidR="006052A9" w:rsidRPr="00EB464C" w:rsidRDefault="00DA298D" w:rsidP="00B723BB">
            <w:pPr>
              <w:jc w:val="center"/>
              <w:rPr>
                <w:rFonts w:eastAsia="Times New Roman" w:cs="Times New Roman"/>
                <w:b/>
                <w:bCs/>
                <w:color w:val="000000"/>
                <w:sz w:val="20"/>
                <w:szCs w:val="20"/>
                <w:lang w:eastAsia="pt-BR"/>
              </w:rPr>
            </w:pPr>
            <w:r w:rsidRPr="00EB464C">
              <w:rPr>
                <w:rFonts w:eastAsia="Times New Roman" w:cs="Times New Roman"/>
                <w:b/>
                <w:bCs/>
                <w:color w:val="000000"/>
                <w:sz w:val="20"/>
                <w:szCs w:val="20"/>
                <w:lang w:eastAsia="pt-BR"/>
              </w:rPr>
              <w:t>Modelo</w:t>
            </w:r>
            <w:r w:rsidR="006052A9" w:rsidRPr="00EB464C">
              <w:rPr>
                <w:rFonts w:eastAsia="Times New Roman" w:cs="Times New Roman"/>
                <w:b/>
                <w:bCs/>
                <w:color w:val="000000"/>
                <w:sz w:val="20"/>
                <w:szCs w:val="20"/>
                <w:lang w:eastAsia="pt-BR"/>
              </w:rPr>
              <w:t xml:space="preserve"> 03</w:t>
            </w:r>
          </w:p>
        </w:tc>
        <w:tc>
          <w:tcPr>
            <w:tcW w:w="816" w:type="pct"/>
            <w:tcBorders>
              <w:top w:val="single" w:sz="4" w:space="0" w:color="auto"/>
              <w:left w:val="dotted" w:sz="4" w:space="0" w:color="auto"/>
              <w:bottom w:val="single" w:sz="12" w:space="0" w:color="auto"/>
              <w:right w:val="dotted" w:sz="4" w:space="0" w:color="auto"/>
            </w:tcBorders>
            <w:shd w:val="clear" w:color="auto" w:fill="auto"/>
            <w:noWrap/>
            <w:vAlign w:val="center"/>
            <w:hideMark/>
          </w:tcPr>
          <w:p w:rsidR="006052A9" w:rsidRPr="00EB464C" w:rsidRDefault="00DA298D" w:rsidP="00B723BB">
            <w:pPr>
              <w:jc w:val="center"/>
              <w:rPr>
                <w:rFonts w:eastAsia="Times New Roman" w:cs="Times New Roman"/>
                <w:b/>
                <w:bCs/>
                <w:color w:val="000000"/>
                <w:sz w:val="20"/>
                <w:szCs w:val="20"/>
                <w:lang w:eastAsia="pt-BR"/>
              </w:rPr>
            </w:pPr>
            <w:r w:rsidRPr="00EB464C">
              <w:rPr>
                <w:rFonts w:eastAsia="Times New Roman" w:cs="Times New Roman"/>
                <w:b/>
                <w:bCs/>
                <w:color w:val="000000"/>
                <w:sz w:val="20"/>
                <w:szCs w:val="20"/>
                <w:lang w:eastAsia="pt-BR"/>
              </w:rPr>
              <w:t>Modelo</w:t>
            </w:r>
            <w:r w:rsidR="006052A9" w:rsidRPr="00EB464C">
              <w:rPr>
                <w:rFonts w:eastAsia="Times New Roman" w:cs="Times New Roman"/>
                <w:b/>
                <w:bCs/>
                <w:color w:val="000000"/>
                <w:sz w:val="20"/>
                <w:szCs w:val="20"/>
                <w:lang w:eastAsia="pt-BR"/>
              </w:rPr>
              <w:t xml:space="preserve"> 04</w:t>
            </w:r>
          </w:p>
        </w:tc>
        <w:tc>
          <w:tcPr>
            <w:tcW w:w="816" w:type="pct"/>
            <w:tcBorders>
              <w:top w:val="single" w:sz="4" w:space="0" w:color="auto"/>
              <w:left w:val="dotted" w:sz="4" w:space="0" w:color="auto"/>
              <w:bottom w:val="single" w:sz="12" w:space="0" w:color="auto"/>
            </w:tcBorders>
            <w:shd w:val="clear" w:color="auto" w:fill="auto"/>
            <w:vAlign w:val="center"/>
          </w:tcPr>
          <w:p w:rsidR="006052A9" w:rsidRPr="00EB464C" w:rsidRDefault="00DA298D" w:rsidP="00B723BB">
            <w:pPr>
              <w:jc w:val="center"/>
              <w:rPr>
                <w:rFonts w:eastAsia="Times New Roman" w:cs="Times New Roman"/>
                <w:b/>
                <w:bCs/>
                <w:color w:val="000000"/>
                <w:sz w:val="20"/>
                <w:szCs w:val="20"/>
                <w:lang w:eastAsia="pt-BR"/>
              </w:rPr>
            </w:pPr>
            <w:r w:rsidRPr="00EB464C">
              <w:rPr>
                <w:rFonts w:eastAsia="Times New Roman" w:cs="Times New Roman"/>
                <w:b/>
                <w:bCs/>
                <w:color w:val="000000"/>
                <w:sz w:val="20"/>
                <w:szCs w:val="20"/>
                <w:lang w:eastAsia="pt-BR"/>
              </w:rPr>
              <w:t>Modelo</w:t>
            </w:r>
            <w:r w:rsidR="006052A9" w:rsidRPr="00EB464C">
              <w:rPr>
                <w:rFonts w:eastAsia="Times New Roman" w:cs="Times New Roman"/>
                <w:b/>
                <w:bCs/>
                <w:color w:val="000000"/>
                <w:sz w:val="20"/>
                <w:szCs w:val="20"/>
                <w:lang w:eastAsia="pt-BR"/>
              </w:rPr>
              <w:t xml:space="preserve"> 05</w:t>
            </w:r>
          </w:p>
        </w:tc>
      </w:tr>
      <w:tr w:rsidR="006052A9" w:rsidRPr="00EB464C" w:rsidTr="00A43510">
        <w:trPr>
          <w:cantSplit/>
          <w:trHeight w:val="238"/>
        </w:trPr>
        <w:tc>
          <w:tcPr>
            <w:tcW w:w="921" w:type="pct"/>
            <w:tcBorders>
              <w:top w:val="single" w:sz="12" w:space="0" w:color="auto"/>
              <w:right w:val="dotted" w:sz="4" w:space="0" w:color="auto"/>
            </w:tcBorders>
            <w:shd w:val="clear" w:color="auto" w:fill="auto"/>
            <w:noWrap/>
            <w:vAlign w:val="center"/>
            <w:hideMark/>
          </w:tcPr>
          <w:p w:rsidR="006052A9" w:rsidRPr="00EB464C" w:rsidRDefault="006052A9" w:rsidP="00B723BB">
            <w:pPr>
              <w:rPr>
                <w:rFonts w:eastAsia="Times New Roman" w:cs="Times New Roman"/>
                <w:color w:val="000000"/>
                <w:sz w:val="20"/>
                <w:szCs w:val="20"/>
                <w:lang w:eastAsia="pt-BR"/>
              </w:rPr>
            </w:pPr>
            <w:r w:rsidRPr="00EB464C">
              <w:rPr>
                <w:rFonts w:eastAsia="Times New Roman" w:cs="Times New Roman"/>
                <w:color w:val="000000"/>
                <w:sz w:val="20"/>
                <w:szCs w:val="20"/>
                <w:lang w:eastAsia="pt-BR"/>
              </w:rPr>
              <w:t>Constante</w:t>
            </w:r>
          </w:p>
        </w:tc>
        <w:tc>
          <w:tcPr>
            <w:tcW w:w="816" w:type="pct"/>
            <w:tcBorders>
              <w:top w:val="single" w:sz="12" w:space="0" w:color="auto"/>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-159.515</w:t>
            </w:r>
          </w:p>
        </w:tc>
        <w:tc>
          <w:tcPr>
            <w:tcW w:w="816" w:type="pct"/>
            <w:tcBorders>
              <w:top w:val="single" w:sz="12" w:space="0" w:color="auto"/>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1.013.700 ***</w:t>
            </w:r>
          </w:p>
        </w:tc>
        <w:tc>
          <w:tcPr>
            <w:tcW w:w="816" w:type="pct"/>
            <w:tcBorders>
              <w:top w:val="single" w:sz="12" w:space="0" w:color="auto"/>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-91.505</w:t>
            </w:r>
          </w:p>
        </w:tc>
        <w:tc>
          <w:tcPr>
            <w:tcW w:w="816" w:type="pct"/>
            <w:tcBorders>
              <w:top w:val="single" w:sz="12" w:space="0" w:color="auto"/>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145.559</w:t>
            </w:r>
          </w:p>
        </w:tc>
        <w:tc>
          <w:tcPr>
            <w:tcW w:w="816" w:type="pct"/>
            <w:tcBorders>
              <w:top w:val="single" w:sz="12" w:space="0" w:color="auto"/>
              <w:lef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-54.314</w:t>
            </w:r>
          </w:p>
        </w:tc>
      </w:tr>
      <w:tr w:rsidR="006052A9" w:rsidRPr="00EB464C" w:rsidTr="00A43510">
        <w:trPr>
          <w:cantSplit/>
          <w:trHeight w:val="238"/>
        </w:trPr>
        <w:tc>
          <w:tcPr>
            <w:tcW w:w="921" w:type="pct"/>
            <w:tcBorders>
              <w:right w:val="dotted" w:sz="4" w:space="0" w:color="auto"/>
            </w:tcBorders>
            <w:shd w:val="clear" w:color="auto" w:fill="auto"/>
            <w:noWrap/>
            <w:vAlign w:val="center"/>
            <w:hideMark/>
          </w:tcPr>
          <w:p w:rsidR="006052A9" w:rsidRPr="00EB464C" w:rsidRDefault="006052A9" w:rsidP="00B723BB">
            <w:pPr>
              <w:rPr>
                <w:rFonts w:eastAsia="Times New Roman" w:cs="Times New Roman"/>
                <w:color w:val="000000"/>
                <w:sz w:val="20"/>
                <w:szCs w:val="20"/>
                <w:lang w:eastAsia="pt-BR"/>
              </w:rPr>
            </w:pPr>
            <w:r w:rsidRPr="00EB464C">
              <w:rPr>
                <w:rFonts w:eastAsia="Times New Roman" w:cs="Times New Roman"/>
                <w:color w:val="000000"/>
                <w:sz w:val="20"/>
                <w:szCs w:val="20"/>
                <w:lang w:eastAsia="pt-BR"/>
              </w:rPr>
              <w:t>LL</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2,922 ***</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1,676 ***</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1,6</w:t>
            </w:r>
            <w:r w:rsidR="00555C39" w:rsidRPr="00EB464C">
              <w:rPr>
                <w:rFonts w:eastAsia="Times New Roman" w:cs="Times New Roman"/>
                <w:color w:val="000000"/>
                <w:sz w:val="20"/>
                <w:szCs w:val="20"/>
                <w:lang w:eastAsia="pt-BR"/>
              </w:rPr>
              <w:t>6</w:t>
            </w:r>
            <w:r w:rsidRPr="00EB464C">
              <w:rPr>
                <w:rFonts w:eastAsia="Times New Roman" w:cs="Times New Roman"/>
                <w:color w:val="000000"/>
                <w:sz w:val="20"/>
                <w:szCs w:val="20"/>
                <w:lang w:eastAsia="pt-BR"/>
              </w:rPr>
              <w:t>1 ***</w:t>
            </w:r>
          </w:p>
        </w:tc>
        <w:tc>
          <w:tcPr>
            <w:tcW w:w="816" w:type="pct"/>
            <w:tcBorders>
              <w:lef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3,041 ***</w:t>
            </w:r>
          </w:p>
        </w:tc>
      </w:tr>
      <w:tr w:rsidR="006052A9" w:rsidRPr="00EB464C" w:rsidTr="00A43510">
        <w:trPr>
          <w:cantSplit/>
          <w:trHeight w:val="238"/>
        </w:trPr>
        <w:tc>
          <w:tcPr>
            <w:tcW w:w="921" w:type="pct"/>
            <w:tcBorders>
              <w:right w:val="dotted" w:sz="4" w:space="0" w:color="auto"/>
            </w:tcBorders>
            <w:shd w:val="clear" w:color="auto" w:fill="auto"/>
            <w:noWrap/>
            <w:vAlign w:val="center"/>
            <w:hideMark/>
          </w:tcPr>
          <w:p w:rsidR="006052A9" w:rsidRPr="00EB464C" w:rsidRDefault="006052A9" w:rsidP="00B723BB">
            <w:pPr>
              <w:rPr>
                <w:rFonts w:eastAsia="Times New Roman" w:cs="Times New Roman"/>
                <w:color w:val="000000"/>
                <w:sz w:val="20"/>
                <w:szCs w:val="20"/>
                <w:lang w:eastAsia="pt-BR"/>
              </w:rPr>
            </w:pPr>
            <w:r w:rsidRPr="00EB464C">
              <w:rPr>
                <w:rFonts w:eastAsia="Times New Roman" w:cs="Times New Roman"/>
                <w:color w:val="000000"/>
                <w:sz w:val="20"/>
                <w:szCs w:val="20"/>
                <w:lang w:eastAsia="pt-BR"/>
              </w:rPr>
              <w:t>RAC</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0,911 **</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r>
      <w:tr w:rsidR="006052A9" w:rsidRPr="00EB464C" w:rsidTr="00A43510">
        <w:trPr>
          <w:cantSplit/>
          <w:trHeight w:val="238"/>
        </w:trPr>
        <w:tc>
          <w:tcPr>
            <w:tcW w:w="921" w:type="pct"/>
            <w:tcBorders>
              <w:right w:val="dotted" w:sz="4" w:space="0" w:color="auto"/>
            </w:tcBorders>
            <w:shd w:val="clear" w:color="auto" w:fill="auto"/>
            <w:noWrap/>
            <w:vAlign w:val="center"/>
            <w:hideMark/>
          </w:tcPr>
          <w:p w:rsidR="006052A9" w:rsidRPr="00EB464C" w:rsidRDefault="006052A9" w:rsidP="00B723BB">
            <w:pPr>
              <w:rPr>
                <w:rFonts w:eastAsia="Times New Roman" w:cs="Times New Roman"/>
                <w:color w:val="000000"/>
                <w:sz w:val="20"/>
                <w:szCs w:val="20"/>
                <w:lang w:eastAsia="pt-BR"/>
              </w:rPr>
            </w:pPr>
            <w:r w:rsidRPr="00EB464C">
              <w:rPr>
                <w:rFonts w:eastAsia="Times New Roman" w:cs="Times New Roman"/>
                <w:color w:val="000000"/>
                <w:sz w:val="20"/>
                <w:szCs w:val="20"/>
                <w:lang w:eastAsia="pt-BR"/>
              </w:rPr>
              <w:t>ORA</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4,314 ***</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r>
      <w:tr w:rsidR="006052A9" w:rsidRPr="00EB464C" w:rsidTr="00A43510">
        <w:trPr>
          <w:cantSplit/>
          <w:trHeight w:val="238"/>
        </w:trPr>
        <w:tc>
          <w:tcPr>
            <w:tcW w:w="921" w:type="pct"/>
            <w:tcBorders>
              <w:right w:val="dotted" w:sz="4" w:space="0" w:color="auto"/>
            </w:tcBorders>
            <w:shd w:val="clear" w:color="auto" w:fill="auto"/>
            <w:noWrap/>
            <w:vAlign w:val="center"/>
            <w:hideMark/>
          </w:tcPr>
          <w:p w:rsidR="006052A9" w:rsidRPr="00EB464C" w:rsidRDefault="000A71C9" w:rsidP="00B723BB">
            <w:pPr>
              <w:rPr>
                <w:rFonts w:eastAsia="Times New Roman" w:cs="Times New Roman"/>
                <w:color w:val="000000"/>
                <w:sz w:val="20"/>
                <w:szCs w:val="20"/>
                <w:lang w:eastAsia="pt-BR"/>
              </w:rPr>
            </w:pPr>
            <w:r w:rsidRPr="00EB464C">
              <w:rPr>
                <w:rFonts w:eastAsia="Times New Roman" w:cs="Times New Roman"/>
                <w:color w:val="000000"/>
                <w:sz w:val="20"/>
                <w:szCs w:val="20"/>
                <w:lang w:eastAsia="pt-BR"/>
              </w:rPr>
              <w:t>TVM</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0,971</w:t>
            </w:r>
          </w:p>
        </w:tc>
        <w:tc>
          <w:tcPr>
            <w:tcW w:w="816" w:type="pct"/>
            <w:tcBorders>
              <w:lef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-1,313</w:t>
            </w:r>
          </w:p>
        </w:tc>
      </w:tr>
      <w:tr w:rsidR="006052A9" w:rsidRPr="00EB464C" w:rsidTr="00A43510">
        <w:trPr>
          <w:cantSplit/>
          <w:trHeight w:val="238"/>
        </w:trPr>
        <w:tc>
          <w:tcPr>
            <w:tcW w:w="921" w:type="pct"/>
            <w:tcBorders>
              <w:right w:val="dotted" w:sz="4" w:space="0" w:color="auto"/>
            </w:tcBorders>
            <w:shd w:val="clear" w:color="auto" w:fill="auto"/>
            <w:noWrap/>
            <w:vAlign w:val="center"/>
            <w:hideMark/>
          </w:tcPr>
          <w:p w:rsidR="006052A9" w:rsidRPr="00EB464C" w:rsidRDefault="006052A9" w:rsidP="00B723BB">
            <w:pPr>
              <w:rPr>
                <w:rFonts w:eastAsia="Times New Roman" w:cs="Times New Roman"/>
                <w:color w:val="000000"/>
                <w:sz w:val="20"/>
                <w:szCs w:val="20"/>
                <w:lang w:eastAsia="pt-BR"/>
              </w:rPr>
            </w:pPr>
            <w:r w:rsidRPr="00EB464C">
              <w:rPr>
                <w:rFonts w:eastAsia="Times New Roman" w:cs="Times New Roman"/>
                <w:color w:val="000000"/>
                <w:sz w:val="20"/>
                <w:szCs w:val="20"/>
                <w:lang w:eastAsia="pt-BR"/>
              </w:rPr>
              <w:t>NVM</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4,420 ***</w:t>
            </w:r>
          </w:p>
        </w:tc>
        <w:tc>
          <w:tcPr>
            <w:tcW w:w="816" w:type="pct"/>
            <w:tcBorders>
              <w:lef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r>
      <w:tr w:rsidR="006052A9" w:rsidRPr="00EB464C" w:rsidTr="00A43510">
        <w:trPr>
          <w:cantSplit/>
          <w:trHeight w:val="238"/>
        </w:trPr>
        <w:tc>
          <w:tcPr>
            <w:tcW w:w="921" w:type="pct"/>
            <w:tcBorders>
              <w:right w:val="dotted" w:sz="4" w:space="0" w:color="auto"/>
            </w:tcBorders>
            <w:shd w:val="clear" w:color="auto" w:fill="auto"/>
            <w:noWrap/>
            <w:vAlign w:val="center"/>
          </w:tcPr>
          <w:p w:rsidR="006052A9" w:rsidRPr="00EB464C" w:rsidRDefault="00A43510" w:rsidP="00B723BB">
            <w:pPr>
              <w:rPr>
                <w:rFonts w:eastAsia="Times New Roman" w:cs="Times New Roman"/>
                <w:color w:val="000000"/>
                <w:sz w:val="20"/>
                <w:szCs w:val="20"/>
                <w:lang w:eastAsia="pt-BR"/>
              </w:rPr>
            </w:pPr>
            <w:r w:rsidRPr="00EB464C">
              <w:rPr>
                <w:rFonts w:eastAsia="Times New Roman" w:cs="Times New Roman"/>
                <w:color w:val="000000"/>
                <w:sz w:val="20"/>
                <w:szCs w:val="20"/>
                <w:lang w:eastAsia="pt-BR"/>
              </w:rPr>
              <w:t>COM</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1,497</w:t>
            </w:r>
          </w:p>
        </w:tc>
      </w:tr>
      <w:tr w:rsidR="006052A9" w:rsidRPr="00EB464C" w:rsidTr="00A43510">
        <w:trPr>
          <w:cantSplit/>
          <w:trHeight w:val="238"/>
        </w:trPr>
        <w:tc>
          <w:tcPr>
            <w:tcW w:w="921" w:type="pct"/>
            <w:tcBorders>
              <w:right w:val="dotted" w:sz="4" w:space="0" w:color="auto"/>
            </w:tcBorders>
            <w:shd w:val="clear" w:color="auto" w:fill="auto"/>
            <w:noWrap/>
            <w:vAlign w:val="center"/>
          </w:tcPr>
          <w:p w:rsidR="006052A9" w:rsidRPr="00EB464C" w:rsidRDefault="006052A9" w:rsidP="00B723BB">
            <w:pPr>
              <w:rPr>
                <w:rFonts w:eastAsia="Times New Roman" w:cs="Times New Roman"/>
                <w:color w:val="000000"/>
                <w:sz w:val="20"/>
                <w:szCs w:val="20"/>
                <w:lang w:eastAsia="pt-BR"/>
              </w:rPr>
            </w:pPr>
            <w:r w:rsidRPr="00EB464C">
              <w:rPr>
                <w:rFonts w:eastAsia="Times New Roman" w:cs="Times New Roman"/>
                <w:color w:val="000000"/>
                <w:sz w:val="20"/>
                <w:szCs w:val="20"/>
                <w:lang w:eastAsia="pt-BR"/>
              </w:rPr>
              <w:t>PEN</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0,890</w:t>
            </w:r>
          </w:p>
        </w:tc>
      </w:tr>
      <w:tr w:rsidR="006052A9" w:rsidRPr="00EB464C" w:rsidTr="00A43510">
        <w:trPr>
          <w:cantSplit/>
          <w:trHeight w:val="238"/>
        </w:trPr>
        <w:tc>
          <w:tcPr>
            <w:tcW w:w="921" w:type="pct"/>
            <w:tcBorders>
              <w:right w:val="dotted" w:sz="4" w:space="0" w:color="auto"/>
            </w:tcBorders>
            <w:shd w:val="clear" w:color="auto" w:fill="auto"/>
            <w:noWrap/>
            <w:vAlign w:val="center"/>
          </w:tcPr>
          <w:p w:rsidR="006052A9" w:rsidRPr="00EB464C" w:rsidRDefault="006052A9" w:rsidP="00B723BB">
            <w:pPr>
              <w:rPr>
                <w:rFonts w:eastAsia="Times New Roman" w:cs="Times New Roman"/>
                <w:color w:val="000000"/>
                <w:sz w:val="20"/>
                <w:szCs w:val="20"/>
                <w:lang w:eastAsia="pt-BR"/>
              </w:rPr>
            </w:pPr>
            <w:r w:rsidRPr="00EB464C">
              <w:rPr>
                <w:rFonts w:eastAsia="Times New Roman" w:cs="Times New Roman"/>
                <w:color w:val="000000"/>
                <w:sz w:val="20"/>
                <w:szCs w:val="20"/>
                <w:lang w:eastAsia="pt-BR"/>
              </w:rPr>
              <w:t>HED</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2,717</w:t>
            </w:r>
          </w:p>
        </w:tc>
      </w:tr>
      <w:tr w:rsidR="006052A9" w:rsidRPr="00EB464C" w:rsidTr="00A43510">
        <w:trPr>
          <w:cantSplit/>
          <w:trHeight w:val="238"/>
        </w:trPr>
        <w:tc>
          <w:tcPr>
            <w:tcW w:w="921" w:type="pct"/>
            <w:tcBorders>
              <w:right w:val="dotted" w:sz="4" w:space="0" w:color="auto"/>
            </w:tcBorders>
            <w:shd w:val="clear" w:color="auto" w:fill="auto"/>
            <w:noWrap/>
            <w:vAlign w:val="center"/>
            <w:hideMark/>
          </w:tcPr>
          <w:p w:rsidR="006052A9" w:rsidRPr="00EB464C" w:rsidRDefault="006052A9" w:rsidP="00B50F7D">
            <w:pPr>
              <w:rPr>
                <w:rFonts w:eastAsia="Times New Roman" w:cs="Times New Roman"/>
                <w:color w:val="000000"/>
                <w:sz w:val="20"/>
                <w:szCs w:val="20"/>
                <w:lang w:eastAsia="pt-BR"/>
              </w:rPr>
            </w:pPr>
            <w:r w:rsidRPr="00EB464C">
              <w:rPr>
                <w:rFonts w:eastAsia="Times New Roman" w:cs="Times New Roman"/>
                <w:color w:val="000000"/>
                <w:sz w:val="20"/>
                <w:szCs w:val="20"/>
                <w:lang w:eastAsia="pt-BR"/>
              </w:rPr>
              <w:t>D</w:t>
            </w:r>
            <w:r w:rsidR="00B50F7D">
              <w:rPr>
                <w:rFonts w:eastAsia="Times New Roman" w:cs="Times New Roman"/>
                <w:color w:val="000000"/>
                <w:sz w:val="20"/>
                <w:szCs w:val="20"/>
                <w:lang w:eastAsia="pt-BR"/>
              </w:rPr>
              <w:t xml:space="preserve"> </w:t>
            </w:r>
            <w:proofErr w:type="spellStart"/>
            <w:r w:rsidRPr="00EB464C">
              <w:rPr>
                <w:rFonts w:eastAsia="Times New Roman" w:cs="Times New Roman"/>
                <w:color w:val="000000"/>
                <w:sz w:val="20"/>
                <w:szCs w:val="20"/>
                <w:lang w:eastAsia="pt-BR"/>
              </w:rPr>
              <w:t>neg</w:t>
            </w:r>
            <w:proofErr w:type="spellEnd"/>
            <w:r w:rsidRPr="00EB464C">
              <w:rPr>
                <w:rFonts w:eastAsia="Times New Roman" w:cs="Times New Roman"/>
                <w:color w:val="000000"/>
                <w:sz w:val="20"/>
                <w:szCs w:val="20"/>
                <w:lang w:eastAsia="pt-BR"/>
              </w:rPr>
              <w:t xml:space="preserve"> LL</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386.887 **</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316.437 **</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240.562</w:t>
            </w:r>
          </w:p>
        </w:tc>
        <w:tc>
          <w:tcPr>
            <w:tcW w:w="816" w:type="pct"/>
            <w:tcBorders>
              <w:lef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500.263 **</w:t>
            </w:r>
          </w:p>
        </w:tc>
      </w:tr>
      <w:tr w:rsidR="006052A9" w:rsidRPr="00EB464C" w:rsidTr="00A43510">
        <w:trPr>
          <w:cantSplit/>
          <w:trHeight w:val="238"/>
        </w:trPr>
        <w:tc>
          <w:tcPr>
            <w:tcW w:w="921" w:type="pct"/>
            <w:tcBorders>
              <w:right w:val="dotted" w:sz="4" w:space="0" w:color="auto"/>
            </w:tcBorders>
            <w:shd w:val="clear" w:color="auto" w:fill="auto"/>
            <w:noWrap/>
            <w:vAlign w:val="center"/>
          </w:tcPr>
          <w:p w:rsidR="006052A9" w:rsidRPr="00EB464C" w:rsidRDefault="006052A9" w:rsidP="00B723BB">
            <w:pPr>
              <w:rPr>
                <w:rFonts w:eastAsia="Times New Roman" w:cs="Times New Roman"/>
                <w:color w:val="000000"/>
                <w:sz w:val="20"/>
                <w:szCs w:val="20"/>
                <w:lang w:eastAsia="pt-BR"/>
              </w:rPr>
            </w:pPr>
            <w:r w:rsidRPr="00EB464C">
              <w:rPr>
                <w:rFonts w:eastAsia="Times New Roman" w:cs="Times New Roman"/>
                <w:color w:val="000000"/>
                <w:sz w:val="20"/>
                <w:szCs w:val="20"/>
                <w:lang w:eastAsia="pt-BR"/>
              </w:rPr>
              <w:t xml:space="preserve">D </w:t>
            </w:r>
            <w:proofErr w:type="spellStart"/>
            <w:r w:rsidRPr="00EB464C">
              <w:rPr>
                <w:rFonts w:eastAsia="Times New Roman" w:cs="Times New Roman"/>
                <w:color w:val="000000"/>
                <w:sz w:val="20"/>
                <w:szCs w:val="20"/>
                <w:lang w:eastAsia="pt-BR"/>
              </w:rPr>
              <w:t>neg</w:t>
            </w:r>
            <w:proofErr w:type="spellEnd"/>
            <w:r w:rsidRPr="00EB464C">
              <w:rPr>
                <w:rFonts w:eastAsia="Times New Roman" w:cs="Times New Roman"/>
                <w:color w:val="000000"/>
                <w:sz w:val="20"/>
                <w:szCs w:val="20"/>
                <w:lang w:eastAsia="pt-BR"/>
              </w:rPr>
              <w:t xml:space="preserve"> RAC</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-769.011 **</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r>
      <w:tr w:rsidR="006052A9" w:rsidRPr="00EB464C" w:rsidTr="00A43510">
        <w:trPr>
          <w:cantSplit/>
          <w:trHeight w:val="238"/>
        </w:trPr>
        <w:tc>
          <w:tcPr>
            <w:tcW w:w="921" w:type="pct"/>
            <w:tcBorders>
              <w:right w:val="dotted" w:sz="4" w:space="0" w:color="auto"/>
            </w:tcBorders>
            <w:shd w:val="clear" w:color="auto" w:fill="auto"/>
            <w:noWrap/>
            <w:vAlign w:val="center"/>
          </w:tcPr>
          <w:p w:rsidR="006052A9" w:rsidRPr="00EB464C" w:rsidRDefault="006052A9" w:rsidP="00B723BB">
            <w:pPr>
              <w:rPr>
                <w:rFonts w:eastAsia="Times New Roman" w:cs="Times New Roman"/>
                <w:color w:val="000000"/>
                <w:sz w:val="20"/>
                <w:szCs w:val="20"/>
                <w:lang w:eastAsia="pt-BR"/>
              </w:rPr>
            </w:pPr>
            <w:r w:rsidRPr="00EB464C">
              <w:rPr>
                <w:rFonts w:eastAsia="Times New Roman" w:cs="Times New Roman"/>
                <w:color w:val="000000"/>
                <w:sz w:val="20"/>
                <w:szCs w:val="20"/>
                <w:lang w:eastAsia="pt-BR"/>
              </w:rPr>
              <w:t xml:space="preserve">D </w:t>
            </w:r>
            <w:proofErr w:type="spellStart"/>
            <w:r w:rsidRPr="00EB464C">
              <w:rPr>
                <w:rFonts w:eastAsia="Times New Roman" w:cs="Times New Roman"/>
                <w:color w:val="000000"/>
                <w:sz w:val="20"/>
                <w:szCs w:val="20"/>
                <w:lang w:eastAsia="pt-BR"/>
              </w:rPr>
              <w:t>neg</w:t>
            </w:r>
            <w:proofErr w:type="spellEnd"/>
            <w:r w:rsidRPr="00EB464C">
              <w:rPr>
                <w:rFonts w:eastAsia="Times New Roman" w:cs="Times New Roman"/>
                <w:color w:val="000000"/>
                <w:sz w:val="20"/>
                <w:szCs w:val="20"/>
                <w:lang w:eastAsia="pt-BR"/>
              </w:rPr>
              <w:t xml:space="preserve"> ORA</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-522.119</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r>
      <w:tr w:rsidR="006052A9" w:rsidRPr="00EB464C" w:rsidTr="00A43510">
        <w:trPr>
          <w:cantSplit/>
          <w:trHeight w:val="238"/>
        </w:trPr>
        <w:tc>
          <w:tcPr>
            <w:tcW w:w="921" w:type="pct"/>
            <w:tcBorders>
              <w:right w:val="dotted" w:sz="4" w:space="0" w:color="auto"/>
            </w:tcBorders>
            <w:shd w:val="clear" w:color="auto" w:fill="auto"/>
            <w:noWrap/>
            <w:vAlign w:val="center"/>
          </w:tcPr>
          <w:p w:rsidR="006052A9" w:rsidRPr="00EB464C" w:rsidRDefault="006052A9" w:rsidP="00B723BB">
            <w:pPr>
              <w:rPr>
                <w:rFonts w:eastAsia="Times New Roman" w:cs="Times New Roman"/>
                <w:color w:val="000000"/>
                <w:sz w:val="20"/>
                <w:szCs w:val="20"/>
                <w:lang w:eastAsia="pt-BR"/>
              </w:rPr>
            </w:pPr>
            <w:r w:rsidRPr="00EB464C">
              <w:rPr>
                <w:rFonts w:eastAsia="Times New Roman" w:cs="Times New Roman"/>
                <w:color w:val="000000"/>
                <w:sz w:val="20"/>
                <w:szCs w:val="20"/>
                <w:lang w:eastAsia="pt-BR"/>
              </w:rPr>
              <w:t xml:space="preserve">D </w:t>
            </w:r>
            <w:proofErr w:type="spellStart"/>
            <w:r w:rsidRPr="00EB464C">
              <w:rPr>
                <w:rFonts w:eastAsia="Times New Roman" w:cs="Times New Roman"/>
                <w:color w:val="000000"/>
                <w:sz w:val="20"/>
                <w:szCs w:val="20"/>
                <w:lang w:eastAsia="pt-BR"/>
              </w:rPr>
              <w:t>neg</w:t>
            </w:r>
            <w:proofErr w:type="spellEnd"/>
            <w:r w:rsidRPr="00EB464C">
              <w:rPr>
                <w:rFonts w:eastAsia="Times New Roman" w:cs="Times New Roman"/>
                <w:color w:val="000000"/>
                <w:sz w:val="20"/>
                <w:szCs w:val="20"/>
                <w:lang w:eastAsia="pt-BR"/>
              </w:rPr>
              <w:t xml:space="preserve"> </w:t>
            </w:r>
            <w:r w:rsidR="000A71C9" w:rsidRPr="00EB464C">
              <w:rPr>
                <w:rFonts w:eastAsia="Times New Roman" w:cs="Times New Roman"/>
                <w:color w:val="000000"/>
                <w:sz w:val="20"/>
                <w:szCs w:val="20"/>
                <w:lang w:eastAsia="pt-BR"/>
              </w:rPr>
              <w:t>TVM</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-1.906.790 *</w:t>
            </w:r>
          </w:p>
        </w:tc>
        <w:tc>
          <w:tcPr>
            <w:tcW w:w="816" w:type="pct"/>
            <w:tcBorders>
              <w:lef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63.308</w:t>
            </w:r>
          </w:p>
        </w:tc>
      </w:tr>
      <w:tr w:rsidR="006052A9" w:rsidRPr="00EB464C" w:rsidTr="00A43510">
        <w:trPr>
          <w:cantSplit/>
          <w:trHeight w:val="238"/>
        </w:trPr>
        <w:tc>
          <w:tcPr>
            <w:tcW w:w="921" w:type="pct"/>
            <w:tcBorders>
              <w:right w:val="dotted" w:sz="4" w:space="0" w:color="auto"/>
            </w:tcBorders>
            <w:shd w:val="clear" w:color="auto" w:fill="auto"/>
            <w:noWrap/>
            <w:vAlign w:val="center"/>
          </w:tcPr>
          <w:p w:rsidR="006052A9" w:rsidRPr="00EB464C" w:rsidRDefault="006052A9" w:rsidP="00B723BB">
            <w:pPr>
              <w:rPr>
                <w:rFonts w:eastAsia="Times New Roman" w:cs="Times New Roman"/>
                <w:color w:val="000000"/>
                <w:sz w:val="20"/>
                <w:szCs w:val="20"/>
                <w:lang w:eastAsia="pt-BR"/>
              </w:rPr>
            </w:pPr>
            <w:r w:rsidRPr="00EB464C">
              <w:rPr>
                <w:rFonts w:eastAsia="Times New Roman" w:cs="Times New Roman"/>
                <w:color w:val="000000"/>
                <w:sz w:val="20"/>
                <w:szCs w:val="20"/>
                <w:lang w:eastAsia="pt-BR"/>
              </w:rPr>
              <w:t xml:space="preserve">D </w:t>
            </w:r>
            <w:proofErr w:type="spellStart"/>
            <w:r w:rsidRPr="00EB464C">
              <w:rPr>
                <w:rFonts w:eastAsia="Times New Roman" w:cs="Times New Roman"/>
                <w:color w:val="000000"/>
                <w:sz w:val="20"/>
                <w:szCs w:val="20"/>
                <w:lang w:eastAsia="pt-BR"/>
              </w:rPr>
              <w:t>neg</w:t>
            </w:r>
            <w:proofErr w:type="spellEnd"/>
            <w:r w:rsidRPr="00EB464C">
              <w:rPr>
                <w:rFonts w:eastAsia="Times New Roman" w:cs="Times New Roman"/>
                <w:color w:val="000000"/>
                <w:sz w:val="20"/>
                <w:szCs w:val="20"/>
                <w:lang w:eastAsia="pt-BR"/>
              </w:rPr>
              <w:t xml:space="preserve"> NVM</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-932.144 **</w:t>
            </w:r>
          </w:p>
        </w:tc>
        <w:tc>
          <w:tcPr>
            <w:tcW w:w="816" w:type="pct"/>
            <w:tcBorders>
              <w:lef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r>
      <w:tr w:rsidR="006052A9" w:rsidRPr="00EB464C" w:rsidTr="00A43510">
        <w:trPr>
          <w:cantSplit/>
          <w:trHeight w:val="238"/>
        </w:trPr>
        <w:tc>
          <w:tcPr>
            <w:tcW w:w="921" w:type="pct"/>
            <w:tcBorders>
              <w:right w:val="dotted" w:sz="4" w:space="0" w:color="auto"/>
            </w:tcBorders>
            <w:shd w:val="clear" w:color="auto" w:fill="auto"/>
            <w:noWrap/>
            <w:vAlign w:val="center"/>
          </w:tcPr>
          <w:p w:rsidR="006052A9" w:rsidRPr="00EB464C" w:rsidRDefault="006052A9" w:rsidP="00B723BB">
            <w:pPr>
              <w:rPr>
                <w:rFonts w:eastAsia="Times New Roman" w:cs="Times New Roman"/>
                <w:color w:val="000000"/>
                <w:sz w:val="20"/>
                <w:szCs w:val="20"/>
                <w:lang w:eastAsia="pt-BR"/>
              </w:rPr>
            </w:pPr>
            <w:r w:rsidRPr="00EB464C">
              <w:rPr>
                <w:rFonts w:eastAsia="Times New Roman" w:cs="Times New Roman"/>
                <w:color w:val="000000"/>
                <w:sz w:val="20"/>
                <w:szCs w:val="20"/>
                <w:lang w:eastAsia="pt-BR"/>
              </w:rPr>
              <w:t xml:space="preserve">D </w:t>
            </w:r>
            <w:proofErr w:type="spellStart"/>
            <w:r w:rsidRPr="00EB464C">
              <w:rPr>
                <w:rFonts w:eastAsia="Times New Roman" w:cs="Times New Roman"/>
                <w:color w:val="000000"/>
                <w:sz w:val="20"/>
                <w:szCs w:val="20"/>
                <w:lang w:eastAsia="pt-BR"/>
              </w:rPr>
              <w:t>neg</w:t>
            </w:r>
            <w:proofErr w:type="spellEnd"/>
            <w:r w:rsidRPr="00EB464C">
              <w:rPr>
                <w:rFonts w:eastAsia="Times New Roman" w:cs="Times New Roman"/>
                <w:color w:val="000000"/>
                <w:sz w:val="20"/>
                <w:szCs w:val="20"/>
                <w:lang w:eastAsia="pt-BR"/>
              </w:rPr>
              <w:t xml:space="preserve"> </w:t>
            </w:r>
            <w:r w:rsidR="00A43510" w:rsidRPr="00EB464C">
              <w:rPr>
                <w:rFonts w:eastAsia="Times New Roman" w:cs="Times New Roman"/>
                <w:color w:val="000000"/>
                <w:sz w:val="20"/>
                <w:szCs w:val="20"/>
                <w:lang w:eastAsia="pt-BR"/>
              </w:rPr>
              <w:t>COM</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-1.665.910</w:t>
            </w:r>
          </w:p>
        </w:tc>
      </w:tr>
      <w:tr w:rsidR="006052A9" w:rsidRPr="00EB464C" w:rsidTr="00A43510">
        <w:trPr>
          <w:cantSplit/>
          <w:trHeight w:val="238"/>
        </w:trPr>
        <w:tc>
          <w:tcPr>
            <w:tcW w:w="921" w:type="pct"/>
            <w:tcBorders>
              <w:right w:val="dotted" w:sz="4" w:space="0" w:color="auto"/>
            </w:tcBorders>
            <w:shd w:val="clear" w:color="auto" w:fill="auto"/>
            <w:noWrap/>
            <w:vAlign w:val="center"/>
          </w:tcPr>
          <w:p w:rsidR="006052A9" w:rsidRPr="00EB464C" w:rsidRDefault="006052A9" w:rsidP="00B723BB">
            <w:pPr>
              <w:rPr>
                <w:rFonts w:eastAsia="Times New Roman" w:cs="Times New Roman"/>
                <w:color w:val="000000"/>
                <w:sz w:val="20"/>
                <w:szCs w:val="20"/>
                <w:lang w:eastAsia="pt-BR"/>
              </w:rPr>
            </w:pPr>
            <w:r w:rsidRPr="00EB464C">
              <w:rPr>
                <w:rFonts w:eastAsia="Times New Roman" w:cs="Times New Roman"/>
                <w:color w:val="000000"/>
                <w:sz w:val="20"/>
                <w:szCs w:val="20"/>
                <w:lang w:eastAsia="pt-BR"/>
              </w:rPr>
              <w:t xml:space="preserve">D </w:t>
            </w:r>
            <w:proofErr w:type="spellStart"/>
            <w:r w:rsidRPr="00EB464C">
              <w:rPr>
                <w:rFonts w:eastAsia="Times New Roman" w:cs="Times New Roman"/>
                <w:color w:val="000000"/>
                <w:sz w:val="20"/>
                <w:szCs w:val="20"/>
                <w:lang w:eastAsia="pt-BR"/>
              </w:rPr>
              <w:t>neg</w:t>
            </w:r>
            <w:proofErr w:type="spellEnd"/>
            <w:r w:rsidRPr="00EB464C">
              <w:rPr>
                <w:rFonts w:eastAsia="Times New Roman" w:cs="Times New Roman"/>
                <w:color w:val="000000"/>
                <w:sz w:val="20"/>
                <w:szCs w:val="20"/>
                <w:lang w:eastAsia="pt-BR"/>
              </w:rPr>
              <w:t xml:space="preserve"> PEN</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-6.914</w:t>
            </w:r>
          </w:p>
        </w:tc>
      </w:tr>
      <w:tr w:rsidR="006052A9" w:rsidRPr="00EB464C" w:rsidTr="00A43510">
        <w:trPr>
          <w:cantSplit/>
          <w:trHeight w:val="238"/>
        </w:trPr>
        <w:tc>
          <w:tcPr>
            <w:tcW w:w="921" w:type="pct"/>
            <w:tcBorders>
              <w:right w:val="dotted" w:sz="4" w:space="0" w:color="auto"/>
            </w:tcBorders>
            <w:shd w:val="clear" w:color="auto" w:fill="auto"/>
            <w:noWrap/>
            <w:vAlign w:val="center"/>
          </w:tcPr>
          <w:p w:rsidR="006052A9" w:rsidRPr="00EB464C" w:rsidRDefault="006052A9" w:rsidP="00B723BB">
            <w:pPr>
              <w:rPr>
                <w:rFonts w:eastAsia="Times New Roman" w:cs="Times New Roman"/>
                <w:color w:val="000000"/>
                <w:sz w:val="20"/>
                <w:szCs w:val="20"/>
                <w:lang w:eastAsia="pt-BR"/>
              </w:rPr>
            </w:pPr>
            <w:r w:rsidRPr="00EB464C">
              <w:rPr>
                <w:rFonts w:eastAsia="Times New Roman" w:cs="Times New Roman"/>
                <w:color w:val="000000"/>
                <w:sz w:val="20"/>
                <w:szCs w:val="20"/>
                <w:lang w:eastAsia="pt-BR"/>
              </w:rPr>
              <w:t xml:space="preserve">D </w:t>
            </w:r>
            <w:proofErr w:type="spellStart"/>
            <w:r w:rsidRPr="00EB464C">
              <w:rPr>
                <w:rFonts w:eastAsia="Times New Roman" w:cs="Times New Roman"/>
                <w:color w:val="000000"/>
                <w:sz w:val="20"/>
                <w:szCs w:val="20"/>
                <w:lang w:eastAsia="pt-BR"/>
              </w:rPr>
              <w:t>neg</w:t>
            </w:r>
            <w:proofErr w:type="spellEnd"/>
            <w:r w:rsidRPr="00EB464C">
              <w:rPr>
                <w:rFonts w:eastAsia="Times New Roman" w:cs="Times New Roman"/>
                <w:color w:val="000000"/>
                <w:sz w:val="20"/>
                <w:szCs w:val="20"/>
                <w:lang w:eastAsia="pt-BR"/>
              </w:rPr>
              <w:t xml:space="preserve"> HED</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-234.330</w:t>
            </w:r>
          </w:p>
        </w:tc>
      </w:tr>
      <w:tr w:rsidR="006052A9" w:rsidRPr="00EB464C" w:rsidTr="00A43510">
        <w:trPr>
          <w:cantSplit/>
          <w:trHeight w:val="238"/>
        </w:trPr>
        <w:tc>
          <w:tcPr>
            <w:tcW w:w="921" w:type="pct"/>
            <w:tcBorders>
              <w:right w:val="dotted" w:sz="4" w:space="0" w:color="auto"/>
            </w:tcBorders>
            <w:shd w:val="clear" w:color="auto" w:fill="auto"/>
            <w:noWrap/>
            <w:vAlign w:val="center"/>
          </w:tcPr>
          <w:p w:rsidR="006052A9" w:rsidRPr="00EB464C" w:rsidRDefault="006052A9" w:rsidP="00B723BB">
            <w:pPr>
              <w:rPr>
                <w:rFonts w:eastAsia="Times New Roman" w:cs="Times New Roman"/>
                <w:color w:val="000000"/>
                <w:sz w:val="20"/>
                <w:szCs w:val="20"/>
                <w:lang w:eastAsia="pt-BR"/>
              </w:rPr>
            </w:pPr>
            <w:r w:rsidRPr="00EB464C">
              <w:rPr>
                <w:rFonts w:eastAsia="Times New Roman" w:cs="Times New Roman"/>
                <w:color w:val="000000"/>
                <w:sz w:val="20"/>
                <w:szCs w:val="20"/>
                <w:lang w:eastAsia="pt-BR"/>
              </w:rPr>
              <w:t xml:space="preserve">D </w:t>
            </w:r>
            <w:proofErr w:type="spellStart"/>
            <w:r w:rsidRPr="00EB464C">
              <w:rPr>
                <w:rFonts w:eastAsia="Times New Roman" w:cs="Times New Roman"/>
                <w:color w:val="000000"/>
                <w:sz w:val="20"/>
                <w:szCs w:val="20"/>
                <w:lang w:eastAsia="pt-BR"/>
              </w:rPr>
              <w:t>neg</w:t>
            </w:r>
            <w:proofErr w:type="spellEnd"/>
            <w:r w:rsidRPr="00EB464C">
              <w:rPr>
                <w:rFonts w:eastAsia="Times New Roman" w:cs="Times New Roman"/>
                <w:color w:val="000000"/>
                <w:sz w:val="20"/>
                <w:szCs w:val="20"/>
                <w:lang w:eastAsia="pt-BR"/>
              </w:rPr>
              <w:t xml:space="preserve"> </w:t>
            </w:r>
            <w:r w:rsidR="0091172D" w:rsidRPr="00EB464C">
              <w:rPr>
                <w:rFonts w:eastAsia="Times New Roman" w:cs="Times New Roman"/>
                <w:color w:val="000000"/>
                <w:sz w:val="20"/>
                <w:szCs w:val="20"/>
                <w:lang w:eastAsia="pt-BR"/>
              </w:rPr>
              <w:t>*</w:t>
            </w:r>
            <w:r w:rsidRPr="00EB464C">
              <w:rPr>
                <w:rFonts w:eastAsia="Times New Roman" w:cs="Times New Roman"/>
                <w:color w:val="000000"/>
                <w:sz w:val="20"/>
                <w:szCs w:val="20"/>
                <w:lang w:eastAsia="pt-BR"/>
              </w:rPr>
              <w:t xml:space="preserve"> LL</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-3,314 ***</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−1,854 ***</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-1,6</w:t>
            </w:r>
            <w:r w:rsidR="00555C39" w:rsidRPr="00EB464C">
              <w:rPr>
                <w:rFonts w:eastAsia="Times New Roman" w:cs="Times New Roman"/>
                <w:color w:val="000000"/>
                <w:sz w:val="20"/>
                <w:szCs w:val="20"/>
                <w:lang w:eastAsia="pt-BR"/>
              </w:rPr>
              <w:t>9</w:t>
            </w:r>
            <w:r w:rsidRPr="00EB464C">
              <w:rPr>
                <w:rFonts w:eastAsia="Times New Roman" w:cs="Times New Roman"/>
                <w:color w:val="000000"/>
                <w:sz w:val="20"/>
                <w:szCs w:val="20"/>
                <w:lang w:eastAsia="pt-BR"/>
              </w:rPr>
              <w:t>1 ***</w:t>
            </w:r>
          </w:p>
        </w:tc>
        <w:tc>
          <w:tcPr>
            <w:tcW w:w="816" w:type="pct"/>
            <w:tcBorders>
              <w:lef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-3,430 ***</w:t>
            </w:r>
          </w:p>
        </w:tc>
      </w:tr>
      <w:tr w:rsidR="006052A9" w:rsidRPr="00EB464C" w:rsidTr="00A43510">
        <w:trPr>
          <w:cantSplit/>
          <w:trHeight w:val="238"/>
        </w:trPr>
        <w:tc>
          <w:tcPr>
            <w:tcW w:w="921" w:type="pct"/>
            <w:tcBorders>
              <w:right w:val="dotted" w:sz="4" w:space="0" w:color="auto"/>
            </w:tcBorders>
            <w:shd w:val="clear" w:color="auto" w:fill="auto"/>
            <w:noWrap/>
            <w:vAlign w:val="center"/>
          </w:tcPr>
          <w:p w:rsidR="006052A9" w:rsidRPr="00EB464C" w:rsidRDefault="006052A9" w:rsidP="00B723BB">
            <w:pPr>
              <w:rPr>
                <w:rFonts w:eastAsia="Times New Roman" w:cs="Times New Roman"/>
                <w:color w:val="000000"/>
                <w:sz w:val="20"/>
                <w:szCs w:val="20"/>
                <w:lang w:eastAsia="pt-BR"/>
              </w:rPr>
            </w:pPr>
            <w:r w:rsidRPr="00EB464C">
              <w:rPr>
                <w:rFonts w:eastAsia="Times New Roman" w:cs="Times New Roman"/>
                <w:color w:val="000000"/>
                <w:sz w:val="20"/>
                <w:szCs w:val="20"/>
                <w:lang w:eastAsia="pt-BR"/>
              </w:rPr>
              <w:t xml:space="preserve">D </w:t>
            </w:r>
            <w:proofErr w:type="spellStart"/>
            <w:r w:rsidRPr="00EB464C">
              <w:rPr>
                <w:rFonts w:eastAsia="Times New Roman" w:cs="Times New Roman"/>
                <w:color w:val="000000"/>
                <w:sz w:val="20"/>
                <w:szCs w:val="20"/>
                <w:lang w:eastAsia="pt-BR"/>
              </w:rPr>
              <w:t>neg</w:t>
            </w:r>
            <w:proofErr w:type="spellEnd"/>
            <w:r w:rsidRPr="00EB464C">
              <w:rPr>
                <w:rFonts w:eastAsia="Times New Roman" w:cs="Times New Roman"/>
                <w:color w:val="000000"/>
                <w:sz w:val="20"/>
                <w:szCs w:val="20"/>
                <w:lang w:eastAsia="pt-BR"/>
              </w:rPr>
              <w:t xml:space="preserve"> </w:t>
            </w:r>
            <w:r w:rsidR="0091172D" w:rsidRPr="00EB464C">
              <w:rPr>
                <w:rFonts w:eastAsia="Times New Roman" w:cs="Times New Roman"/>
                <w:color w:val="000000"/>
                <w:sz w:val="20"/>
                <w:szCs w:val="20"/>
                <w:lang w:eastAsia="pt-BR"/>
              </w:rPr>
              <w:t>*</w:t>
            </w:r>
            <w:r w:rsidRPr="00EB464C">
              <w:rPr>
                <w:rFonts w:eastAsia="Times New Roman" w:cs="Times New Roman"/>
                <w:color w:val="000000"/>
                <w:sz w:val="20"/>
                <w:szCs w:val="20"/>
                <w:lang w:eastAsia="pt-BR"/>
              </w:rPr>
              <w:t xml:space="preserve"> RAC</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-1,156 **</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r>
      <w:tr w:rsidR="006052A9" w:rsidRPr="00EB464C" w:rsidTr="00A43510">
        <w:trPr>
          <w:cantSplit/>
          <w:trHeight w:val="238"/>
        </w:trPr>
        <w:tc>
          <w:tcPr>
            <w:tcW w:w="921" w:type="pct"/>
            <w:tcBorders>
              <w:right w:val="dotted" w:sz="4" w:space="0" w:color="auto"/>
            </w:tcBorders>
            <w:shd w:val="clear" w:color="auto" w:fill="auto"/>
            <w:noWrap/>
            <w:vAlign w:val="center"/>
          </w:tcPr>
          <w:p w:rsidR="006052A9" w:rsidRPr="00EB464C" w:rsidRDefault="006052A9" w:rsidP="00B723BB">
            <w:pPr>
              <w:rPr>
                <w:rFonts w:eastAsia="Times New Roman" w:cs="Times New Roman"/>
                <w:color w:val="000000"/>
                <w:sz w:val="20"/>
                <w:szCs w:val="20"/>
                <w:lang w:eastAsia="pt-BR"/>
              </w:rPr>
            </w:pPr>
            <w:r w:rsidRPr="00EB464C">
              <w:rPr>
                <w:rFonts w:eastAsia="Times New Roman" w:cs="Times New Roman"/>
                <w:color w:val="000000"/>
                <w:sz w:val="20"/>
                <w:szCs w:val="20"/>
                <w:lang w:eastAsia="pt-BR"/>
              </w:rPr>
              <w:t xml:space="preserve">D </w:t>
            </w:r>
            <w:proofErr w:type="spellStart"/>
            <w:r w:rsidRPr="00EB464C">
              <w:rPr>
                <w:rFonts w:eastAsia="Times New Roman" w:cs="Times New Roman"/>
                <w:color w:val="000000"/>
                <w:sz w:val="20"/>
                <w:szCs w:val="20"/>
                <w:lang w:eastAsia="pt-BR"/>
              </w:rPr>
              <w:t>neg</w:t>
            </w:r>
            <w:proofErr w:type="spellEnd"/>
            <w:r w:rsidRPr="00EB464C">
              <w:rPr>
                <w:rFonts w:eastAsia="Times New Roman" w:cs="Times New Roman"/>
                <w:color w:val="000000"/>
                <w:sz w:val="20"/>
                <w:szCs w:val="20"/>
                <w:lang w:eastAsia="pt-BR"/>
              </w:rPr>
              <w:t xml:space="preserve"> </w:t>
            </w:r>
            <w:r w:rsidR="0091172D" w:rsidRPr="00EB464C">
              <w:rPr>
                <w:rFonts w:eastAsia="Times New Roman" w:cs="Times New Roman"/>
                <w:color w:val="000000"/>
                <w:sz w:val="20"/>
                <w:szCs w:val="20"/>
                <w:lang w:eastAsia="pt-BR"/>
              </w:rPr>
              <w:t>*</w:t>
            </w:r>
            <w:r w:rsidRPr="00EB464C">
              <w:rPr>
                <w:rFonts w:eastAsia="Times New Roman" w:cs="Times New Roman"/>
                <w:color w:val="000000"/>
                <w:sz w:val="20"/>
                <w:szCs w:val="20"/>
                <w:lang w:eastAsia="pt-BR"/>
              </w:rPr>
              <w:t xml:space="preserve"> ORA</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−10,394 **</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r>
      <w:tr w:rsidR="006052A9" w:rsidRPr="00EB464C" w:rsidTr="00A43510">
        <w:trPr>
          <w:cantSplit/>
          <w:trHeight w:val="238"/>
        </w:trPr>
        <w:tc>
          <w:tcPr>
            <w:tcW w:w="921" w:type="pct"/>
            <w:tcBorders>
              <w:right w:val="dotted" w:sz="4" w:space="0" w:color="auto"/>
            </w:tcBorders>
            <w:shd w:val="clear" w:color="auto" w:fill="auto"/>
            <w:noWrap/>
            <w:vAlign w:val="center"/>
            <w:hideMark/>
          </w:tcPr>
          <w:p w:rsidR="006052A9" w:rsidRPr="00EB464C" w:rsidRDefault="006052A9" w:rsidP="00B723BB">
            <w:pPr>
              <w:rPr>
                <w:rFonts w:eastAsia="Times New Roman" w:cs="Times New Roman"/>
                <w:color w:val="000000"/>
                <w:sz w:val="20"/>
                <w:szCs w:val="20"/>
                <w:lang w:eastAsia="pt-BR"/>
              </w:rPr>
            </w:pPr>
            <w:r w:rsidRPr="00EB464C">
              <w:rPr>
                <w:rFonts w:eastAsia="Times New Roman" w:cs="Times New Roman"/>
                <w:color w:val="000000"/>
                <w:sz w:val="20"/>
                <w:szCs w:val="20"/>
                <w:lang w:eastAsia="pt-BR"/>
              </w:rPr>
              <w:t xml:space="preserve">D </w:t>
            </w:r>
            <w:proofErr w:type="spellStart"/>
            <w:r w:rsidRPr="00EB464C">
              <w:rPr>
                <w:rFonts w:eastAsia="Times New Roman" w:cs="Times New Roman"/>
                <w:color w:val="000000"/>
                <w:sz w:val="20"/>
                <w:szCs w:val="20"/>
                <w:lang w:eastAsia="pt-BR"/>
              </w:rPr>
              <w:t>neg</w:t>
            </w:r>
            <w:proofErr w:type="spellEnd"/>
            <w:r w:rsidRPr="00EB464C">
              <w:rPr>
                <w:rFonts w:eastAsia="Times New Roman" w:cs="Times New Roman"/>
                <w:color w:val="000000"/>
                <w:sz w:val="20"/>
                <w:szCs w:val="20"/>
                <w:lang w:eastAsia="pt-BR"/>
              </w:rPr>
              <w:t xml:space="preserve"> </w:t>
            </w:r>
            <w:r w:rsidR="0091172D" w:rsidRPr="00EB464C">
              <w:rPr>
                <w:rFonts w:eastAsia="Times New Roman" w:cs="Times New Roman"/>
                <w:color w:val="000000"/>
                <w:sz w:val="20"/>
                <w:szCs w:val="20"/>
                <w:lang w:eastAsia="pt-BR"/>
              </w:rPr>
              <w:t>*</w:t>
            </w:r>
            <w:r w:rsidRPr="00EB464C">
              <w:rPr>
                <w:rFonts w:eastAsia="Times New Roman" w:cs="Times New Roman"/>
                <w:color w:val="000000"/>
                <w:sz w:val="20"/>
                <w:szCs w:val="20"/>
                <w:lang w:eastAsia="pt-BR"/>
              </w:rPr>
              <w:t xml:space="preserve"> </w:t>
            </w:r>
            <w:r w:rsidR="000A71C9" w:rsidRPr="00EB464C">
              <w:rPr>
                <w:rFonts w:eastAsia="Times New Roman" w:cs="Times New Roman"/>
                <w:color w:val="000000"/>
                <w:sz w:val="20"/>
                <w:szCs w:val="20"/>
                <w:lang w:eastAsia="pt-BR"/>
              </w:rPr>
              <w:t>TVM</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-6,157</w:t>
            </w:r>
          </w:p>
        </w:tc>
        <w:tc>
          <w:tcPr>
            <w:tcW w:w="816" w:type="pct"/>
            <w:tcBorders>
              <w:lef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r>
      <w:tr w:rsidR="006052A9" w:rsidRPr="00EB464C" w:rsidTr="00A43510">
        <w:trPr>
          <w:cantSplit/>
          <w:trHeight w:val="238"/>
        </w:trPr>
        <w:tc>
          <w:tcPr>
            <w:tcW w:w="921" w:type="pct"/>
            <w:tcBorders>
              <w:right w:val="dotted" w:sz="4" w:space="0" w:color="auto"/>
            </w:tcBorders>
            <w:shd w:val="clear" w:color="auto" w:fill="auto"/>
            <w:noWrap/>
            <w:vAlign w:val="center"/>
            <w:hideMark/>
          </w:tcPr>
          <w:p w:rsidR="006052A9" w:rsidRPr="00EB464C" w:rsidRDefault="006052A9" w:rsidP="00B723BB">
            <w:pPr>
              <w:rPr>
                <w:rFonts w:eastAsia="Times New Roman" w:cs="Times New Roman"/>
                <w:color w:val="000000"/>
                <w:sz w:val="20"/>
                <w:szCs w:val="20"/>
                <w:lang w:eastAsia="pt-BR"/>
              </w:rPr>
            </w:pPr>
            <w:r w:rsidRPr="00EB464C">
              <w:rPr>
                <w:rFonts w:eastAsia="Times New Roman" w:cs="Times New Roman"/>
                <w:color w:val="000000"/>
                <w:sz w:val="20"/>
                <w:szCs w:val="20"/>
                <w:lang w:eastAsia="pt-BR"/>
              </w:rPr>
              <w:t xml:space="preserve">D </w:t>
            </w:r>
            <w:proofErr w:type="spellStart"/>
            <w:r w:rsidRPr="00EB464C">
              <w:rPr>
                <w:rFonts w:eastAsia="Times New Roman" w:cs="Times New Roman"/>
                <w:color w:val="000000"/>
                <w:sz w:val="20"/>
                <w:szCs w:val="20"/>
                <w:lang w:eastAsia="pt-BR"/>
              </w:rPr>
              <w:t>neg</w:t>
            </w:r>
            <w:proofErr w:type="spellEnd"/>
            <w:r w:rsidRPr="00EB464C">
              <w:rPr>
                <w:rFonts w:eastAsia="Times New Roman" w:cs="Times New Roman"/>
                <w:color w:val="000000"/>
                <w:sz w:val="20"/>
                <w:szCs w:val="20"/>
                <w:lang w:eastAsia="pt-BR"/>
              </w:rPr>
              <w:t xml:space="preserve"> </w:t>
            </w:r>
            <w:r w:rsidR="0091172D" w:rsidRPr="00EB464C">
              <w:rPr>
                <w:rFonts w:eastAsia="Times New Roman" w:cs="Times New Roman"/>
                <w:color w:val="000000"/>
                <w:sz w:val="20"/>
                <w:szCs w:val="20"/>
                <w:lang w:eastAsia="pt-BR"/>
              </w:rPr>
              <w:t>*</w:t>
            </w:r>
            <w:r w:rsidRPr="00EB464C">
              <w:rPr>
                <w:rFonts w:eastAsia="Times New Roman" w:cs="Times New Roman"/>
                <w:color w:val="000000"/>
                <w:sz w:val="20"/>
                <w:szCs w:val="20"/>
                <w:lang w:eastAsia="pt-BR"/>
              </w:rPr>
              <w:t xml:space="preserve"> NVM</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-13,20 ***</w:t>
            </w:r>
          </w:p>
        </w:tc>
        <w:tc>
          <w:tcPr>
            <w:tcW w:w="816" w:type="pct"/>
            <w:tcBorders>
              <w:lef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r>
      <w:tr w:rsidR="006052A9" w:rsidRPr="00EB464C" w:rsidTr="00A43510">
        <w:trPr>
          <w:cantSplit/>
          <w:trHeight w:val="238"/>
        </w:trPr>
        <w:tc>
          <w:tcPr>
            <w:tcW w:w="921" w:type="pct"/>
            <w:tcBorders>
              <w:right w:val="dotted" w:sz="4" w:space="0" w:color="auto"/>
            </w:tcBorders>
            <w:shd w:val="clear" w:color="auto" w:fill="auto"/>
            <w:noWrap/>
            <w:vAlign w:val="center"/>
            <w:hideMark/>
          </w:tcPr>
          <w:p w:rsidR="006052A9" w:rsidRPr="00EB464C" w:rsidRDefault="006052A9" w:rsidP="00B723BB">
            <w:pPr>
              <w:rPr>
                <w:rFonts w:eastAsia="Times New Roman" w:cs="Times New Roman"/>
                <w:color w:val="000000"/>
                <w:sz w:val="20"/>
                <w:szCs w:val="20"/>
                <w:lang w:eastAsia="pt-BR"/>
              </w:rPr>
            </w:pPr>
            <w:r w:rsidRPr="00EB464C">
              <w:rPr>
                <w:rFonts w:eastAsia="Times New Roman" w:cs="Times New Roman"/>
                <w:color w:val="000000"/>
                <w:sz w:val="20"/>
                <w:szCs w:val="20"/>
                <w:lang w:eastAsia="pt-BR"/>
              </w:rPr>
              <w:t>R</w:t>
            </w:r>
            <w:r w:rsidRPr="00EB464C">
              <w:rPr>
                <w:rFonts w:eastAsia="Times New Roman" w:cs="Times New Roman"/>
                <w:color w:val="000000"/>
                <w:sz w:val="20"/>
                <w:szCs w:val="20"/>
                <w:vertAlign w:val="superscript"/>
                <w:lang w:eastAsia="pt-BR"/>
              </w:rPr>
              <w:t>2</w:t>
            </w:r>
            <w:r w:rsidRPr="00EB464C">
              <w:rPr>
                <w:rFonts w:eastAsia="Times New Roman" w:cs="Times New Roman"/>
                <w:color w:val="000000"/>
                <w:sz w:val="20"/>
                <w:szCs w:val="20"/>
                <w:lang w:eastAsia="pt-BR"/>
              </w:rPr>
              <w:t xml:space="preserve"> Aj. (528 </w:t>
            </w:r>
            <w:proofErr w:type="spellStart"/>
            <w:r w:rsidRPr="00EB464C">
              <w:rPr>
                <w:rFonts w:eastAsia="Times New Roman" w:cs="Times New Roman"/>
                <w:color w:val="000000"/>
                <w:sz w:val="20"/>
                <w:szCs w:val="20"/>
                <w:lang w:eastAsia="pt-BR"/>
              </w:rPr>
              <w:t>obser</w:t>
            </w:r>
            <w:proofErr w:type="spellEnd"/>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57,35% ***</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17,01% ***</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70,17% ***</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c>
          <w:tcPr>
            <w:tcW w:w="816" w:type="pct"/>
            <w:tcBorders>
              <w:left w:val="dotted" w:sz="4" w:space="0" w:color="auto"/>
            </w:tcBorders>
            <w:shd w:val="clear" w:color="auto" w:fill="auto"/>
            <w:noWrap/>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w:t>
            </w:r>
          </w:p>
        </w:tc>
      </w:tr>
      <w:tr w:rsidR="006052A9" w:rsidRPr="00EB464C" w:rsidTr="00A43510">
        <w:trPr>
          <w:cantSplit/>
          <w:trHeight w:val="238"/>
        </w:trPr>
        <w:tc>
          <w:tcPr>
            <w:tcW w:w="921" w:type="pct"/>
            <w:tcBorders>
              <w:right w:val="dotted" w:sz="4" w:space="0" w:color="auto"/>
            </w:tcBorders>
            <w:shd w:val="clear" w:color="auto" w:fill="auto"/>
            <w:noWrap/>
            <w:vAlign w:val="center"/>
            <w:hideMark/>
          </w:tcPr>
          <w:p w:rsidR="006052A9" w:rsidRPr="00EB464C" w:rsidRDefault="006052A9" w:rsidP="00B723BB">
            <w:pPr>
              <w:rPr>
                <w:rFonts w:eastAsia="Times New Roman" w:cs="Times New Roman"/>
                <w:color w:val="000000"/>
                <w:sz w:val="20"/>
                <w:szCs w:val="20"/>
                <w:lang w:eastAsia="pt-BR"/>
              </w:rPr>
            </w:pPr>
            <w:r w:rsidRPr="00EB464C">
              <w:rPr>
                <w:rFonts w:eastAsia="Times New Roman" w:cs="Times New Roman"/>
                <w:color w:val="000000"/>
                <w:sz w:val="20"/>
                <w:szCs w:val="20"/>
                <w:lang w:eastAsia="pt-BR"/>
              </w:rPr>
              <w:t>R</w:t>
            </w:r>
            <w:r w:rsidRPr="00EB464C">
              <w:rPr>
                <w:rFonts w:eastAsia="Times New Roman" w:cs="Times New Roman"/>
                <w:color w:val="000000"/>
                <w:sz w:val="20"/>
                <w:szCs w:val="20"/>
                <w:vertAlign w:val="superscript"/>
                <w:lang w:eastAsia="pt-BR"/>
              </w:rPr>
              <w:t>2</w:t>
            </w:r>
            <w:r w:rsidRPr="00EB464C">
              <w:rPr>
                <w:rFonts w:eastAsia="Times New Roman" w:cs="Times New Roman"/>
                <w:color w:val="000000"/>
                <w:sz w:val="20"/>
                <w:szCs w:val="20"/>
                <w:lang w:eastAsia="pt-BR"/>
              </w:rPr>
              <w:t xml:space="preserve"> Aj. (461 </w:t>
            </w:r>
            <w:proofErr w:type="spellStart"/>
            <w:r w:rsidRPr="00EB464C">
              <w:rPr>
                <w:rFonts w:eastAsia="Times New Roman" w:cs="Times New Roman"/>
                <w:color w:val="000000"/>
                <w:sz w:val="20"/>
                <w:szCs w:val="20"/>
                <w:lang w:eastAsia="pt-BR"/>
              </w:rPr>
              <w:t>obser</w:t>
            </w:r>
            <w:proofErr w:type="spellEnd"/>
            <w:r w:rsidRPr="00EB464C">
              <w:rPr>
                <w:rFonts w:eastAsia="Times New Roman" w:cs="Times New Roman"/>
                <w:color w:val="000000"/>
                <w:sz w:val="20"/>
                <w:szCs w:val="20"/>
                <w:lang w:eastAsia="pt-BR"/>
              </w:rPr>
              <w:t>.)</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58,38% ***</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20,19% ***</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71,18% ***</w:t>
            </w:r>
          </w:p>
        </w:tc>
        <w:tc>
          <w:tcPr>
            <w:tcW w:w="816" w:type="pct"/>
            <w:tcBorders>
              <w:left w:val="dotted" w:sz="4" w:space="0" w:color="auto"/>
              <w:right w:val="dotted" w:sz="4" w:space="0" w:color="auto"/>
            </w:tcBorders>
            <w:shd w:val="clear" w:color="auto" w:fill="auto"/>
            <w:noWrap/>
            <w:vAlign w:val="center"/>
            <w:hideMark/>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78,32% ***</w:t>
            </w:r>
          </w:p>
        </w:tc>
        <w:tc>
          <w:tcPr>
            <w:tcW w:w="816" w:type="pct"/>
            <w:tcBorders>
              <w:left w:val="dotted" w:sz="4" w:space="0" w:color="auto"/>
            </w:tcBorders>
            <w:shd w:val="clear" w:color="auto" w:fill="auto"/>
            <w:vAlign w:val="center"/>
          </w:tcPr>
          <w:p w:rsidR="006052A9" w:rsidRPr="00EB464C" w:rsidRDefault="006052A9"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59,27 ***</w:t>
            </w:r>
          </w:p>
        </w:tc>
      </w:tr>
      <w:tr w:rsidR="00DA298D" w:rsidRPr="00EB464C" w:rsidTr="008A1423">
        <w:trPr>
          <w:cantSplit/>
          <w:trHeight w:val="238"/>
        </w:trPr>
        <w:tc>
          <w:tcPr>
            <w:tcW w:w="921" w:type="pct"/>
            <w:tcBorders>
              <w:bottom w:val="single" w:sz="4" w:space="0" w:color="auto"/>
              <w:right w:val="dotted" w:sz="4" w:space="0" w:color="auto"/>
            </w:tcBorders>
            <w:shd w:val="clear" w:color="auto" w:fill="auto"/>
            <w:noWrap/>
            <w:vAlign w:val="center"/>
          </w:tcPr>
          <w:p w:rsidR="00DA298D" w:rsidRPr="00EB464C" w:rsidRDefault="00DA298D" w:rsidP="00B723BB">
            <w:pPr>
              <w:rPr>
                <w:rFonts w:eastAsia="Times New Roman" w:cs="Times New Roman"/>
                <w:color w:val="000000"/>
                <w:sz w:val="20"/>
                <w:szCs w:val="20"/>
                <w:lang w:eastAsia="pt-BR"/>
              </w:rPr>
            </w:pPr>
            <w:r w:rsidRPr="00EB464C">
              <w:rPr>
                <w:rFonts w:eastAsia="Times New Roman" w:cs="Times New Roman"/>
                <w:color w:val="000000"/>
                <w:sz w:val="20"/>
                <w:szCs w:val="20"/>
                <w:lang w:eastAsia="pt-BR"/>
              </w:rPr>
              <w:t xml:space="preserve">Critério de </w:t>
            </w:r>
            <w:proofErr w:type="spellStart"/>
            <w:r w:rsidRPr="00EB464C">
              <w:rPr>
                <w:rFonts w:eastAsia="Times New Roman" w:cs="Times New Roman"/>
                <w:color w:val="000000"/>
                <w:sz w:val="20"/>
                <w:szCs w:val="20"/>
                <w:lang w:eastAsia="pt-BR"/>
              </w:rPr>
              <w:t>Akaike</w:t>
            </w:r>
            <w:proofErr w:type="spellEnd"/>
          </w:p>
        </w:tc>
        <w:tc>
          <w:tcPr>
            <w:tcW w:w="816" w:type="pct"/>
            <w:tcBorders>
              <w:left w:val="dotted" w:sz="4" w:space="0" w:color="auto"/>
              <w:bottom w:val="single" w:sz="4" w:space="0" w:color="auto"/>
              <w:right w:val="dotted" w:sz="4" w:space="0" w:color="auto"/>
            </w:tcBorders>
            <w:shd w:val="clear" w:color="auto" w:fill="auto"/>
            <w:noWrap/>
            <w:vAlign w:val="center"/>
          </w:tcPr>
          <w:p w:rsidR="00DA298D" w:rsidRPr="00EB464C" w:rsidRDefault="00DA298D"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15.655</w:t>
            </w:r>
          </w:p>
        </w:tc>
        <w:tc>
          <w:tcPr>
            <w:tcW w:w="816" w:type="pct"/>
            <w:tcBorders>
              <w:left w:val="dotted" w:sz="4" w:space="0" w:color="auto"/>
              <w:bottom w:val="single" w:sz="4" w:space="0" w:color="auto"/>
              <w:right w:val="dotted" w:sz="4" w:space="0" w:color="auto"/>
            </w:tcBorders>
            <w:shd w:val="clear" w:color="auto" w:fill="auto"/>
            <w:noWrap/>
            <w:vAlign w:val="center"/>
          </w:tcPr>
          <w:p w:rsidR="00DA298D" w:rsidRPr="00EB464C" w:rsidRDefault="00DA298D"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15.956</w:t>
            </w:r>
          </w:p>
        </w:tc>
        <w:tc>
          <w:tcPr>
            <w:tcW w:w="816" w:type="pct"/>
            <w:tcBorders>
              <w:left w:val="dotted" w:sz="4" w:space="0" w:color="auto"/>
              <w:bottom w:val="single" w:sz="4" w:space="0" w:color="auto"/>
              <w:right w:val="dotted" w:sz="4" w:space="0" w:color="auto"/>
            </w:tcBorders>
            <w:shd w:val="clear" w:color="auto" w:fill="auto"/>
            <w:noWrap/>
            <w:vAlign w:val="center"/>
          </w:tcPr>
          <w:p w:rsidR="00DA298D" w:rsidRPr="00EB464C" w:rsidRDefault="00DA298D"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15.489</w:t>
            </w:r>
          </w:p>
        </w:tc>
        <w:tc>
          <w:tcPr>
            <w:tcW w:w="816" w:type="pct"/>
            <w:tcBorders>
              <w:left w:val="dotted" w:sz="4" w:space="0" w:color="auto"/>
              <w:bottom w:val="single" w:sz="4" w:space="0" w:color="auto"/>
              <w:right w:val="dotted" w:sz="4" w:space="0" w:color="auto"/>
            </w:tcBorders>
            <w:shd w:val="clear" w:color="auto" w:fill="auto"/>
            <w:noWrap/>
            <w:vAlign w:val="center"/>
          </w:tcPr>
          <w:p w:rsidR="00DA298D" w:rsidRPr="00EB464C" w:rsidRDefault="00DA298D"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15.361</w:t>
            </w:r>
          </w:p>
        </w:tc>
        <w:tc>
          <w:tcPr>
            <w:tcW w:w="816" w:type="pct"/>
            <w:tcBorders>
              <w:left w:val="dotted" w:sz="4" w:space="0" w:color="auto"/>
              <w:bottom w:val="single" w:sz="4" w:space="0" w:color="auto"/>
            </w:tcBorders>
            <w:shd w:val="clear" w:color="auto" w:fill="auto"/>
            <w:vAlign w:val="center"/>
          </w:tcPr>
          <w:p w:rsidR="00DA298D" w:rsidRPr="00EB464C" w:rsidRDefault="00DA298D" w:rsidP="00B723BB">
            <w:pPr>
              <w:jc w:val="center"/>
              <w:rPr>
                <w:rFonts w:eastAsia="Times New Roman" w:cs="Times New Roman"/>
                <w:color w:val="000000"/>
                <w:sz w:val="20"/>
                <w:szCs w:val="20"/>
                <w:lang w:eastAsia="pt-BR"/>
              </w:rPr>
            </w:pPr>
            <w:r w:rsidRPr="00EB464C">
              <w:rPr>
                <w:rFonts w:eastAsia="Times New Roman" w:cs="Times New Roman"/>
                <w:color w:val="000000"/>
                <w:sz w:val="20"/>
                <w:szCs w:val="20"/>
                <w:lang w:eastAsia="pt-BR"/>
              </w:rPr>
              <w:t>15.653</w:t>
            </w:r>
          </w:p>
        </w:tc>
      </w:tr>
      <w:tr w:rsidR="00A43510" w:rsidRPr="00EB464C" w:rsidTr="008A1423">
        <w:trPr>
          <w:cantSplit/>
          <w:trHeight w:val="238"/>
        </w:trPr>
        <w:tc>
          <w:tcPr>
            <w:tcW w:w="5000" w:type="pct"/>
            <w:gridSpan w:val="6"/>
            <w:tcBorders>
              <w:top w:val="single" w:sz="4" w:space="0" w:color="auto"/>
              <w:bottom w:val="single" w:sz="12" w:space="0" w:color="auto"/>
            </w:tcBorders>
            <w:shd w:val="clear" w:color="auto" w:fill="auto"/>
            <w:noWrap/>
            <w:vAlign w:val="center"/>
          </w:tcPr>
          <w:p w:rsidR="00A43510" w:rsidRPr="00EB464C" w:rsidRDefault="008A1423" w:rsidP="00B723BB">
            <w:pPr>
              <w:rPr>
                <w:rFonts w:eastAsia="Times New Roman" w:cs="Times New Roman"/>
                <w:color w:val="000000"/>
                <w:sz w:val="20"/>
                <w:szCs w:val="20"/>
                <w:lang w:eastAsia="pt-BR"/>
              </w:rPr>
            </w:pPr>
            <w:r w:rsidRPr="00EB464C">
              <w:rPr>
                <w:rFonts w:eastAsia="Times New Roman" w:cs="Times New Roman"/>
                <w:color w:val="000000"/>
                <w:sz w:val="20"/>
                <w:szCs w:val="20"/>
                <w:lang w:eastAsia="pt-BR"/>
              </w:rPr>
              <w:t>Estatisticamente significativo a: 10% (*); 5% (**); e 1% (***).</w:t>
            </w:r>
          </w:p>
        </w:tc>
      </w:tr>
    </w:tbl>
    <w:p w:rsidR="006052A9" w:rsidRPr="00EB464C" w:rsidRDefault="00B33FC1" w:rsidP="00B723BB">
      <w:pPr>
        <w:spacing w:after="120"/>
        <w:jc w:val="both"/>
        <w:rPr>
          <w:rFonts w:cs="Times New Roman"/>
          <w:sz w:val="20"/>
          <w:szCs w:val="20"/>
        </w:rPr>
      </w:pPr>
      <w:r w:rsidRPr="00EB464C">
        <w:rPr>
          <w:rFonts w:cs="Times New Roman"/>
          <w:sz w:val="20"/>
          <w:szCs w:val="20"/>
        </w:rPr>
        <w:t>Fonte: resultados da pesquisa.</w:t>
      </w:r>
    </w:p>
    <w:p w:rsidR="004C696D" w:rsidRDefault="004C696D" w:rsidP="004C696D">
      <w:pPr>
        <w:spacing w:line="360" w:lineRule="auto"/>
        <w:ind w:firstLine="708"/>
        <w:jc w:val="both"/>
        <w:rPr>
          <w:rFonts w:cs="Times New Roman"/>
          <w:szCs w:val="24"/>
        </w:rPr>
      </w:pPr>
      <w:r>
        <w:rPr>
          <w:rFonts w:cs="Times New Roman"/>
          <w:szCs w:val="24"/>
        </w:rPr>
        <w:lastRenderedPageBreak/>
        <w:t>Os Modelos 01, 02 e 03 foram estimados com 528 observações, porém nos Modelos 04 e 05 são perdidas observações devido à inconsistência de informações dos componentes individuais dos resultados abrangentes. Referem-se aos casos em que as companhias apresentaram ORA diferente</w:t>
      </w:r>
      <w:r w:rsidR="00DF17B4">
        <w:rPr>
          <w:rFonts w:cs="Times New Roman"/>
          <w:szCs w:val="24"/>
        </w:rPr>
        <w:t>s</w:t>
      </w:r>
      <w:r>
        <w:rPr>
          <w:rFonts w:cs="Times New Roman"/>
          <w:szCs w:val="24"/>
        </w:rPr>
        <w:t xml:space="preserve"> de zero, mas não divulgaram os valores dos componentes individuais. Com a finalidade de confrontar os cinco modelos igualmente, foram estimadas regressões com a mesma quantidade de observações (461), o que não alterou a interpretação dos resultados anteriormente calculados.</w:t>
      </w:r>
    </w:p>
    <w:p w:rsidR="00176524" w:rsidRDefault="00A43510" w:rsidP="00EB464C">
      <w:pPr>
        <w:spacing w:line="360" w:lineRule="auto"/>
        <w:ind w:firstLine="708"/>
        <w:jc w:val="both"/>
        <w:rPr>
          <w:rFonts w:cs="Times New Roman"/>
          <w:szCs w:val="24"/>
        </w:rPr>
      </w:pPr>
      <w:r>
        <w:rPr>
          <w:rFonts w:cs="Times New Roman"/>
          <w:szCs w:val="24"/>
        </w:rPr>
        <w:t xml:space="preserve">No </w:t>
      </w:r>
      <w:r w:rsidR="00D62A5E">
        <w:rPr>
          <w:rFonts w:cs="Times New Roman"/>
          <w:szCs w:val="24"/>
        </w:rPr>
        <w:t>m</w:t>
      </w:r>
      <w:r>
        <w:rPr>
          <w:rFonts w:cs="Times New Roman"/>
          <w:szCs w:val="24"/>
        </w:rPr>
        <w:t>odelo 01, p</w:t>
      </w:r>
      <w:r w:rsidR="004B1C70">
        <w:rPr>
          <w:rFonts w:cs="Times New Roman"/>
          <w:szCs w:val="24"/>
        </w:rPr>
        <w:t>ô</w:t>
      </w:r>
      <w:r>
        <w:rPr>
          <w:rFonts w:cs="Times New Roman"/>
          <w:szCs w:val="24"/>
        </w:rPr>
        <w:t>de-</w:t>
      </w:r>
      <w:r w:rsidR="008A1423">
        <w:rPr>
          <w:rFonts w:cs="Times New Roman"/>
          <w:szCs w:val="24"/>
        </w:rPr>
        <w:t>se verificar que as variáveis independentes foram significativas e que a constante não expressa valor diferente de zero. O lucro líquido tem poder preditivo para o fluxo de caixa futuro e o afeta positivamente</w:t>
      </w:r>
      <w:r w:rsidR="00346CC2">
        <w:rPr>
          <w:rFonts w:cs="Times New Roman"/>
          <w:szCs w:val="24"/>
        </w:rPr>
        <w:t xml:space="preserve">. Como </w:t>
      </w:r>
      <w:r w:rsidR="004B1C70">
        <w:rPr>
          <w:rFonts w:cs="Times New Roman"/>
          <w:szCs w:val="24"/>
        </w:rPr>
        <w:t>esperado</w:t>
      </w:r>
      <w:r w:rsidR="00346CC2">
        <w:rPr>
          <w:rFonts w:cs="Times New Roman"/>
          <w:szCs w:val="24"/>
        </w:rPr>
        <w:t>,</w:t>
      </w:r>
      <w:r w:rsidR="008A1423">
        <w:rPr>
          <w:rFonts w:cs="Times New Roman"/>
          <w:szCs w:val="24"/>
        </w:rPr>
        <w:t xml:space="preserve"> </w:t>
      </w:r>
      <w:r w:rsidR="004B1C70">
        <w:rPr>
          <w:rFonts w:cs="Times New Roman"/>
          <w:szCs w:val="24"/>
        </w:rPr>
        <w:t xml:space="preserve">quanto </w:t>
      </w:r>
      <w:r w:rsidR="008A1423">
        <w:rPr>
          <w:rFonts w:cs="Times New Roman"/>
          <w:szCs w:val="24"/>
        </w:rPr>
        <w:t>maior</w:t>
      </w:r>
      <w:r w:rsidR="004B1C70">
        <w:rPr>
          <w:rFonts w:cs="Times New Roman"/>
          <w:szCs w:val="24"/>
        </w:rPr>
        <w:t xml:space="preserve"> o</w:t>
      </w:r>
      <w:r w:rsidR="008A1423">
        <w:rPr>
          <w:rFonts w:cs="Times New Roman"/>
          <w:szCs w:val="24"/>
        </w:rPr>
        <w:t xml:space="preserve"> LL maior também será o </w:t>
      </w:r>
      <w:proofErr w:type="gramStart"/>
      <w:r w:rsidR="008A1423">
        <w:rPr>
          <w:rFonts w:cs="Times New Roman"/>
          <w:szCs w:val="24"/>
        </w:rPr>
        <w:t>FCO</w:t>
      </w:r>
      <w:r w:rsidR="008A1423" w:rsidRPr="002102E8">
        <w:rPr>
          <w:rFonts w:cs="Times New Roman"/>
          <w:szCs w:val="24"/>
          <w:vertAlign w:val="subscript"/>
        </w:rPr>
        <w:t>t</w:t>
      </w:r>
      <w:proofErr w:type="gramEnd"/>
      <w:r w:rsidR="008A1423" w:rsidRPr="002102E8">
        <w:rPr>
          <w:rFonts w:cs="Times New Roman"/>
          <w:szCs w:val="24"/>
          <w:vertAlign w:val="subscript"/>
        </w:rPr>
        <w:t>+1</w:t>
      </w:r>
      <w:r w:rsidR="008A1423">
        <w:rPr>
          <w:rFonts w:cs="Times New Roman"/>
          <w:szCs w:val="24"/>
        </w:rPr>
        <w:t xml:space="preserve">. </w:t>
      </w:r>
      <w:r w:rsidR="00176524">
        <w:rPr>
          <w:rFonts w:cs="Times New Roman"/>
          <w:szCs w:val="24"/>
        </w:rPr>
        <w:t>Essa interpretação é válida para todas as regressões em que o lucro líquido esteve presente, pois o coeficiente foi sempre positivo e significativo.</w:t>
      </w:r>
    </w:p>
    <w:p w:rsidR="00874596" w:rsidRDefault="00BD2BDD" w:rsidP="00EB464C">
      <w:pPr>
        <w:spacing w:line="360" w:lineRule="auto"/>
        <w:ind w:firstLine="708"/>
        <w:jc w:val="both"/>
        <w:rPr>
          <w:rFonts w:cs="Times New Roman"/>
          <w:szCs w:val="24"/>
        </w:rPr>
      </w:pPr>
      <w:r>
        <w:rPr>
          <w:rFonts w:cs="Times New Roman"/>
          <w:szCs w:val="24"/>
        </w:rPr>
        <w:t xml:space="preserve">Nas observações em que as empresas reportaram prejuízos, indicado pela variável </w:t>
      </w:r>
      <w:proofErr w:type="spellStart"/>
      <w:r w:rsidRPr="00BD2BDD">
        <w:rPr>
          <w:rFonts w:cs="Times New Roman"/>
          <w:i/>
          <w:szCs w:val="24"/>
        </w:rPr>
        <w:t>dummy</w:t>
      </w:r>
      <w:proofErr w:type="spellEnd"/>
      <w:r w:rsidR="00176524">
        <w:rPr>
          <w:rFonts w:cs="Times New Roman"/>
          <w:szCs w:val="24"/>
        </w:rPr>
        <w:t xml:space="preserve"> e pela interação de</w:t>
      </w:r>
      <w:r w:rsidR="00452473">
        <w:rPr>
          <w:rFonts w:cs="Times New Roman"/>
          <w:szCs w:val="24"/>
        </w:rPr>
        <w:t>la</w:t>
      </w:r>
      <w:r w:rsidR="00176524">
        <w:rPr>
          <w:rFonts w:cs="Times New Roman"/>
          <w:szCs w:val="24"/>
        </w:rPr>
        <w:t xml:space="preserve"> com o LL, </w:t>
      </w:r>
      <w:r w:rsidR="00452473">
        <w:rPr>
          <w:rFonts w:cs="Times New Roman"/>
          <w:szCs w:val="24"/>
        </w:rPr>
        <w:t xml:space="preserve">tem-se como objetivo verificar deslocamento do intercepto e da inclinação. Nos </w:t>
      </w:r>
      <w:r w:rsidR="00D62A5E">
        <w:rPr>
          <w:rFonts w:cs="Times New Roman"/>
          <w:szCs w:val="24"/>
        </w:rPr>
        <w:t>m</w:t>
      </w:r>
      <w:r w:rsidR="00452473">
        <w:rPr>
          <w:rFonts w:cs="Times New Roman"/>
          <w:szCs w:val="24"/>
        </w:rPr>
        <w:t>odelos 01, 03 e 05</w:t>
      </w:r>
      <w:r w:rsidR="00555C39">
        <w:rPr>
          <w:rFonts w:cs="Times New Roman"/>
          <w:szCs w:val="24"/>
        </w:rPr>
        <w:t xml:space="preserve"> verifica-se que a constante desloca-se</w:t>
      </w:r>
      <w:r w:rsidR="00452473">
        <w:rPr>
          <w:rFonts w:cs="Times New Roman"/>
          <w:szCs w:val="24"/>
        </w:rPr>
        <w:t xml:space="preserve"> quando há prejuízo</w:t>
      </w:r>
      <w:r w:rsidR="00555C39">
        <w:rPr>
          <w:rFonts w:cs="Times New Roman"/>
          <w:szCs w:val="24"/>
        </w:rPr>
        <w:t xml:space="preserve">, ou seja, valor médio do </w:t>
      </w:r>
      <w:proofErr w:type="gramStart"/>
      <w:r w:rsidR="00555C39">
        <w:rPr>
          <w:rFonts w:cs="Times New Roman"/>
          <w:szCs w:val="24"/>
        </w:rPr>
        <w:t>FCO</w:t>
      </w:r>
      <w:r w:rsidR="00555C39" w:rsidRPr="00DD1268">
        <w:rPr>
          <w:rFonts w:cs="Times New Roman"/>
          <w:szCs w:val="24"/>
          <w:vertAlign w:val="subscript"/>
        </w:rPr>
        <w:t>t</w:t>
      </w:r>
      <w:proofErr w:type="gramEnd"/>
      <w:r w:rsidR="00555C39" w:rsidRPr="00DD1268">
        <w:rPr>
          <w:rFonts w:cs="Times New Roman"/>
          <w:szCs w:val="24"/>
          <w:vertAlign w:val="subscript"/>
        </w:rPr>
        <w:t>+1</w:t>
      </w:r>
      <w:r w:rsidR="00555C39">
        <w:rPr>
          <w:rFonts w:cs="Times New Roman"/>
          <w:szCs w:val="24"/>
        </w:rPr>
        <w:t xml:space="preserve"> será maior para essas observações. Ainda para os casos em que se verifica pre</w:t>
      </w:r>
      <w:r w:rsidR="00303948">
        <w:rPr>
          <w:rFonts w:cs="Times New Roman"/>
          <w:szCs w:val="24"/>
        </w:rPr>
        <w:t>juízo</w:t>
      </w:r>
      <w:r w:rsidR="00555C39">
        <w:rPr>
          <w:rFonts w:cs="Times New Roman"/>
          <w:szCs w:val="24"/>
        </w:rPr>
        <w:t>, o coeficiente do LL será reduzido e, dessa maneira, altera</w:t>
      </w:r>
      <w:r w:rsidR="00BB29A2">
        <w:rPr>
          <w:rFonts w:cs="Times New Roman"/>
          <w:szCs w:val="24"/>
        </w:rPr>
        <w:t>-se</w:t>
      </w:r>
      <w:r w:rsidR="00555C39">
        <w:rPr>
          <w:rFonts w:cs="Times New Roman"/>
          <w:szCs w:val="24"/>
        </w:rPr>
        <w:t xml:space="preserve"> de positivo para negativo em todos os modelos em que consta a interação.</w:t>
      </w:r>
      <w:r w:rsidR="00BB29A2">
        <w:rPr>
          <w:rFonts w:cs="Times New Roman"/>
          <w:szCs w:val="24"/>
        </w:rPr>
        <w:t xml:space="preserve"> </w:t>
      </w:r>
      <w:r w:rsidR="00303948">
        <w:rPr>
          <w:rFonts w:cs="Times New Roman"/>
          <w:szCs w:val="24"/>
        </w:rPr>
        <w:t>Esse resultado intuitivo indica que p</w:t>
      </w:r>
      <w:r w:rsidR="00BB29A2">
        <w:rPr>
          <w:rFonts w:cs="Times New Roman"/>
          <w:szCs w:val="24"/>
        </w:rPr>
        <w:t>ara tais companhias o caixa operacional previsto será menor</w:t>
      </w:r>
      <w:r w:rsidR="00303948">
        <w:rPr>
          <w:rFonts w:cs="Times New Roman"/>
          <w:szCs w:val="24"/>
        </w:rPr>
        <w:t xml:space="preserve"> dado o tamanho do prejuízo anterior.</w:t>
      </w:r>
    </w:p>
    <w:p w:rsidR="00B927EB" w:rsidRPr="003542FC" w:rsidRDefault="00E45BFD" w:rsidP="00EB464C">
      <w:pPr>
        <w:spacing w:line="360" w:lineRule="auto"/>
        <w:jc w:val="both"/>
        <w:rPr>
          <w:rFonts w:cs="Times New Roman"/>
          <w:szCs w:val="24"/>
        </w:rPr>
      </w:pPr>
      <w:r>
        <w:rPr>
          <w:rFonts w:cs="Times New Roman"/>
          <w:szCs w:val="24"/>
        </w:rPr>
        <w:tab/>
      </w:r>
      <w:r w:rsidRPr="003542FC">
        <w:rPr>
          <w:rFonts w:cs="Times New Roman"/>
          <w:szCs w:val="24"/>
        </w:rPr>
        <w:t xml:space="preserve">A apreciação do resultado abrangente consolidado, que é obtido mediante a soma do lucro líquido com os outros resultados abrangentes, é </w:t>
      </w:r>
      <w:r w:rsidR="00346CC2" w:rsidRPr="003542FC">
        <w:rPr>
          <w:rFonts w:cs="Times New Roman"/>
          <w:szCs w:val="24"/>
        </w:rPr>
        <w:t>expost</w:t>
      </w:r>
      <w:r w:rsidR="00346CC2">
        <w:rPr>
          <w:rFonts w:cs="Times New Roman"/>
          <w:szCs w:val="24"/>
        </w:rPr>
        <w:t>a</w:t>
      </w:r>
      <w:r w:rsidR="00346CC2" w:rsidRPr="003542FC">
        <w:rPr>
          <w:rFonts w:cs="Times New Roman"/>
          <w:szCs w:val="24"/>
        </w:rPr>
        <w:t xml:space="preserve"> </w:t>
      </w:r>
      <w:r w:rsidRPr="003542FC">
        <w:rPr>
          <w:rFonts w:cs="Times New Roman"/>
          <w:szCs w:val="24"/>
        </w:rPr>
        <w:t xml:space="preserve">no </w:t>
      </w:r>
      <w:r w:rsidR="00C058D9">
        <w:rPr>
          <w:rFonts w:cs="Times New Roman"/>
          <w:szCs w:val="24"/>
        </w:rPr>
        <w:t>M</w:t>
      </w:r>
      <w:r w:rsidR="00C058D9" w:rsidRPr="003542FC">
        <w:rPr>
          <w:rFonts w:cs="Times New Roman"/>
          <w:szCs w:val="24"/>
        </w:rPr>
        <w:t xml:space="preserve">odelo </w:t>
      </w:r>
      <w:r w:rsidRPr="003542FC">
        <w:rPr>
          <w:rFonts w:cs="Times New Roman"/>
          <w:szCs w:val="24"/>
        </w:rPr>
        <w:t xml:space="preserve">02. Todas as variáveis se mostraram significativas e podem ser interpretadas da mesma forma que na </w:t>
      </w:r>
      <w:r w:rsidR="005E5FB9" w:rsidRPr="003542FC">
        <w:rPr>
          <w:rFonts w:cs="Times New Roman"/>
          <w:szCs w:val="24"/>
        </w:rPr>
        <w:t>regressão</w:t>
      </w:r>
      <w:r w:rsidRPr="003542FC">
        <w:rPr>
          <w:rFonts w:cs="Times New Roman"/>
          <w:szCs w:val="24"/>
        </w:rPr>
        <w:t xml:space="preserve"> com o </w:t>
      </w:r>
      <w:r w:rsidR="005E5FB9" w:rsidRPr="003542FC">
        <w:rPr>
          <w:rFonts w:cs="Times New Roman"/>
          <w:szCs w:val="24"/>
        </w:rPr>
        <w:t xml:space="preserve">LL. Verifica-se, porém, uma perda expressiva da capacidade preditiva com R² ajustado de apenas 17%. Isso pode indicar que </w:t>
      </w:r>
      <w:r w:rsidR="00D62A5E" w:rsidRPr="003542FC">
        <w:rPr>
          <w:rFonts w:cs="Times New Roman"/>
          <w:szCs w:val="24"/>
        </w:rPr>
        <w:t>uma avaliação fundamentada apenas no</w:t>
      </w:r>
      <w:r w:rsidR="005E5FB9" w:rsidRPr="003542FC">
        <w:rPr>
          <w:rFonts w:cs="Times New Roman"/>
          <w:szCs w:val="24"/>
        </w:rPr>
        <w:t xml:space="preserve"> resultado apurado com base no valor justo, da forma como calculado atualmente, não </w:t>
      </w:r>
      <w:r w:rsidR="00D62A5E" w:rsidRPr="003542FC">
        <w:rPr>
          <w:rFonts w:cs="Times New Roman"/>
          <w:szCs w:val="24"/>
        </w:rPr>
        <w:t>seria</w:t>
      </w:r>
      <w:r w:rsidR="005E5FB9" w:rsidRPr="003542FC">
        <w:rPr>
          <w:rFonts w:cs="Times New Roman"/>
          <w:szCs w:val="24"/>
        </w:rPr>
        <w:t xml:space="preserve"> incremental para previsão de fluxos de caixa futuros.</w:t>
      </w:r>
    </w:p>
    <w:p w:rsidR="004C1E47" w:rsidRDefault="00D62A5E" w:rsidP="00EB464C">
      <w:pPr>
        <w:spacing w:line="360" w:lineRule="auto"/>
        <w:ind w:firstLine="708"/>
        <w:jc w:val="both"/>
        <w:rPr>
          <w:rFonts w:cs="Times New Roman"/>
          <w:szCs w:val="24"/>
        </w:rPr>
      </w:pPr>
      <w:r>
        <w:rPr>
          <w:rFonts w:cs="Times New Roman"/>
          <w:szCs w:val="24"/>
        </w:rPr>
        <w:t xml:space="preserve">Todavia, nas regressões </w:t>
      </w:r>
      <w:r w:rsidR="005913B4">
        <w:rPr>
          <w:rFonts w:cs="Times New Roman"/>
          <w:szCs w:val="24"/>
        </w:rPr>
        <w:t>do</w:t>
      </w:r>
      <w:r>
        <w:rPr>
          <w:rFonts w:cs="Times New Roman"/>
          <w:szCs w:val="24"/>
        </w:rPr>
        <w:t xml:space="preserve">s modelos 03 e 04, verifica-se um acréscimo na capacidade preditiva do </w:t>
      </w:r>
      <w:proofErr w:type="gramStart"/>
      <w:r>
        <w:rPr>
          <w:rFonts w:cs="Times New Roman"/>
          <w:szCs w:val="24"/>
        </w:rPr>
        <w:t>FCO</w:t>
      </w:r>
      <w:r w:rsidRPr="00BD5387">
        <w:rPr>
          <w:rFonts w:cs="Times New Roman"/>
          <w:szCs w:val="24"/>
          <w:vertAlign w:val="subscript"/>
        </w:rPr>
        <w:t>t</w:t>
      </w:r>
      <w:proofErr w:type="gramEnd"/>
      <w:r w:rsidRPr="00BD5387">
        <w:rPr>
          <w:rFonts w:cs="Times New Roman"/>
          <w:szCs w:val="24"/>
          <w:vertAlign w:val="subscript"/>
        </w:rPr>
        <w:t>+1</w:t>
      </w:r>
      <w:r>
        <w:rPr>
          <w:rFonts w:cs="Times New Roman"/>
          <w:szCs w:val="24"/>
        </w:rPr>
        <w:t xml:space="preserve">, dada a manutenção do LL e a inclusão dos outros resultados abrangentes, os ajustes </w:t>
      </w:r>
      <w:r w:rsidR="005913B4">
        <w:rPr>
          <w:rFonts w:cs="Times New Roman"/>
          <w:szCs w:val="24"/>
        </w:rPr>
        <w:t>patrimoniais que não constam n</w:t>
      </w:r>
      <w:r>
        <w:rPr>
          <w:rFonts w:cs="Times New Roman"/>
          <w:szCs w:val="24"/>
        </w:rPr>
        <w:t xml:space="preserve">o lucro líquido. </w:t>
      </w:r>
      <w:r w:rsidR="005913B4">
        <w:rPr>
          <w:rFonts w:cs="Times New Roman"/>
          <w:szCs w:val="24"/>
        </w:rPr>
        <w:t xml:space="preserve">Os dois critérios comparativos testados tornam-se melhores, com R² ajustado de 0,71 e 0,78 e critério de </w:t>
      </w:r>
      <w:proofErr w:type="spellStart"/>
      <w:r w:rsidR="005913B4">
        <w:rPr>
          <w:rFonts w:cs="Times New Roman"/>
          <w:szCs w:val="24"/>
        </w:rPr>
        <w:t>Akaike</w:t>
      </w:r>
      <w:proofErr w:type="spellEnd"/>
      <w:r w:rsidR="005913B4">
        <w:rPr>
          <w:rFonts w:cs="Times New Roman"/>
          <w:szCs w:val="24"/>
        </w:rPr>
        <w:t xml:space="preserve"> de 15.489 e 15.361, respectivamente. Na terceira regressão estimada</w:t>
      </w:r>
      <w:r w:rsidR="0091172D">
        <w:rPr>
          <w:rFonts w:cs="Times New Roman"/>
          <w:szCs w:val="24"/>
        </w:rPr>
        <w:t xml:space="preserve">, bem como </w:t>
      </w:r>
      <w:r w:rsidR="004C1E47">
        <w:rPr>
          <w:rFonts w:cs="Times New Roman"/>
          <w:szCs w:val="24"/>
        </w:rPr>
        <w:t>as variáveis relacionadas ao</w:t>
      </w:r>
      <w:r w:rsidR="0091172D">
        <w:rPr>
          <w:rFonts w:cs="Times New Roman"/>
          <w:szCs w:val="24"/>
        </w:rPr>
        <w:t xml:space="preserve"> LL, os ORA e a </w:t>
      </w:r>
      <w:proofErr w:type="spellStart"/>
      <w:r w:rsidR="0091172D" w:rsidRPr="00BD5387">
        <w:rPr>
          <w:rFonts w:cs="Times New Roman"/>
          <w:i/>
          <w:szCs w:val="24"/>
        </w:rPr>
        <w:t>d</w:t>
      </w:r>
      <w:r w:rsidR="0091172D" w:rsidRPr="00BD5387">
        <w:rPr>
          <w:rFonts w:cs="Times New Roman"/>
          <w:szCs w:val="24"/>
          <w:vertAlign w:val="subscript"/>
        </w:rPr>
        <w:t>neg</w:t>
      </w:r>
      <w:proofErr w:type="spellEnd"/>
      <w:r w:rsidR="0091172D">
        <w:rPr>
          <w:rFonts w:cs="Times New Roman"/>
          <w:szCs w:val="24"/>
        </w:rPr>
        <w:t xml:space="preserve">*ORA foram significativos e com os sinais esperados. </w:t>
      </w:r>
    </w:p>
    <w:p w:rsidR="00D62A5E" w:rsidRDefault="004C1E47" w:rsidP="00EB464C">
      <w:pPr>
        <w:spacing w:line="360" w:lineRule="auto"/>
        <w:ind w:firstLine="708"/>
        <w:jc w:val="both"/>
        <w:rPr>
          <w:rFonts w:cs="Times New Roman"/>
          <w:szCs w:val="24"/>
        </w:rPr>
      </w:pPr>
      <w:r w:rsidRPr="00C058D9">
        <w:rPr>
          <w:rFonts w:cs="Times New Roman"/>
          <w:szCs w:val="24"/>
        </w:rPr>
        <w:lastRenderedPageBreak/>
        <w:t xml:space="preserve">No modelo 04 os ORA são decompostos em duas partes TVM e NVM, conforme indica a </w:t>
      </w:r>
      <w:proofErr w:type="gramStart"/>
      <w:r w:rsidRPr="00C058D9">
        <w:rPr>
          <w:rFonts w:cs="Times New Roman"/>
          <w:szCs w:val="24"/>
        </w:rPr>
        <w:t>literatura</w:t>
      </w:r>
      <w:proofErr w:type="gramEnd"/>
      <w:r w:rsidRPr="00C058D9">
        <w:rPr>
          <w:rFonts w:cs="Times New Roman"/>
          <w:szCs w:val="24"/>
        </w:rPr>
        <w:t xml:space="preserve"> </w:t>
      </w:r>
      <w:r w:rsidRPr="00C058D9">
        <w:rPr>
          <w:rFonts w:cs="Times New Roman"/>
          <w:szCs w:val="24"/>
        </w:rPr>
        <w:fldChar w:fldCharType="begin" w:fldLock="1"/>
      </w:r>
      <w:r w:rsidR="000A0D87" w:rsidRPr="00C058D9">
        <w:rPr>
          <w:rFonts w:cs="Times New Roman"/>
          <w:szCs w:val="24"/>
        </w:rPr>
        <w:instrText>ADDIN CSL_CITATION { "citationItems" : [ { "id" : "ITEM-1", "itemData" : { "author" : [ { "dropping-particle" : "", "family" : "Z\u00fclch", "given" : "Henning", "non-dropping-particle" : "", "parse-names" : false, "suffix" : "" }, { "dropping-particle" : "", "family" : "Pronobis", "given" : "Paul", "non-dropping-particle" : "", "parse-names" : false, "suffix" : "" } ], "id" : "ITEM-1", "issue" : "95", "issued" : { "date-parts" : [ [ "2010" ] ] }, "number" : "095", "number-of-pages" : "45", "publisher-place" : "Leipzig", "title" : "The Predictive Power of Comprehensive Income and Its Individual Components under IFRS", "type" : "report" }, "uris" : [ "http://www.mendeley.com/documents/?uuid=defd9389-1c23-4548-a6a5-42ea6e2499b8" ] }, { "id" : "ITEM-2", "itemData" : { "DOI" : "10.1016/j.adiac.2013.05.003", "ISSN" : "0882-6110", "author" : [ { "dropping-particle" : "", "family" : "Lee", "given" : "Cheol", "non-dropping-particle" : "", "parse-names" : false, "suffix" : "" }, { "dropping-particle" : "", "family" : "Park", "given" : "Myung S", "non-dropping-particle" : "", "parse-names" : false, "suffix" : "" } ], "container-title" : "Advances in Accounting, incorporating Advances in International Accounting", "id" : "ITEM-2", "issue" : "2", "issued" : { "date-parts" : [ [ "2013" ] ] }, "page" : "218-231", "publisher" : "Elsevier Ltd", "title" : "Subjectivity in fair-value estimates , audit quality , and informativeness of other comprehensive income", "type" : "article-journal", "volume" : "29" }, "uris" : [ "http://www.mendeley.com/documents/?uuid=be218cea-3ca2-4b28-96b3-0a0a2122e5c4" ] } ], "mendeley" : { "formattedCitation" : "(LEE; PARK, 2013; Z\u00dcLCH; PRONOBIS, 2010)", "plainTextFormattedCitation" : "(LEE; PARK, 2013; Z\u00dcLCH; PRONOBIS, 2010)", "previouslyFormattedCitation" : "(LEE; PARK, 2013; Z\u00dcLCH; PRONOBIS, 2010)" }, "properties" : { "noteIndex" : 0 }, "schema" : "https://github.com/citation-style-language/schema/raw/master/csl-citation.json" }</w:instrText>
      </w:r>
      <w:r w:rsidRPr="00C058D9">
        <w:rPr>
          <w:rFonts w:cs="Times New Roman"/>
          <w:szCs w:val="24"/>
        </w:rPr>
        <w:fldChar w:fldCharType="separate"/>
      </w:r>
      <w:r w:rsidRPr="00C058D9">
        <w:rPr>
          <w:rFonts w:cs="Times New Roman"/>
          <w:noProof/>
          <w:szCs w:val="24"/>
        </w:rPr>
        <w:t>(LEE</w:t>
      </w:r>
      <w:r w:rsidR="00792D52" w:rsidRPr="00C058D9">
        <w:rPr>
          <w:rFonts w:cs="Times New Roman"/>
          <w:noProof/>
          <w:szCs w:val="24"/>
        </w:rPr>
        <w:t xml:space="preserve"> e</w:t>
      </w:r>
      <w:r w:rsidRPr="00C058D9">
        <w:rPr>
          <w:rFonts w:cs="Times New Roman"/>
          <w:noProof/>
          <w:szCs w:val="24"/>
        </w:rPr>
        <w:t xml:space="preserve"> PARK, 2013; ZÜLCH</w:t>
      </w:r>
      <w:r w:rsidR="00792D52" w:rsidRPr="00C058D9">
        <w:rPr>
          <w:rFonts w:cs="Times New Roman"/>
          <w:noProof/>
          <w:szCs w:val="24"/>
        </w:rPr>
        <w:t xml:space="preserve"> e</w:t>
      </w:r>
      <w:r w:rsidRPr="00C058D9">
        <w:rPr>
          <w:rFonts w:cs="Times New Roman"/>
          <w:noProof/>
          <w:szCs w:val="24"/>
        </w:rPr>
        <w:t xml:space="preserve"> PRONOBIS, 2010)</w:t>
      </w:r>
      <w:r w:rsidRPr="00C058D9">
        <w:rPr>
          <w:rFonts w:cs="Times New Roman"/>
          <w:szCs w:val="24"/>
        </w:rPr>
        <w:fldChar w:fldCharType="end"/>
      </w:r>
      <w:r w:rsidR="009B5616" w:rsidRPr="00C058D9">
        <w:rPr>
          <w:rFonts w:cs="Times New Roman"/>
          <w:szCs w:val="24"/>
        </w:rPr>
        <w:t xml:space="preserve">. A primeira variável, que representa os </w:t>
      </w:r>
      <w:r w:rsidR="009B5616" w:rsidRPr="00C058D9">
        <w:rPr>
          <w:szCs w:val="24"/>
        </w:rPr>
        <w:t xml:space="preserve">ganhos e perdas na mensuração a valor justo de instrumentos financeiros, não foi significativa isoladamente nem na interação com a </w:t>
      </w:r>
      <w:proofErr w:type="spellStart"/>
      <w:r w:rsidR="009B5616" w:rsidRPr="00C058D9">
        <w:rPr>
          <w:i/>
          <w:szCs w:val="24"/>
        </w:rPr>
        <w:t>dummy</w:t>
      </w:r>
      <w:proofErr w:type="spellEnd"/>
      <w:r w:rsidR="009B5616" w:rsidRPr="00C058D9">
        <w:rPr>
          <w:szCs w:val="24"/>
        </w:rPr>
        <w:t xml:space="preserve"> negativa</w:t>
      </w:r>
      <w:r w:rsidR="009912EF" w:rsidRPr="00C058D9">
        <w:rPr>
          <w:szCs w:val="24"/>
        </w:rPr>
        <w:t>,</w:t>
      </w:r>
      <w:r w:rsidR="009B5616" w:rsidRPr="00C058D9">
        <w:rPr>
          <w:szCs w:val="24"/>
        </w:rPr>
        <w:t xml:space="preserve"> </w:t>
      </w:r>
      <w:r w:rsidR="009912EF" w:rsidRPr="00C058D9">
        <w:rPr>
          <w:szCs w:val="24"/>
        </w:rPr>
        <w:t xml:space="preserve">mas adicionam </w:t>
      </w:r>
      <w:r w:rsidR="009B5616" w:rsidRPr="00C058D9">
        <w:rPr>
          <w:szCs w:val="24"/>
        </w:rPr>
        <w:t xml:space="preserve">previsibilidade </w:t>
      </w:r>
      <w:r w:rsidR="009912EF" w:rsidRPr="00C058D9">
        <w:rPr>
          <w:szCs w:val="24"/>
        </w:rPr>
        <w:t xml:space="preserve">ao modelo </w:t>
      </w:r>
      <w:r w:rsidR="009B5616" w:rsidRPr="00C058D9">
        <w:rPr>
          <w:szCs w:val="24"/>
        </w:rPr>
        <w:t xml:space="preserve">quando </w:t>
      </w:r>
      <w:r w:rsidR="009912EF" w:rsidRPr="00C058D9">
        <w:rPr>
          <w:szCs w:val="24"/>
        </w:rPr>
        <w:t>são negativos, reduzindo o valor da constante</w:t>
      </w:r>
      <w:r w:rsidR="009B5616" w:rsidRPr="00C058D9">
        <w:rPr>
          <w:szCs w:val="24"/>
        </w:rPr>
        <w:t>.</w:t>
      </w:r>
      <w:r w:rsidR="009912EF" w:rsidRPr="00C058D9">
        <w:rPr>
          <w:szCs w:val="24"/>
        </w:rPr>
        <w:t xml:space="preserve"> Os demais itens do ajuste, agregados na variável NVM, substituem a função </w:t>
      </w:r>
      <w:r w:rsidR="001F7B0C" w:rsidRPr="00C058D9">
        <w:rPr>
          <w:szCs w:val="24"/>
        </w:rPr>
        <w:t>dos</w:t>
      </w:r>
      <w:r w:rsidR="009912EF" w:rsidRPr="00C058D9">
        <w:rPr>
          <w:szCs w:val="24"/>
        </w:rPr>
        <w:t xml:space="preserve"> ORA, pois como se observa na Tabela </w:t>
      </w:r>
      <w:r w:rsidR="001C7686" w:rsidRPr="00C058D9">
        <w:rPr>
          <w:szCs w:val="24"/>
        </w:rPr>
        <w:t>2</w:t>
      </w:r>
      <w:r w:rsidR="009912EF" w:rsidRPr="00C058D9">
        <w:rPr>
          <w:szCs w:val="24"/>
        </w:rPr>
        <w:t>, têm uma correlação muito elevada</w:t>
      </w:r>
      <w:r w:rsidR="001F7B0C" w:rsidRPr="00C058D9">
        <w:rPr>
          <w:szCs w:val="24"/>
        </w:rPr>
        <w:t xml:space="preserve"> com essa variável. </w:t>
      </w:r>
      <w:r w:rsidR="0091172D" w:rsidRPr="00C058D9">
        <w:rPr>
          <w:rFonts w:cs="Times New Roman"/>
          <w:szCs w:val="24"/>
        </w:rPr>
        <w:t>Essa</w:t>
      </w:r>
      <w:r w:rsidR="001F7B0C" w:rsidRPr="00C058D9">
        <w:rPr>
          <w:rFonts w:cs="Times New Roman"/>
          <w:szCs w:val="24"/>
        </w:rPr>
        <w:t>s</w:t>
      </w:r>
      <w:r w:rsidR="0091172D" w:rsidRPr="00C058D9">
        <w:rPr>
          <w:rFonts w:cs="Times New Roman"/>
          <w:szCs w:val="24"/>
        </w:rPr>
        <w:t xml:space="preserve"> verificaç</w:t>
      </w:r>
      <w:r w:rsidR="001F7B0C" w:rsidRPr="00C058D9">
        <w:rPr>
          <w:rFonts w:cs="Times New Roman"/>
          <w:szCs w:val="24"/>
        </w:rPr>
        <w:t>ões</w:t>
      </w:r>
      <w:r w:rsidR="0091172D" w:rsidRPr="00C058D9">
        <w:rPr>
          <w:rFonts w:cs="Times New Roman"/>
          <w:szCs w:val="24"/>
        </w:rPr>
        <w:t xml:space="preserve"> permite</w:t>
      </w:r>
      <w:r w:rsidR="001F7B0C" w:rsidRPr="00C058D9">
        <w:rPr>
          <w:rFonts w:cs="Times New Roman"/>
          <w:szCs w:val="24"/>
        </w:rPr>
        <w:t>m</w:t>
      </w:r>
      <w:r w:rsidR="0091172D" w:rsidRPr="00C058D9">
        <w:rPr>
          <w:rFonts w:cs="Times New Roman"/>
          <w:szCs w:val="24"/>
        </w:rPr>
        <w:t xml:space="preserve"> inferir que o poder preditivo dos </w:t>
      </w:r>
      <w:proofErr w:type="gramStart"/>
      <w:r w:rsidR="0091172D" w:rsidRPr="00C058D9">
        <w:rPr>
          <w:rFonts w:cs="Times New Roman"/>
          <w:szCs w:val="24"/>
        </w:rPr>
        <w:t>FCO</w:t>
      </w:r>
      <w:r w:rsidR="0091172D" w:rsidRPr="00C058D9">
        <w:rPr>
          <w:rFonts w:cs="Times New Roman"/>
          <w:szCs w:val="24"/>
          <w:vertAlign w:val="subscript"/>
        </w:rPr>
        <w:t>t</w:t>
      </w:r>
      <w:proofErr w:type="gramEnd"/>
      <w:r w:rsidR="0091172D" w:rsidRPr="00C058D9">
        <w:rPr>
          <w:rFonts w:cs="Times New Roman"/>
          <w:szCs w:val="24"/>
          <w:vertAlign w:val="subscript"/>
        </w:rPr>
        <w:t>+1</w:t>
      </w:r>
      <w:r w:rsidR="0091172D" w:rsidRPr="00C058D9">
        <w:rPr>
          <w:rFonts w:cs="Times New Roman"/>
          <w:szCs w:val="24"/>
        </w:rPr>
        <w:t xml:space="preserve"> é </w:t>
      </w:r>
      <w:r w:rsidR="001F7B0C" w:rsidRPr="00C058D9">
        <w:rPr>
          <w:rFonts w:cs="Times New Roman"/>
          <w:szCs w:val="24"/>
        </w:rPr>
        <w:t>expandido</w:t>
      </w:r>
      <w:r w:rsidR="0091172D" w:rsidRPr="00C058D9">
        <w:rPr>
          <w:rFonts w:cs="Times New Roman"/>
          <w:szCs w:val="24"/>
        </w:rPr>
        <w:t xml:space="preserve"> com a inserção d</w:t>
      </w:r>
      <w:r w:rsidR="001F7B0C" w:rsidRPr="00C058D9">
        <w:rPr>
          <w:rFonts w:cs="Times New Roman"/>
          <w:szCs w:val="24"/>
        </w:rPr>
        <w:t>as</w:t>
      </w:r>
      <w:r w:rsidR="0091172D" w:rsidRPr="00C058D9">
        <w:rPr>
          <w:rFonts w:cs="Times New Roman"/>
          <w:szCs w:val="24"/>
        </w:rPr>
        <w:t xml:space="preserve"> informações dos</w:t>
      </w:r>
      <w:r w:rsidR="0091172D">
        <w:rPr>
          <w:rFonts w:cs="Times New Roman"/>
          <w:szCs w:val="24"/>
        </w:rPr>
        <w:t xml:space="preserve"> outros resultados abrangentes. </w:t>
      </w:r>
    </w:p>
    <w:p w:rsidR="001F7B0C" w:rsidRDefault="001F7B0C" w:rsidP="00EB464C">
      <w:pPr>
        <w:spacing w:line="360" w:lineRule="auto"/>
        <w:ind w:firstLine="708"/>
        <w:jc w:val="both"/>
        <w:rPr>
          <w:rFonts w:cs="Times New Roman"/>
          <w:szCs w:val="24"/>
        </w:rPr>
      </w:pPr>
      <w:r>
        <w:rPr>
          <w:rFonts w:cs="Times New Roman"/>
          <w:szCs w:val="24"/>
        </w:rPr>
        <w:t>No último modelo analisado, com todos os componentes do</w:t>
      </w:r>
      <w:r w:rsidR="00C058D9">
        <w:rPr>
          <w:rFonts w:cs="Times New Roman"/>
          <w:szCs w:val="24"/>
        </w:rPr>
        <w:t>s</w:t>
      </w:r>
      <w:r>
        <w:rPr>
          <w:rFonts w:cs="Times New Roman"/>
          <w:szCs w:val="24"/>
        </w:rPr>
        <w:t xml:space="preserve"> </w:t>
      </w:r>
      <w:r w:rsidR="00C058D9">
        <w:rPr>
          <w:rFonts w:cs="Times New Roman"/>
          <w:szCs w:val="24"/>
        </w:rPr>
        <w:t xml:space="preserve">outros </w:t>
      </w:r>
      <w:r>
        <w:rPr>
          <w:rFonts w:cs="Times New Roman"/>
          <w:szCs w:val="24"/>
        </w:rPr>
        <w:t>resultado</w:t>
      </w:r>
      <w:r w:rsidR="00C058D9">
        <w:rPr>
          <w:rFonts w:cs="Times New Roman"/>
          <w:szCs w:val="24"/>
        </w:rPr>
        <w:t>s</w:t>
      </w:r>
      <w:r>
        <w:rPr>
          <w:rFonts w:cs="Times New Roman"/>
          <w:szCs w:val="24"/>
        </w:rPr>
        <w:t xml:space="preserve"> abrangente</w:t>
      </w:r>
      <w:r w:rsidR="00C058D9">
        <w:rPr>
          <w:rFonts w:cs="Times New Roman"/>
          <w:szCs w:val="24"/>
        </w:rPr>
        <w:t>s</w:t>
      </w:r>
      <w:r>
        <w:rPr>
          <w:rFonts w:cs="Times New Roman"/>
          <w:szCs w:val="24"/>
        </w:rPr>
        <w:t xml:space="preserve"> desmembrados na regressão, não foi possível verificar significância estatística das variáveis adicionadas. O que fez com que os resultados se mantivessem similares à regressão apenas com o lucro líquido. Duas </w:t>
      </w:r>
      <w:r w:rsidR="005F3C4F">
        <w:rPr>
          <w:rFonts w:cs="Times New Roman"/>
          <w:szCs w:val="24"/>
        </w:rPr>
        <w:t>interpretações</w:t>
      </w:r>
      <w:r>
        <w:rPr>
          <w:rFonts w:cs="Times New Roman"/>
          <w:szCs w:val="24"/>
        </w:rPr>
        <w:t xml:space="preserve"> parecem ser válidas. A primeira é que</w:t>
      </w:r>
      <w:r w:rsidR="005F3C4F">
        <w:rPr>
          <w:rFonts w:cs="Times New Roman"/>
          <w:szCs w:val="24"/>
        </w:rPr>
        <w:t>, de fato,</w:t>
      </w:r>
      <w:r>
        <w:rPr>
          <w:rFonts w:cs="Times New Roman"/>
          <w:szCs w:val="24"/>
        </w:rPr>
        <w:t xml:space="preserve"> tais itens </w:t>
      </w:r>
      <w:r w:rsidR="005F3C4F">
        <w:rPr>
          <w:rFonts w:cs="Times New Roman"/>
          <w:szCs w:val="24"/>
        </w:rPr>
        <w:t>individualmente não são incrementais para determinação do fluxo de caixa operacional. Alternativamente, pod</w:t>
      </w:r>
      <w:r w:rsidR="00692C6A">
        <w:rPr>
          <w:rFonts w:cs="Times New Roman"/>
          <w:szCs w:val="24"/>
        </w:rPr>
        <w:t>e-se ter como justificativa que</w:t>
      </w:r>
      <w:r w:rsidR="005F3C4F">
        <w:rPr>
          <w:rFonts w:cs="Times New Roman"/>
          <w:szCs w:val="24"/>
        </w:rPr>
        <w:t xml:space="preserve"> poucas </w:t>
      </w:r>
      <w:r w:rsidR="00692C6A">
        <w:rPr>
          <w:rFonts w:cs="Times New Roman"/>
          <w:szCs w:val="24"/>
        </w:rPr>
        <w:t>companhias</w:t>
      </w:r>
      <w:r w:rsidR="005F3C4F">
        <w:rPr>
          <w:rFonts w:cs="Times New Roman"/>
          <w:szCs w:val="24"/>
        </w:rPr>
        <w:t xml:space="preserve"> divulgaram informações referentes a todos os componentes</w:t>
      </w:r>
      <w:r w:rsidR="00692C6A">
        <w:rPr>
          <w:rFonts w:cs="Times New Roman"/>
          <w:szCs w:val="24"/>
        </w:rPr>
        <w:t xml:space="preserve"> dos ORA</w:t>
      </w:r>
      <w:r w:rsidR="005F3C4F">
        <w:rPr>
          <w:rFonts w:cs="Times New Roman"/>
          <w:szCs w:val="24"/>
        </w:rPr>
        <w:t xml:space="preserve">, </w:t>
      </w:r>
      <w:r w:rsidR="00C20621">
        <w:rPr>
          <w:rFonts w:cs="Times New Roman"/>
          <w:szCs w:val="24"/>
        </w:rPr>
        <w:t xml:space="preserve">o que indicaria não se tratar de baixa informatividade dos itens, mas sim </w:t>
      </w:r>
      <w:r w:rsidR="00692C6A">
        <w:rPr>
          <w:rFonts w:cs="Times New Roman"/>
          <w:szCs w:val="24"/>
        </w:rPr>
        <w:t xml:space="preserve">de </w:t>
      </w:r>
      <w:r w:rsidR="00C20621">
        <w:rPr>
          <w:rFonts w:cs="Times New Roman"/>
          <w:szCs w:val="24"/>
        </w:rPr>
        <w:t>um problema com os dados analisados.</w:t>
      </w:r>
    </w:p>
    <w:p w:rsidR="00692C6A" w:rsidRDefault="00692C6A" w:rsidP="00CB0ED4">
      <w:pPr>
        <w:ind w:firstLine="709"/>
        <w:jc w:val="both"/>
        <w:rPr>
          <w:rFonts w:cs="Times New Roman"/>
          <w:b/>
        </w:rPr>
      </w:pPr>
      <w:bookmarkStart w:id="0" w:name="_GoBack"/>
      <w:bookmarkEnd w:id="0"/>
    </w:p>
    <w:p w:rsidR="00874596" w:rsidRPr="004B0E0C" w:rsidRDefault="00874596" w:rsidP="008C0014">
      <w:pPr>
        <w:spacing w:line="360" w:lineRule="auto"/>
        <w:jc w:val="both"/>
        <w:rPr>
          <w:rFonts w:cs="Times New Roman"/>
          <w:b/>
        </w:rPr>
      </w:pPr>
      <w:r w:rsidRPr="004B0E0C">
        <w:rPr>
          <w:rFonts w:cs="Times New Roman"/>
          <w:b/>
        </w:rPr>
        <w:t>4.</w:t>
      </w:r>
      <w:r w:rsidR="004B0E0C">
        <w:rPr>
          <w:rFonts w:cs="Times New Roman"/>
          <w:b/>
        </w:rPr>
        <w:t>3</w:t>
      </w:r>
      <w:r w:rsidRPr="004B0E0C">
        <w:rPr>
          <w:rFonts w:cs="Times New Roman"/>
          <w:b/>
        </w:rPr>
        <w:t xml:space="preserve">. Associação entre preço e </w:t>
      </w:r>
      <w:r w:rsidR="00FB767F">
        <w:rPr>
          <w:rFonts w:cs="Times New Roman"/>
          <w:b/>
        </w:rPr>
        <w:t>r</w:t>
      </w:r>
      <w:r w:rsidRPr="004B0E0C">
        <w:rPr>
          <w:rFonts w:cs="Times New Roman"/>
          <w:b/>
        </w:rPr>
        <w:t xml:space="preserve">esultado </w:t>
      </w:r>
      <w:r w:rsidR="00FB767F">
        <w:rPr>
          <w:rFonts w:cs="Times New Roman"/>
          <w:b/>
        </w:rPr>
        <w:t>a</w:t>
      </w:r>
      <w:r w:rsidRPr="004B0E0C">
        <w:rPr>
          <w:rFonts w:cs="Times New Roman"/>
          <w:b/>
        </w:rPr>
        <w:t>brangente e seus componentes</w:t>
      </w:r>
    </w:p>
    <w:p w:rsidR="006052A9" w:rsidRDefault="007C70DE" w:rsidP="008C0014">
      <w:pPr>
        <w:spacing w:line="360" w:lineRule="auto"/>
        <w:ind w:firstLine="708"/>
        <w:jc w:val="both"/>
        <w:rPr>
          <w:rStyle w:val="hps"/>
          <w:lang w:val="pt-PT"/>
        </w:rPr>
      </w:pPr>
      <w:r>
        <w:rPr>
          <w:rFonts w:cs="Times New Roman"/>
          <w:szCs w:val="24"/>
        </w:rPr>
        <w:t xml:space="preserve">Neste tópico, após a verificação de que os outros resultados abrangentes e seus componentes são incrementais ao lucro para inferências sobre o fluxo de caixa futuro, tem-se como interesse </w:t>
      </w:r>
      <w:r>
        <w:rPr>
          <w:rStyle w:val="hps"/>
          <w:lang w:val="pt-PT"/>
        </w:rPr>
        <w:t>determinar se</w:t>
      </w:r>
      <w:r>
        <w:rPr>
          <w:lang w:val="pt-PT"/>
        </w:rPr>
        <w:t xml:space="preserve"> </w:t>
      </w:r>
      <w:r>
        <w:rPr>
          <w:rStyle w:val="hps"/>
          <w:lang w:val="pt-PT"/>
        </w:rPr>
        <w:t>os preços das ações</w:t>
      </w:r>
      <w:r>
        <w:rPr>
          <w:lang w:val="pt-PT"/>
        </w:rPr>
        <w:t xml:space="preserve"> </w:t>
      </w:r>
      <w:r>
        <w:rPr>
          <w:rStyle w:val="hps"/>
          <w:lang w:val="pt-PT"/>
        </w:rPr>
        <w:t>refletem a</w:t>
      </w:r>
      <w:r>
        <w:rPr>
          <w:lang w:val="pt-PT"/>
        </w:rPr>
        <w:t xml:space="preserve"> </w:t>
      </w:r>
      <w:r>
        <w:rPr>
          <w:rStyle w:val="hps"/>
          <w:lang w:val="pt-PT"/>
        </w:rPr>
        <w:t>informação adicional</w:t>
      </w:r>
      <w:r>
        <w:rPr>
          <w:lang w:val="pt-PT"/>
        </w:rPr>
        <w:t xml:space="preserve"> </w:t>
      </w:r>
      <w:r>
        <w:rPr>
          <w:rStyle w:val="hps"/>
          <w:lang w:val="pt-PT"/>
        </w:rPr>
        <w:t xml:space="preserve">divulgada </w:t>
      </w:r>
      <w:r w:rsidR="00B33FC1">
        <w:rPr>
          <w:rStyle w:val="hps"/>
          <w:lang w:val="pt-PT"/>
        </w:rPr>
        <w:t xml:space="preserve">pelos itens da DRA, </w:t>
      </w:r>
      <w:r>
        <w:rPr>
          <w:rStyle w:val="hps"/>
          <w:lang w:val="pt-PT"/>
        </w:rPr>
        <w:t>sobre o valor</w:t>
      </w:r>
      <w:r>
        <w:rPr>
          <w:lang w:val="pt-PT"/>
        </w:rPr>
        <w:t xml:space="preserve"> </w:t>
      </w:r>
      <w:r>
        <w:rPr>
          <w:rStyle w:val="hps"/>
          <w:lang w:val="pt-PT"/>
        </w:rPr>
        <w:t>contábil do patrimônio líquido</w:t>
      </w:r>
      <w:r>
        <w:rPr>
          <w:lang w:val="pt-PT"/>
        </w:rPr>
        <w:t xml:space="preserve"> </w:t>
      </w:r>
      <w:r>
        <w:rPr>
          <w:rStyle w:val="hps"/>
          <w:lang w:val="pt-PT"/>
        </w:rPr>
        <w:t xml:space="preserve">e </w:t>
      </w:r>
      <w:r w:rsidR="00B33FC1">
        <w:rPr>
          <w:rStyle w:val="hps"/>
          <w:lang w:val="pt-PT"/>
        </w:rPr>
        <w:t xml:space="preserve">do </w:t>
      </w:r>
      <w:r>
        <w:rPr>
          <w:rStyle w:val="hps"/>
          <w:lang w:val="pt-PT"/>
        </w:rPr>
        <w:t>lucro</w:t>
      </w:r>
      <w:r>
        <w:rPr>
          <w:lang w:val="pt-PT"/>
        </w:rPr>
        <w:t xml:space="preserve">. </w:t>
      </w:r>
      <w:r w:rsidR="00B33FC1">
        <w:rPr>
          <w:rStyle w:val="hps"/>
          <w:lang w:val="pt-PT"/>
        </w:rPr>
        <w:t xml:space="preserve">Para testar o </w:t>
      </w:r>
      <w:r w:rsidR="00B33FC1" w:rsidRPr="00B33FC1">
        <w:rPr>
          <w:rStyle w:val="hps"/>
          <w:i/>
          <w:lang w:val="pt-PT"/>
        </w:rPr>
        <w:t>value relevance</w:t>
      </w:r>
      <w:r>
        <w:rPr>
          <w:rStyle w:val="hps"/>
          <w:lang w:val="pt-PT"/>
        </w:rPr>
        <w:t xml:space="preserve"> </w:t>
      </w:r>
      <w:r w:rsidR="00B33FC1">
        <w:rPr>
          <w:rStyle w:val="hps"/>
          <w:lang w:val="pt-PT"/>
        </w:rPr>
        <w:t>foram utilizados os</w:t>
      </w:r>
      <w:r>
        <w:rPr>
          <w:lang w:val="pt-PT"/>
        </w:rPr>
        <w:t xml:space="preserve"> </w:t>
      </w:r>
      <w:r>
        <w:rPr>
          <w:rStyle w:val="hps"/>
          <w:lang w:val="pt-PT"/>
        </w:rPr>
        <w:t>modelo</w:t>
      </w:r>
      <w:r w:rsidR="00B33FC1">
        <w:rPr>
          <w:rStyle w:val="hps"/>
          <w:lang w:val="pt-PT"/>
        </w:rPr>
        <w:t>s</w:t>
      </w:r>
      <w:r>
        <w:rPr>
          <w:rStyle w:val="hps"/>
          <w:lang w:val="pt-PT"/>
        </w:rPr>
        <w:t xml:space="preserve"> empírico</w:t>
      </w:r>
      <w:r w:rsidR="00B33FC1">
        <w:rPr>
          <w:rStyle w:val="hps"/>
          <w:lang w:val="pt-PT"/>
        </w:rPr>
        <w:t>s 06 a 10 descritos na metodologia</w:t>
      </w:r>
      <w:r w:rsidR="0068566A">
        <w:rPr>
          <w:rStyle w:val="hps"/>
          <w:lang w:val="pt-PT"/>
        </w:rPr>
        <w:t>, cujos resultados estão dispostos na Tabel</w:t>
      </w:r>
      <w:r w:rsidR="00B50F7D">
        <w:rPr>
          <w:rStyle w:val="hps"/>
          <w:lang w:val="pt-PT"/>
        </w:rPr>
        <w:t xml:space="preserve">a </w:t>
      </w:r>
      <w:r w:rsidR="005916D8">
        <w:rPr>
          <w:rStyle w:val="hps"/>
          <w:lang w:val="pt-PT"/>
        </w:rPr>
        <w:t>4</w:t>
      </w:r>
      <w:r w:rsidR="00B33FC1">
        <w:rPr>
          <w:rStyle w:val="hps"/>
          <w:lang w:val="pt-PT"/>
        </w:rPr>
        <w:t>.</w:t>
      </w:r>
    </w:p>
    <w:p w:rsidR="006052A9" w:rsidRPr="00061233" w:rsidRDefault="00B33FC1" w:rsidP="00F271C6">
      <w:pPr>
        <w:jc w:val="center"/>
        <w:rPr>
          <w:rFonts w:cs="Times New Roman"/>
          <w:sz w:val="20"/>
          <w:szCs w:val="20"/>
        </w:rPr>
      </w:pPr>
      <w:r w:rsidRPr="00061233">
        <w:rPr>
          <w:rFonts w:cs="Times New Roman"/>
          <w:sz w:val="20"/>
          <w:szCs w:val="20"/>
        </w:rPr>
        <w:t xml:space="preserve">Tabela </w:t>
      </w:r>
      <w:r w:rsidR="001C7686" w:rsidRPr="00061233">
        <w:rPr>
          <w:rFonts w:cs="Times New Roman"/>
          <w:sz w:val="20"/>
          <w:szCs w:val="20"/>
        </w:rPr>
        <w:t>4</w:t>
      </w:r>
      <w:r w:rsidRPr="00061233">
        <w:rPr>
          <w:rFonts w:cs="Times New Roman"/>
          <w:sz w:val="20"/>
          <w:szCs w:val="20"/>
        </w:rPr>
        <w:t xml:space="preserve">: Regressões estimadas para os modelos 06 a 10 (variável dependente </w:t>
      </w:r>
      <w:proofErr w:type="spellStart"/>
      <w:r w:rsidRPr="00061233">
        <w:rPr>
          <w:rFonts w:cs="Times New Roman"/>
          <w:sz w:val="20"/>
          <w:szCs w:val="20"/>
        </w:rPr>
        <w:t>Preço</w:t>
      </w:r>
      <w:r w:rsidRPr="00061233">
        <w:rPr>
          <w:rFonts w:cs="Times New Roman"/>
          <w:sz w:val="20"/>
          <w:szCs w:val="20"/>
          <w:vertAlign w:val="subscript"/>
        </w:rPr>
        <w:t>it</w:t>
      </w:r>
      <w:proofErr w:type="spellEnd"/>
      <w:r w:rsidRPr="00061233">
        <w:rPr>
          <w:rFonts w:cs="Times New Roman"/>
          <w:sz w:val="20"/>
          <w:szCs w:val="20"/>
        </w:rPr>
        <w:t>)</w:t>
      </w:r>
    </w:p>
    <w:tbl>
      <w:tblPr>
        <w:tblW w:w="5000" w:type="pct"/>
        <w:tblCellMar>
          <w:left w:w="70" w:type="dxa"/>
          <w:right w:w="70" w:type="dxa"/>
        </w:tblCellMar>
        <w:tblLook w:val="04A0" w:firstRow="1" w:lastRow="0" w:firstColumn="1" w:lastColumn="0" w:noHBand="0" w:noVBand="1"/>
      </w:tblPr>
      <w:tblGrid>
        <w:gridCol w:w="1771"/>
        <w:gridCol w:w="1489"/>
        <w:gridCol w:w="1488"/>
        <w:gridCol w:w="1488"/>
        <w:gridCol w:w="1488"/>
        <w:gridCol w:w="1487"/>
      </w:tblGrid>
      <w:tr w:rsidR="006052A9" w:rsidRPr="006052A9" w:rsidTr="0068566A">
        <w:trPr>
          <w:trHeight w:val="283"/>
        </w:trPr>
        <w:tc>
          <w:tcPr>
            <w:tcW w:w="961" w:type="pct"/>
            <w:tcBorders>
              <w:top w:val="single" w:sz="4" w:space="0" w:color="auto"/>
              <w:bottom w:val="single" w:sz="12" w:space="0" w:color="auto"/>
              <w:right w:val="dotted" w:sz="4" w:space="0" w:color="auto"/>
            </w:tcBorders>
            <w:shd w:val="clear" w:color="auto" w:fill="auto"/>
            <w:noWrap/>
            <w:vAlign w:val="center"/>
            <w:hideMark/>
          </w:tcPr>
          <w:p w:rsidR="006052A9" w:rsidRPr="006052A9" w:rsidRDefault="006052A9" w:rsidP="00B723BB">
            <w:pPr>
              <w:jc w:val="center"/>
              <w:rPr>
                <w:rFonts w:eastAsia="Times New Roman" w:cs="Times New Roman"/>
                <w:b/>
                <w:bCs/>
                <w:color w:val="000000"/>
                <w:sz w:val="20"/>
                <w:szCs w:val="20"/>
                <w:lang w:eastAsia="pt-BR"/>
              </w:rPr>
            </w:pPr>
            <w:r w:rsidRPr="006052A9">
              <w:rPr>
                <w:rFonts w:eastAsia="Times New Roman" w:cs="Times New Roman"/>
                <w:b/>
                <w:bCs/>
                <w:color w:val="000000"/>
                <w:sz w:val="20"/>
                <w:szCs w:val="20"/>
                <w:lang w:eastAsia="pt-BR"/>
              </w:rPr>
              <w:t>Variável</w:t>
            </w:r>
          </w:p>
        </w:tc>
        <w:tc>
          <w:tcPr>
            <w:tcW w:w="808" w:type="pct"/>
            <w:tcBorders>
              <w:top w:val="single" w:sz="4" w:space="0" w:color="auto"/>
              <w:left w:val="dotted" w:sz="4" w:space="0" w:color="auto"/>
              <w:bottom w:val="single" w:sz="12" w:space="0" w:color="auto"/>
              <w:right w:val="dotted" w:sz="4" w:space="0" w:color="auto"/>
            </w:tcBorders>
            <w:shd w:val="clear" w:color="auto" w:fill="auto"/>
            <w:noWrap/>
            <w:vAlign w:val="center"/>
            <w:hideMark/>
          </w:tcPr>
          <w:p w:rsidR="006052A9" w:rsidRPr="006052A9" w:rsidRDefault="00DA298D" w:rsidP="00B723BB">
            <w:pPr>
              <w:jc w:val="center"/>
              <w:rPr>
                <w:rFonts w:eastAsia="Times New Roman" w:cs="Times New Roman"/>
                <w:b/>
                <w:bCs/>
                <w:color w:val="000000"/>
                <w:sz w:val="20"/>
                <w:szCs w:val="20"/>
                <w:lang w:eastAsia="pt-BR"/>
              </w:rPr>
            </w:pPr>
            <w:r>
              <w:rPr>
                <w:rFonts w:eastAsia="Times New Roman" w:cs="Times New Roman"/>
                <w:b/>
                <w:bCs/>
                <w:color w:val="000000"/>
                <w:sz w:val="20"/>
                <w:szCs w:val="20"/>
                <w:lang w:eastAsia="pt-BR"/>
              </w:rPr>
              <w:t>Modelo</w:t>
            </w:r>
            <w:r w:rsidR="006052A9" w:rsidRPr="006052A9">
              <w:rPr>
                <w:rFonts w:eastAsia="Times New Roman" w:cs="Times New Roman"/>
                <w:b/>
                <w:bCs/>
                <w:color w:val="000000"/>
                <w:sz w:val="20"/>
                <w:szCs w:val="20"/>
                <w:lang w:eastAsia="pt-BR"/>
              </w:rPr>
              <w:t xml:space="preserve"> 06</w:t>
            </w:r>
          </w:p>
        </w:tc>
        <w:tc>
          <w:tcPr>
            <w:tcW w:w="808" w:type="pct"/>
            <w:tcBorders>
              <w:top w:val="single" w:sz="4" w:space="0" w:color="auto"/>
              <w:left w:val="dotted" w:sz="4" w:space="0" w:color="auto"/>
              <w:bottom w:val="single" w:sz="12" w:space="0" w:color="auto"/>
              <w:right w:val="dotted" w:sz="4" w:space="0" w:color="auto"/>
            </w:tcBorders>
            <w:shd w:val="clear" w:color="auto" w:fill="auto"/>
            <w:noWrap/>
            <w:vAlign w:val="center"/>
            <w:hideMark/>
          </w:tcPr>
          <w:p w:rsidR="006052A9" w:rsidRPr="006052A9" w:rsidRDefault="00DA298D" w:rsidP="00B723BB">
            <w:pPr>
              <w:jc w:val="center"/>
              <w:rPr>
                <w:rFonts w:eastAsia="Times New Roman" w:cs="Times New Roman"/>
                <w:b/>
                <w:bCs/>
                <w:color w:val="000000"/>
                <w:sz w:val="20"/>
                <w:szCs w:val="20"/>
                <w:lang w:eastAsia="pt-BR"/>
              </w:rPr>
            </w:pPr>
            <w:r>
              <w:rPr>
                <w:rFonts w:eastAsia="Times New Roman" w:cs="Times New Roman"/>
                <w:b/>
                <w:bCs/>
                <w:color w:val="000000"/>
                <w:sz w:val="20"/>
                <w:szCs w:val="20"/>
                <w:lang w:eastAsia="pt-BR"/>
              </w:rPr>
              <w:t>Modelo</w:t>
            </w:r>
            <w:r w:rsidR="006052A9" w:rsidRPr="006052A9">
              <w:rPr>
                <w:rFonts w:eastAsia="Times New Roman" w:cs="Times New Roman"/>
                <w:b/>
                <w:bCs/>
                <w:color w:val="000000"/>
                <w:sz w:val="20"/>
                <w:szCs w:val="20"/>
                <w:lang w:eastAsia="pt-BR"/>
              </w:rPr>
              <w:t xml:space="preserve"> 07</w:t>
            </w:r>
          </w:p>
        </w:tc>
        <w:tc>
          <w:tcPr>
            <w:tcW w:w="808" w:type="pct"/>
            <w:tcBorders>
              <w:top w:val="single" w:sz="4" w:space="0" w:color="auto"/>
              <w:left w:val="dotted" w:sz="4" w:space="0" w:color="auto"/>
              <w:bottom w:val="single" w:sz="12" w:space="0" w:color="auto"/>
              <w:right w:val="dotted" w:sz="4" w:space="0" w:color="auto"/>
            </w:tcBorders>
            <w:shd w:val="clear" w:color="auto" w:fill="auto"/>
            <w:noWrap/>
            <w:vAlign w:val="center"/>
            <w:hideMark/>
          </w:tcPr>
          <w:p w:rsidR="006052A9" w:rsidRPr="006052A9" w:rsidRDefault="00DA298D" w:rsidP="00B723BB">
            <w:pPr>
              <w:jc w:val="center"/>
              <w:rPr>
                <w:rFonts w:eastAsia="Times New Roman" w:cs="Times New Roman"/>
                <w:b/>
                <w:bCs/>
                <w:color w:val="000000"/>
                <w:sz w:val="20"/>
                <w:szCs w:val="20"/>
                <w:lang w:eastAsia="pt-BR"/>
              </w:rPr>
            </w:pPr>
            <w:r>
              <w:rPr>
                <w:rFonts w:eastAsia="Times New Roman" w:cs="Times New Roman"/>
                <w:b/>
                <w:bCs/>
                <w:color w:val="000000"/>
                <w:sz w:val="20"/>
                <w:szCs w:val="20"/>
                <w:lang w:eastAsia="pt-BR"/>
              </w:rPr>
              <w:t>Modelo</w:t>
            </w:r>
            <w:r w:rsidR="006052A9" w:rsidRPr="006052A9">
              <w:rPr>
                <w:rFonts w:eastAsia="Times New Roman" w:cs="Times New Roman"/>
                <w:b/>
                <w:bCs/>
                <w:color w:val="000000"/>
                <w:sz w:val="20"/>
                <w:szCs w:val="20"/>
                <w:lang w:eastAsia="pt-BR"/>
              </w:rPr>
              <w:t xml:space="preserve"> 08</w:t>
            </w:r>
          </w:p>
        </w:tc>
        <w:tc>
          <w:tcPr>
            <w:tcW w:w="808" w:type="pct"/>
            <w:tcBorders>
              <w:top w:val="single" w:sz="4" w:space="0" w:color="auto"/>
              <w:left w:val="dotted" w:sz="4" w:space="0" w:color="auto"/>
              <w:bottom w:val="single" w:sz="12" w:space="0" w:color="auto"/>
              <w:right w:val="dotted" w:sz="4" w:space="0" w:color="auto"/>
            </w:tcBorders>
            <w:shd w:val="clear" w:color="auto" w:fill="auto"/>
            <w:noWrap/>
            <w:vAlign w:val="center"/>
            <w:hideMark/>
          </w:tcPr>
          <w:p w:rsidR="006052A9" w:rsidRPr="006052A9" w:rsidRDefault="00DA298D" w:rsidP="00B723BB">
            <w:pPr>
              <w:jc w:val="center"/>
              <w:rPr>
                <w:rFonts w:eastAsia="Times New Roman" w:cs="Times New Roman"/>
                <w:b/>
                <w:bCs/>
                <w:color w:val="000000"/>
                <w:sz w:val="20"/>
                <w:szCs w:val="20"/>
                <w:lang w:eastAsia="pt-BR"/>
              </w:rPr>
            </w:pPr>
            <w:r>
              <w:rPr>
                <w:rFonts w:eastAsia="Times New Roman" w:cs="Times New Roman"/>
                <w:b/>
                <w:bCs/>
                <w:color w:val="000000"/>
                <w:sz w:val="20"/>
                <w:szCs w:val="20"/>
                <w:lang w:eastAsia="pt-BR"/>
              </w:rPr>
              <w:t>Modelo</w:t>
            </w:r>
            <w:r w:rsidR="006052A9" w:rsidRPr="006052A9">
              <w:rPr>
                <w:rFonts w:eastAsia="Times New Roman" w:cs="Times New Roman"/>
                <w:b/>
                <w:bCs/>
                <w:color w:val="000000"/>
                <w:sz w:val="20"/>
                <w:szCs w:val="20"/>
                <w:lang w:eastAsia="pt-BR"/>
              </w:rPr>
              <w:t xml:space="preserve"> 09</w:t>
            </w:r>
          </w:p>
        </w:tc>
        <w:tc>
          <w:tcPr>
            <w:tcW w:w="807" w:type="pct"/>
            <w:tcBorders>
              <w:top w:val="single" w:sz="4" w:space="0" w:color="auto"/>
              <w:left w:val="dotted" w:sz="4" w:space="0" w:color="auto"/>
              <w:bottom w:val="single" w:sz="12" w:space="0" w:color="auto"/>
            </w:tcBorders>
            <w:shd w:val="clear" w:color="auto" w:fill="auto"/>
            <w:vAlign w:val="center"/>
          </w:tcPr>
          <w:p w:rsidR="006052A9" w:rsidRPr="006052A9" w:rsidRDefault="00DA298D" w:rsidP="00B723BB">
            <w:pPr>
              <w:jc w:val="center"/>
              <w:rPr>
                <w:rFonts w:eastAsia="Times New Roman" w:cs="Times New Roman"/>
                <w:b/>
                <w:bCs/>
                <w:color w:val="000000"/>
                <w:sz w:val="20"/>
                <w:szCs w:val="20"/>
                <w:lang w:eastAsia="pt-BR"/>
              </w:rPr>
            </w:pPr>
            <w:r>
              <w:rPr>
                <w:rFonts w:eastAsia="Times New Roman" w:cs="Times New Roman"/>
                <w:b/>
                <w:bCs/>
                <w:color w:val="000000"/>
                <w:sz w:val="20"/>
                <w:szCs w:val="20"/>
                <w:lang w:eastAsia="pt-BR"/>
              </w:rPr>
              <w:t>Modelo</w:t>
            </w:r>
            <w:r w:rsidR="006052A9" w:rsidRPr="006052A9">
              <w:rPr>
                <w:rFonts w:eastAsia="Times New Roman" w:cs="Times New Roman"/>
                <w:b/>
                <w:bCs/>
                <w:color w:val="000000"/>
                <w:sz w:val="20"/>
                <w:szCs w:val="20"/>
                <w:lang w:eastAsia="pt-BR"/>
              </w:rPr>
              <w:t xml:space="preserve"> 10</w:t>
            </w:r>
          </w:p>
        </w:tc>
      </w:tr>
      <w:tr w:rsidR="006052A9" w:rsidRPr="006052A9" w:rsidTr="0068566A">
        <w:trPr>
          <w:trHeight w:val="238"/>
        </w:trPr>
        <w:tc>
          <w:tcPr>
            <w:tcW w:w="961" w:type="pct"/>
            <w:tcBorders>
              <w:top w:val="single" w:sz="12" w:space="0" w:color="auto"/>
              <w:right w:val="dotted" w:sz="4" w:space="0" w:color="auto"/>
            </w:tcBorders>
            <w:shd w:val="clear" w:color="auto" w:fill="auto"/>
            <w:noWrap/>
            <w:vAlign w:val="center"/>
            <w:hideMark/>
          </w:tcPr>
          <w:p w:rsidR="006052A9" w:rsidRPr="006052A9" w:rsidRDefault="006052A9" w:rsidP="00B723BB">
            <w:pPr>
              <w:rPr>
                <w:rFonts w:eastAsia="Times New Roman" w:cs="Times New Roman"/>
                <w:color w:val="000000"/>
                <w:sz w:val="20"/>
                <w:szCs w:val="20"/>
                <w:lang w:eastAsia="pt-BR"/>
              </w:rPr>
            </w:pPr>
            <w:r w:rsidRPr="006052A9">
              <w:rPr>
                <w:rFonts w:eastAsia="Times New Roman" w:cs="Times New Roman"/>
                <w:color w:val="000000"/>
                <w:sz w:val="20"/>
                <w:szCs w:val="20"/>
                <w:lang w:eastAsia="pt-BR"/>
              </w:rPr>
              <w:t>Constante</w:t>
            </w:r>
          </w:p>
        </w:tc>
        <w:tc>
          <w:tcPr>
            <w:tcW w:w="808" w:type="pct"/>
            <w:tcBorders>
              <w:top w:val="single" w:sz="12" w:space="0" w:color="auto"/>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8,160 ***</w:t>
            </w:r>
          </w:p>
        </w:tc>
        <w:tc>
          <w:tcPr>
            <w:tcW w:w="808" w:type="pct"/>
            <w:tcBorders>
              <w:top w:val="single" w:sz="12" w:space="0" w:color="auto"/>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8,409 ***</w:t>
            </w:r>
          </w:p>
        </w:tc>
        <w:tc>
          <w:tcPr>
            <w:tcW w:w="808" w:type="pct"/>
            <w:tcBorders>
              <w:top w:val="single" w:sz="12" w:space="0" w:color="auto"/>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8,292 ***</w:t>
            </w:r>
          </w:p>
        </w:tc>
        <w:tc>
          <w:tcPr>
            <w:tcW w:w="808" w:type="pct"/>
            <w:tcBorders>
              <w:top w:val="single" w:sz="12" w:space="0" w:color="auto"/>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8,056 ***</w:t>
            </w:r>
          </w:p>
        </w:tc>
        <w:tc>
          <w:tcPr>
            <w:tcW w:w="807" w:type="pct"/>
            <w:tcBorders>
              <w:top w:val="single" w:sz="12" w:space="0" w:color="auto"/>
              <w:lef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8,555 ***</w:t>
            </w:r>
          </w:p>
        </w:tc>
      </w:tr>
      <w:tr w:rsidR="006052A9" w:rsidRPr="006052A9" w:rsidTr="0068566A">
        <w:trPr>
          <w:trHeight w:val="238"/>
        </w:trPr>
        <w:tc>
          <w:tcPr>
            <w:tcW w:w="961" w:type="pct"/>
            <w:tcBorders>
              <w:right w:val="dotted" w:sz="4" w:space="0" w:color="auto"/>
            </w:tcBorders>
            <w:shd w:val="clear" w:color="auto" w:fill="auto"/>
            <w:noWrap/>
            <w:vAlign w:val="center"/>
          </w:tcPr>
          <w:p w:rsidR="006052A9" w:rsidRPr="006052A9" w:rsidRDefault="006052A9" w:rsidP="00B723BB">
            <w:pPr>
              <w:rPr>
                <w:rFonts w:eastAsia="Times New Roman" w:cs="Times New Roman"/>
                <w:color w:val="000000"/>
                <w:sz w:val="20"/>
                <w:szCs w:val="20"/>
                <w:lang w:eastAsia="pt-BR"/>
              </w:rPr>
            </w:pPr>
            <w:r w:rsidRPr="006052A9">
              <w:rPr>
                <w:rFonts w:eastAsia="Times New Roman" w:cs="Times New Roman"/>
                <w:color w:val="000000"/>
                <w:sz w:val="20"/>
                <w:szCs w:val="20"/>
                <w:lang w:eastAsia="pt-BR"/>
              </w:rPr>
              <w:t>VPA</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0,706 ***</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0,798 ***</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0,713 ***</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0,719 ***</w:t>
            </w:r>
          </w:p>
        </w:tc>
        <w:tc>
          <w:tcPr>
            <w:tcW w:w="807" w:type="pct"/>
            <w:tcBorders>
              <w:lef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0,694 ***</w:t>
            </w:r>
          </w:p>
        </w:tc>
      </w:tr>
      <w:tr w:rsidR="006052A9" w:rsidRPr="006052A9" w:rsidTr="0068566A">
        <w:trPr>
          <w:trHeight w:val="238"/>
        </w:trPr>
        <w:tc>
          <w:tcPr>
            <w:tcW w:w="961" w:type="pct"/>
            <w:tcBorders>
              <w:right w:val="dotted" w:sz="4" w:space="0" w:color="auto"/>
            </w:tcBorders>
            <w:shd w:val="clear" w:color="auto" w:fill="auto"/>
            <w:noWrap/>
            <w:vAlign w:val="center"/>
            <w:hideMark/>
          </w:tcPr>
          <w:p w:rsidR="006052A9" w:rsidRPr="006052A9" w:rsidRDefault="006052A9" w:rsidP="00B723BB">
            <w:pPr>
              <w:rPr>
                <w:rFonts w:eastAsia="Times New Roman" w:cs="Times New Roman"/>
                <w:color w:val="000000"/>
                <w:sz w:val="20"/>
                <w:szCs w:val="20"/>
                <w:lang w:eastAsia="pt-BR"/>
              </w:rPr>
            </w:pPr>
            <w:r w:rsidRPr="006052A9">
              <w:rPr>
                <w:rFonts w:eastAsia="Times New Roman" w:cs="Times New Roman"/>
                <w:color w:val="000000"/>
                <w:sz w:val="20"/>
                <w:szCs w:val="20"/>
                <w:lang w:eastAsia="pt-BR"/>
              </w:rPr>
              <w:t>LL/A</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2,527 ***</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2,294 ***</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2,462 ***</w:t>
            </w:r>
          </w:p>
        </w:tc>
        <w:tc>
          <w:tcPr>
            <w:tcW w:w="807" w:type="pct"/>
            <w:tcBorders>
              <w:lef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2,292 ***</w:t>
            </w:r>
          </w:p>
        </w:tc>
      </w:tr>
      <w:tr w:rsidR="006052A9" w:rsidRPr="006052A9" w:rsidTr="0068566A">
        <w:trPr>
          <w:trHeight w:val="238"/>
        </w:trPr>
        <w:tc>
          <w:tcPr>
            <w:tcW w:w="961" w:type="pct"/>
            <w:tcBorders>
              <w:right w:val="dotted" w:sz="4" w:space="0" w:color="auto"/>
            </w:tcBorders>
            <w:shd w:val="clear" w:color="auto" w:fill="auto"/>
            <w:noWrap/>
            <w:vAlign w:val="center"/>
            <w:hideMark/>
          </w:tcPr>
          <w:p w:rsidR="006052A9" w:rsidRPr="006052A9" w:rsidRDefault="006052A9" w:rsidP="00B723BB">
            <w:pPr>
              <w:rPr>
                <w:rFonts w:eastAsia="Times New Roman" w:cs="Times New Roman"/>
                <w:color w:val="000000"/>
                <w:sz w:val="20"/>
                <w:szCs w:val="20"/>
                <w:lang w:eastAsia="pt-BR"/>
              </w:rPr>
            </w:pPr>
            <w:r w:rsidRPr="006052A9">
              <w:rPr>
                <w:rFonts w:eastAsia="Times New Roman" w:cs="Times New Roman"/>
                <w:color w:val="000000"/>
                <w:sz w:val="20"/>
                <w:szCs w:val="20"/>
                <w:lang w:eastAsia="pt-BR"/>
              </w:rPr>
              <w:t>RAC/A</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-0,0009</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w:t>
            </w:r>
          </w:p>
        </w:tc>
        <w:tc>
          <w:tcPr>
            <w:tcW w:w="807" w:type="pct"/>
            <w:tcBorders>
              <w:lef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w:t>
            </w:r>
          </w:p>
        </w:tc>
      </w:tr>
      <w:tr w:rsidR="006052A9" w:rsidRPr="006052A9" w:rsidTr="0068566A">
        <w:trPr>
          <w:trHeight w:val="238"/>
        </w:trPr>
        <w:tc>
          <w:tcPr>
            <w:tcW w:w="961" w:type="pct"/>
            <w:tcBorders>
              <w:right w:val="dotted" w:sz="4" w:space="0" w:color="auto"/>
            </w:tcBorders>
            <w:shd w:val="clear" w:color="auto" w:fill="auto"/>
            <w:noWrap/>
            <w:vAlign w:val="center"/>
            <w:hideMark/>
          </w:tcPr>
          <w:p w:rsidR="006052A9" w:rsidRPr="006052A9" w:rsidRDefault="006052A9" w:rsidP="00B723BB">
            <w:pPr>
              <w:rPr>
                <w:rFonts w:eastAsia="Times New Roman" w:cs="Times New Roman"/>
                <w:color w:val="000000"/>
                <w:sz w:val="20"/>
                <w:szCs w:val="20"/>
                <w:lang w:eastAsia="pt-BR"/>
              </w:rPr>
            </w:pPr>
            <w:r w:rsidRPr="006052A9">
              <w:rPr>
                <w:rFonts w:eastAsia="Times New Roman" w:cs="Times New Roman"/>
                <w:color w:val="000000"/>
                <w:sz w:val="20"/>
                <w:szCs w:val="20"/>
                <w:lang w:eastAsia="pt-BR"/>
              </w:rPr>
              <w:t>ORA/A</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1,390</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w:t>
            </w:r>
          </w:p>
        </w:tc>
        <w:tc>
          <w:tcPr>
            <w:tcW w:w="807" w:type="pct"/>
            <w:tcBorders>
              <w:lef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w:t>
            </w:r>
          </w:p>
        </w:tc>
      </w:tr>
      <w:tr w:rsidR="006052A9" w:rsidRPr="006052A9" w:rsidTr="0068566A">
        <w:trPr>
          <w:trHeight w:val="238"/>
        </w:trPr>
        <w:tc>
          <w:tcPr>
            <w:tcW w:w="961" w:type="pct"/>
            <w:tcBorders>
              <w:right w:val="dotted" w:sz="4" w:space="0" w:color="auto"/>
            </w:tcBorders>
            <w:shd w:val="clear" w:color="auto" w:fill="auto"/>
            <w:noWrap/>
            <w:vAlign w:val="center"/>
            <w:hideMark/>
          </w:tcPr>
          <w:p w:rsidR="006052A9" w:rsidRPr="006052A9" w:rsidRDefault="000A71C9" w:rsidP="00B723BB">
            <w:pPr>
              <w:rPr>
                <w:rFonts w:eastAsia="Times New Roman" w:cs="Times New Roman"/>
                <w:color w:val="000000"/>
                <w:sz w:val="20"/>
                <w:szCs w:val="20"/>
                <w:lang w:eastAsia="pt-BR"/>
              </w:rPr>
            </w:pPr>
            <w:r>
              <w:rPr>
                <w:rFonts w:eastAsia="Times New Roman" w:cs="Times New Roman"/>
                <w:color w:val="000000"/>
                <w:sz w:val="20"/>
                <w:szCs w:val="20"/>
                <w:lang w:eastAsia="pt-BR"/>
              </w:rPr>
              <w:t>TVM</w:t>
            </w:r>
            <w:r w:rsidR="006052A9" w:rsidRPr="006052A9">
              <w:rPr>
                <w:rFonts w:eastAsia="Times New Roman" w:cs="Times New Roman"/>
                <w:color w:val="000000"/>
                <w:sz w:val="20"/>
                <w:szCs w:val="20"/>
                <w:lang w:eastAsia="pt-BR"/>
              </w:rPr>
              <w:t>/A</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6,552</w:t>
            </w:r>
          </w:p>
        </w:tc>
        <w:tc>
          <w:tcPr>
            <w:tcW w:w="807" w:type="pct"/>
            <w:tcBorders>
              <w:lef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-7,543</w:t>
            </w:r>
          </w:p>
        </w:tc>
      </w:tr>
      <w:tr w:rsidR="006052A9" w:rsidRPr="006052A9" w:rsidTr="0068566A">
        <w:trPr>
          <w:trHeight w:val="238"/>
        </w:trPr>
        <w:tc>
          <w:tcPr>
            <w:tcW w:w="961" w:type="pct"/>
            <w:tcBorders>
              <w:right w:val="dotted" w:sz="4" w:space="0" w:color="auto"/>
            </w:tcBorders>
            <w:shd w:val="clear" w:color="auto" w:fill="auto"/>
            <w:noWrap/>
            <w:vAlign w:val="center"/>
            <w:hideMark/>
          </w:tcPr>
          <w:p w:rsidR="006052A9" w:rsidRPr="006052A9" w:rsidRDefault="006052A9" w:rsidP="00B723BB">
            <w:pPr>
              <w:rPr>
                <w:rFonts w:eastAsia="Times New Roman" w:cs="Times New Roman"/>
                <w:color w:val="000000"/>
                <w:sz w:val="20"/>
                <w:szCs w:val="20"/>
                <w:lang w:eastAsia="pt-BR"/>
              </w:rPr>
            </w:pPr>
            <w:r w:rsidRPr="006052A9">
              <w:rPr>
                <w:rFonts w:eastAsia="Times New Roman" w:cs="Times New Roman"/>
                <w:color w:val="000000"/>
                <w:sz w:val="20"/>
                <w:szCs w:val="20"/>
                <w:lang w:eastAsia="pt-BR"/>
              </w:rPr>
              <w:t>NVM/A</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3,585</w:t>
            </w:r>
          </w:p>
        </w:tc>
        <w:tc>
          <w:tcPr>
            <w:tcW w:w="807" w:type="pct"/>
            <w:tcBorders>
              <w:lef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w:t>
            </w:r>
          </w:p>
        </w:tc>
      </w:tr>
      <w:tr w:rsidR="006052A9" w:rsidRPr="006052A9" w:rsidTr="0068566A">
        <w:trPr>
          <w:trHeight w:val="238"/>
        </w:trPr>
        <w:tc>
          <w:tcPr>
            <w:tcW w:w="961" w:type="pct"/>
            <w:tcBorders>
              <w:right w:val="dotted" w:sz="4" w:space="0" w:color="auto"/>
            </w:tcBorders>
            <w:shd w:val="clear" w:color="auto" w:fill="auto"/>
            <w:noWrap/>
            <w:vAlign w:val="center"/>
          </w:tcPr>
          <w:p w:rsidR="006052A9" w:rsidRPr="006052A9" w:rsidRDefault="006052A9" w:rsidP="00B723BB">
            <w:pPr>
              <w:rPr>
                <w:rFonts w:eastAsia="Times New Roman" w:cs="Times New Roman"/>
                <w:color w:val="000000"/>
                <w:sz w:val="20"/>
                <w:szCs w:val="20"/>
                <w:lang w:eastAsia="pt-BR"/>
              </w:rPr>
            </w:pPr>
            <w:r w:rsidRPr="006052A9">
              <w:rPr>
                <w:rFonts w:eastAsia="Times New Roman" w:cs="Times New Roman"/>
                <w:color w:val="000000"/>
                <w:sz w:val="20"/>
                <w:szCs w:val="20"/>
                <w:lang w:eastAsia="pt-BR"/>
              </w:rPr>
              <w:t>CON/A</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w:t>
            </w:r>
          </w:p>
        </w:tc>
        <w:tc>
          <w:tcPr>
            <w:tcW w:w="807" w:type="pct"/>
            <w:tcBorders>
              <w:lef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0,506</w:t>
            </w:r>
          </w:p>
        </w:tc>
      </w:tr>
      <w:tr w:rsidR="006052A9" w:rsidRPr="006052A9" w:rsidTr="0068566A">
        <w:trPr>
          <w:trHeight w:val="238"/>
        </w:trPr>
        <w:tc>
          <w:tcPr>
            <w:tcW w:w="961" w:type="pct"/>
            <w:tcBorders>
              <w:right w:val="dotted" w:sz="4" w:space="0" w:color="auto"/>
            </w:tcBorders>
            <w:shd w:val="clear" w:color="auto" w:fill="auto"/>
            <w:noWrap/>
            <w:vAlign w:val="center"/>
          </w:tcPr>
          <w:p w:rsidR="006052A9" w:rsidRPr="006052A9" w:rsidRDefault="006052A9" w:rsidP="00B723BB">
            <w:pPr>
              <w:rPr>
                <w:rFonts w:eastAsia="Times New Roman" w:cs="Times New Roman"/>
                <w:color w:val="000000"/>
                <w:sz w:val="20"/>
                <w:szCs w:val="20"/>
                <w:lang w:eastAsia="pt-BR"/>
              </w:rPr>
            </w:pPr>
            <w:r w:rsidRPr="006052A9">
              <w:rPr>
                <w:rFonts w:eastAsia="Times New Roman" w:cs="Times New Roman"/>
                <w:color w:val="000000"/>
                <w:sz w:val="20"/>
                <w:szCs w:val="20"/>
                <w:lang w:eastAsia="pt-BR"/>
              </w:rPr>
              <w:t>PEN/A</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w:t>
            </w:r>
          </w:p>
        </w:tc>
        <w:tc>
          <w:tcPr>
            <w:tcW w:w="807" w:type="pct"/>
            <w:tcBorders>
              <w:lef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-0,661</w:t>
            </w:r>
          </w:p>
        </w:tc>
      </w:tr>
      <w:tr w:rsidR="006052A9" w:rsidRPr="006052A9" w:rsidTr="0068566A">
        <w:trPr>
          <w:trHeight w:val="238"/>
        </w:trPr>
        <w:tc>
          <w:tcPr>
            <w:tcW w:w="961" w:type="pct"/>
            <w:tcBorders>
              <w:right w:val="dotted" w:sz="4" w:space="0" w:color="auto"/>
            </w:tcBorders>
            <w:shd w:val="clear" w:color="auto" w:fill="auto"/>
            <w:noWrap/>
            <w:vAlign w:val="center"/>
          </w:tcPr>
          <w:p w:rsidR="006052A9" w:rsidRPr="006052A9" w:rsidRDefault="006052A9" w:rsidP="00B723BB">
            <w:pPr>
              <w:rPr>
                <w:rFonts w:eastAsia="Times New Roman" w:cs="Times New Roman"/>
                <w:color w:val="000000"/>
                <w:sz w:val="20"/>
                <w:szCs w:val="20"/>
                <w:lang w:eastAsia="pt-BR"/>
              </w:rPr>
            </w:pPr>
            <w:r w:rsidRPr="006052A9">
              <w:rPr>
                <w:rFonts w:eastAsia="Times New Roman" w:cs="Times New Roman"/>
                <w:color w:val="000000"/>
                <w:sz w:val="20"/>
                <w:szCs w:val="20"/>
                <w:lang w:eastAsia="pt-BR"/>
              </w:rPr>
              <w:t>HED/A</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w:t>
            </w:r>
          </w:p>
        </w:tc>
        <w:tc>
          <w:tcPr>
            <w:tcW w:w="807" w:type="pct"/>
            <w:tcBorders>
              <w:lef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5,911 **</w:t>
            </w:r>
          </w:p>
        </w:tc>
      </w:tr>
      <w:tr w:rsidR="006052A9" w:rsidRPr="006052A9" w:rsidTr="0068566A">
        <w:trPr>
          <w:trHeight w:val="238"/>
        </w:trPr>
        <w:tc>
          <w:tcPr>
            <w:tcW w:w="961" w:type="pct"/>
            <w:tcBorders>
              <w:right w:val="dotted" w:sz="4" w:space="0" w:color="auto"/>
            </w:tcBorders>
            <w:shd w:val="clear" w:color="auto" w:fill="auto"/>
            <w:noWrap/>
            <w:vAlign w:val="center"/>
            <w:hideMark/>
          </w:tcPr>
          <w:p w:rsidR="006052A9" w:rsidRPr="006052A9" w:rsidRDefault="006052A9" w:rsidP="00B723BB">
            <w:pPr>
              <w:rPr>
                <w:rFonts w:eastAsia="Times New Roman" w:cs="Times New Roman"/>
                <w:color w:val="000000"/>
                <w:sz w:val="20"/>
                <w:szCs w:val="20"/>
                <w:lang w:eastAsia="pt-BR"/>
              </w:rPr>
            </w:pPr>
            <w:r w:rsidRPr="006052A9">
              <w:rPr>
                <w:rFonts w:eastAsia="Times New Roman" w:cs="Times New Roman"/>
                <w:color w:val="000000"/>
                <w:sz w:val="20"/>
                <w:szCs w:val="20"/>
                <w:lang w:eastAsia="pt-BR"/>
              </w:rPr>
              <w:t>R</w:t>
            </w:r>
            <w:r w:rsidRPr="006052A9">
              <w:rPr>
                <w:rFonts w:eastAsia="Times New Roman" w:cs="Times New Roman"/>
                <w:color w:val="000000"/>
                <w:sz w:val="20"/>
                <w:szCs w:val="20"/>
                <w:vertAlign w:val="superscript"/>
                <w:lang w:eastAsia="pt-BR"/>
              </w:rPr>
              <w:t>2</w:t>
            </w:r>
            <w:r w:rsidRPr="006052A9">
              <w:rPr>
                <w:rFonts w:eastAsia="Times New Roman" w:cs="Times New Roman"/>
                <w:color w:val="000000"/>
                <w:sz w:val="20"/>
                <w:szCs w:val="20"/>
                <w:lang w:eastAsia="pt-BR"/>
              </w:rPr>
              <w:t xml:space="preserve"> Aj</w:t>
            </w:r>
            <w:r w:rsidR="00B33FC1">
              <w:rPr>
                <w:rFonts w:eastAsia="Times New Roman" w:cs="Times New Roman"/>
                <w:color w:val="000000"/>
                <w:sz w:val="20"/>
                <w:szCs w:val="20"/>
                <w:lang w:eastAsia="pt-BR"/>
              </w:rPr>
              <w:t>. (605 obs.)</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52,92% ***</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50,00% ***</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54,86 ***</w:t>
            </w:r>
          </w:p>
        </w:tc>
        <w:tc>
          <w:tcPr>
            <w:tcW w:w="808" w:type="pct"/>
            <w:tcBorders>
              <w:left w:val="dotted" w:sz="4" w:space="0" w:color="auto"/>
              <w:righ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56,88 ***</w:t>
            </w:r>
          </w:p>
        </w:tc>
        <w:tc>
          <w:tcPr>
            <w:tcW w:w="807" w:type="pct"/>
            <w:tcBorders>
              <w:left w:val="dotted" w:sz="4" w:space="0" w:color="auto"/>
            </w:tcBorders>
            <w:shd w:val="clear" w:color="auto" w:fill="auto"/>
            <w:noWrap/>
            <w:vAlign w:val="center"/>
          </w:tcPr>
          <w:p w:rsidR="006052A9" w:rsidRPr="006052A9" w:rsidRDefault="006052A9" w:rsidP="00B723BB">
            <w:pPr>
              <w:jc w:val="center"/>
              <w:rPr>
                <w:rFonts w:eastAsia="Times New Roman" w:cs="Times New Roman"/>
                <w:color w:val="000000"/>
                <w:sz w:val="20"/>
                <w:szCs w:val="20"/>
                <w:lang w:eastAsia="pt-BR"/>
              </w:rPr>
            </w:pPr>
            <w:r w:rsidRPr="006052A9">
              <w:rPr>
                <w:rFonts w:eastAsia="Times New Roman" w:cs="Times New Roman"/>
                <w:color w:val="000000"/>
                <w:sz w:val="20"/>
                <w:szCs w:val="20"/>
                <w:lang w:eastAsia="pt-BR"/>
              </w:rPr>
              <w:t>54,23 ***</w:t>
            </w:r>
          </w:p>
        </w:tc>
      </w:tr>
      <w:tr w:rsidR="006052A9" w:rsidRPr="006052A9" w:rsidTr="0068566A">
        <w:trPr>
          <w:trHeight w:val="238"/>
        </w:trPr>
        <w:tc>
          <w:tcPr>
            <w:tcW w:w="961" w:type="pct"/>
            <w:tcBorders>
              <w:bottom w:val="single" w:sz="12" w:space="0" w:color="auto"/>
              <w:right w:val="dotted" w:sz="4" w:space="0" w:color="auto"/>
            </w:tcBorders>
            <w:shd w:val="clear" w:color="auto" w:fill="auto"/>
            <w:noWrap/>
            <w:vAlign w:val="center"/>
          </w:tcPr>
          <w:p w:rsidR="006052A9" w:rsidRPr="006052A9" w:rsidRDefault="00B33FC1" w:rsidP="00B723BB">
            <w:pPr>
              <w:rPr>
                <w:rFonts w:eastAsia="Times New Roman" w:cs="Times New Roman"/>
                <w:color w:val="000000"/>
                <w:sz w:val="20"/>
                <w:szCs w:val="20"/>
                <w:lang w:eastAsia="pt-BR"/>
              </w:rPr>
            </w:pPr>
            <w:r>
              <w:rPr>
                <w:rFonts w:eastAsia="Times New Roman" w:cs="Times New Roman"/>
                <w:color w:val="000000"/>
                <w:sz w:val="20"/>
                <w:szCs w:val="20"/>
                <w:lang w:eastAsia="pt-BR"/>
              </w:rPr>
              <w:t xml:space="preserve">Critério de </w:t>
            </w:r>
            <w:proofErr w:type="spellStart"/>
            <w:r>
              <w:rPr>
                <w:rFonts w:eastAsia="Times New Roman" w:cs="Times New Roman"/>
                <w:color w:val="000000"/>
                <w:sz w:val="20"/>
                <w:szCs w:val="20"/>
                <w:lang w:eastAsia="pt-BR"/>
              </w:rPr>
              <w:t>Akaike</w:t>
            </w:r>
            <w:proofErr w:type="spellEnd"/>
          </w:p>
        </w:tc>
        <w:tc>
          <w:tcPr>
            <w:tcW w:w="808" w:type="pct"/>
            <w:tcBorders>
              <w:left w:val="dotted" w:sz="4" w:space="0" w:color="auto"/>
              <w:bottom w:val="single" w:sz="12" w:space="0" w:color="auto"/>
              <w:right w:val="dotted" w:sz="4" w:space="0" w:color="auto"/>
            </w:tcBorders>
            <w:shd w:val="clear" w:color="auto" w:fill="auto"/>
            <w:noWrap/>
            <w:vAlign w:val="center"/>
          </w:tcPr>
          <w:p w:rsidR="006052A9" w:rsidRPr="006052A9" w:rsidRDefault="0068566A" w:rsidP="00B723BB">
            <w:pPr>
              <w:jc w:val="center"/>
              <w:rPr>
                <w:rFonts w:eastAsia="Times New Roman" w:cs="Times New Roman"/>
                <w:color w:val="000000"/>
                <w:sz w:val="20"/>
                <w:szCs w:val="20"/>
                <w:lang w:eastAsia="pt-BR"/>
              </w:rPr>
            </w:pPr>
            <w:r>
              <w:rPr>
                <w:rFonts w:eastAsia="Times New Roman" w:cs="Times New Roman"/>
                <w:color w:val="000000"/>
                <w:sz w:val="20"/>
                <w:szCs w:val="20"/>
                <w:lang w:eastAsia="pt-BR"/>
              </w:rPr>
              <w:t>5.618</w:t>
            </w:r>
          </w:p>
        </w:tc>
        <w:tc>
          <w:tcPr>
            <w:tcW w:w="808" w:type="pct"/>
            <w:tcBorders>
              <w:left w:val="dotted" w:sz="4" w:space="0" w:color="auto"/>
              <w:bottom w:val="single" w:sz="12" w:space="0" w:color="auto"/>
              <w:right w:val="dotted" w:sz="4" w:space="0" w:color="auto"/>
            </w:tcBorders>
            <w:shd w:val="clear" w:color="auto" w:fill="auto"/>
            <w:noWrap/>
            <w:vAlign w:val="center"/>
          </w:tcPr>
          <w:p w:rsidR="006052A9" w:rsidRPr="006052A9" w:rsidRDefault="0068566A" w:rsidP="00B723BB">
            <w:pPr>
              <w:jc w:val="center"/>
              <w:rPr>
                <w:rFonts w:eastAsia="Times New Roman" w:cs="Times New Roman"/>
                <w:color w:val="000000"/>
                <w:sz w:val="20"/>
                <w:szCs w:val="20"/>
                <w:lang w:eastAsia="pt-BR"/>
              </w:rPr>
            </w:pPr>
            <w:r>
              <w:rPr>
                <w:rFonts w:eastAsia="Times New Roman" w:cs="Times New Roman"/>
                <w:color w:val="000000"/>
                <w:sz w:val="20"/>
                <w:szCs w:val="20"/>
                <w:lang w:eastAsia="pt-BR"/>
              </w:rPr>
              <w:t>5.655</w:t>
            </w:r>
          </w:p>
        </w:tc>
        <w:tc>
          <w:tcPr>
            <w:tcW w:w="808" w:type="pct"/>
            <w:tcBorders>
              <w:left w:val="dotted" w:sz="4" w:space="0" w:color="auto"/>
              <w:bottom w:val="single" w:sz="12" w:space="0" w:color="auto"/>
              <w:right w:val="dotted" w:sz="4" w:space="0" w:color="auto"/>
            </w:tcBorders>
            <w:shd w:val="clear" w:color="auto" w:fill="auto"/>
            <w:noWrap/>
            <w:vAlign w:val="center"/>
          </w:tcPr>
          <w:p w:rsidR="006052A9" w:rsidRPr="006052A9" w:rsidRDefault="0068566A" w:rsidP="00B723BB">
            <w:pPr>
              <w:jc w:val="center"/>
              <w:rPr>
                <w:rFonts w:eastAsia="Times New Roman" w:cs="Times New Roman"/>
                <w:color w:val="000000"/>
                <w:sz w:val="20"/>
                <w:szCs w:val="20"/>
                <w:lang w:eastAsia="pt-BR"/>
              </w:rPr>
            </w:pPr>
            <w:r>
              <w:rPr>
                <w:rFonts w:eastAsia="Times New Roman" w:cs="Times New Roman"/>
                <w:color w:val="000000"/>
                <w:sz w:val="20"/>
                <w:szCs w:val="20"/>
                <w:lang w:eastAsia="pt-BR"/>
              </w:rPr>
              <w:t>5.594</w:t>
            </w:r>
          </w:p>
        </w:tc>
        <w:tc>
          <w:tcPr>
            <w:tcW w:w="808" w:type="pct"/>
            <w:tcBorders>
              <w:left w:val="dotted" w:sz="4" w:space="0" w:color="auto"/>
              <w:bottom w:val="single" w:sz="12" w:space="0" w:color="auto"/>
              <w:right w:val="dotted" w:sz="4" w:space="0" w:color="auto"/>
            </w:tcBorders>
            <w:shd w:val="clear" w:color="auto" w:fill="auto"/>
            <w:noWrap/>
            <w:vAlign w:val="center"/>
          </w:tcPr>
          <w:p w:rsidR="006052A9" w:rsidRPr="006052A9" w:rsidRDefault="0068566A" w:rsidP="00B723BB">
            <w:pPr>
              <w:jc w:val="center"/>
              <w:rPr>
                <w:rFonts w:eastAsia="Times New Roman" w:cs="Times New Roman"/>
                <w:color w:val="000000"/>
                <w:sz w:val="20"/>
                <w:szCs w:val="20"/>
                <w:lang w:eastAsia="pt-BR"/>
              </w:rPr>
            </w:pPr>
            <w:r>
              <w:rPr>
                <w:rFonts w:eastAsia="Times New Roman" w:cs="Times New Roman"/>
                <w:color w:val="000000"/>
                <w:sz w:val="20"/>
                <w:szCs w:val="20"/>
                <w:lang w:eastAsia="pt-BR"/>
              </w:rPr>
              <w:t>5.567</w:t>
            </w:r>
          </w:p>
        </w:tc>
        <w:tc>
          <w:tcPr>
            <w:tcW w:w="807" w:type="pct"/>
            <w:tcBorders>
              <w:left w:val="dotted" w:sz="4" w:space="0" w:color="auto"/>
              <w:bottom w:val="single" w:sz="12" w:space="0" w:color="auto"/>
            </w:tcBorders>
            <w:shd w:val="clear" w:color="auto" w:fill="auto"/>
            <w:vAlign w:val="center"/>
          </w:tcPr>
          <w:p w:rsidR="006052A9" w:rsidRPr="006052A9" w:rsidRDefault="0068566A" w:rsidP="00B723BB">
            <w:pPr>
              <w:jc w:val="center"/>
              <w:rPr>
                <w:rFonts w:eastAsia="Times New Roman" w:cs="Times New Roman"/>
                <w:color w:val="000000"/>
                <w:sz w:val="20"/>
                <w:szCs w:val="20"/>
                <w:lang w:eastAsia="pt-BR"/>
              </w:rPr>
            </w:pPr>
            <w:r>
              <w:rPr>
                <w:rFonts w:eastAsia="Times New Roman" w:cs="Times New Roman"/>
                <w:color w:val="000000"/>
                <w:sz w:val="20"/>
                <w:szCs w:val="20"/>
                <w:lang w:eastAsia="pt-BR"/>
              </w:rPr>
              <w:t>5.605</w:t>
            </w:r>
          </w:p>
        </w:tc>
      </w:tr>
    </w:tbl>
    <w:p w:rsidR="0068566A" w:rsidRDefault="0068566A" w:rsidP="00B723BB">
      <w:pPr>
        <w:spacing w:after="120"/>
        <w:jc w:val="both"/>
        <w:rPr>
          <w:rFonts w:cs="Times New Roman"/>
          <w:szCs w:val="24"/>
        </w:rPr>
      </w:pPr>
      <w:r w:rsidRPr="00B33FC1">
        <w:rPr>
          <w:rFonts w:cs="Times New Roman"/>
          <w:sz w:val="20"/>
          <w:szCs w:val="24"/>
        </w:rPr>
        <w:t xml:space="preserve">Fonte: </w:t>
      </w:r>
      <w:r>
        <w:rPr>
          <w:rFonts w:cs="Times New Roman"/>
          <w:sz w:val="20"/>
          <w:szCs w:val="24"/>
        </w:rPr>
        <w:t>resultados da pesquisa.</w:t>
      </w:r>
    </w:p>
    <w:p w:rsidR="00CE4AEC" w:rsidRDefault="00233823" w:rsidP="009650A6">
      <w:pPr>
        <w:spacing w:line="360" w:lineRule="auto"/>
        <w:ind w:firstLine="708"/>
        <w:jc w:val="both"/>
        <w:rPr>
          <w:rFonts w:cs="Times New Roman"/>
          <w:szCs w:val="24"/>
        </w:rPr>
      </w:pPr>
      <w:r>
        <w:rPr>
          <w:rFonts w:cs="Times New Roman"/>
          <w:szCs w:val="24"/>
        </w:rPr>
        <w:lastRenderedPageBreak/>
        <w:t>No</w:t>
      </w:r>
      <w:r w:rsidR="00832074">
        <w:rPr>
          <w:rFonts w:cs="Times New Roman"/>
          <w:szCs w:val="24"/>
        </w:rPr>
        <w:t xml:space="preserve">s resultados estimados </w:t>
      </w:r>
      <w:r w:rsidR="0056267C">
        <w:rPr>
          <w:rFonts w:cs="Times New Roman"/>
          <w:szCs w:val="24"/>
        </w:rPr>
        <w:t>do modelo 06</w:t>
      </w:r>
      <w:r>
        <w:rPr>
          <w:rFonts w:cs="Times New Roman"/>
          <w:szCs w:val="24"/>
        </w:rPr>
        <w:t>,</w:t>
      </w:r>
      <w:r w:rsidR="0056267C">
        <w:rPr>
          <w:rFonts w:cs="Times New Roman"/>
          <w:szCs w:val="24"/>
        </w:rPr>
        <w:t xml:space="preserve"> as variáveis VPA e LL/A (o mesmo que LPA) são positivas e significativas ao nível de 1%, análogo ao que era esperado e confirmado em pesquisas </w:t>
      </w:r>
      <w:proofErr w:type="gramStart"/>
      <w:r w:rsidR="0056267C">
        <w:rPr>
          <w:rFonts w:cs="Times New Roman"/>
          <w:szCs w:val="24"/>
        </w:rPr>
        <w:t>anteriores</w:t>
      </w:r>
      <w:proofErr w:type="gramEnd"/>
      <w:r w:rsidR="001F2FEE">
        <w:rPr>
          <w:rFonts w:cs="Times New Roman"/>
          <w:szCs w:val="24"/>
        </w:rPr>
        <w:t xml:space="preserve"> </w:t>
      </w:r>
      <w:r w:rsidR="001F2FEE">
        <w:rPr>
          <w:rFonts w:cs="Times New Roman"/>
          <w:szCs w:val="24"/>
        </w:rPr>
        <w:fldChar w:fldCharType="begin" w:fldLock="1"/>
      </w:r>
      <w:r w:rsidR="009B7835">
        <w:rPr>
          <w:rFonts w:cs="Times New Roman"/>
          <w:szCs w:val="24"/>
        </w:rPr>
        <w:instrText>ADDIN CSL_CITATION { "citationItems" : [ { "id" : "ITEM-1", "itemData" : { "author" : [ { "dropping-particle" : "", "family" : "Madeira", "given" : "Fabio Lopes", "non-dropping-particle" : "", "parse-names" : false, "suffix" : "" }, { "dropping-particle" : "da", "family" : "Costa Junior", "given" : "Jorge Vieira", "non-dropping-particle" : "", "parse-names" : false, "suffix" : "" } ], "container-title" : "VIII Congresso Anpcont", "id" : "ITEM-1", "issued" : { "date-parts" : [ [ "2014" ] ] }, "page" : "1-13", "title" : "Value Relevance Dos Outros Resultados Abrangentes Nas Companhias Abertas Brasilieras", "type" : "article-journal" }, "uris" : [ "http://www.mendeley.com/documents/?uuid=54c4aca4-0f7b-48e3-9166-9e38673b40c8" ] }, { "id" : "ITEM-2", "itemData" : { "author" : [ { "dropping-particle" : "", "family" : "Macedo", "given" : "Marcelo Alvaro da Silva", "non-dropping-particle" : "", "parse-names" : false, "suffix" : "" }, { "dropping-particle" : "", "family" : "Romana", "given" : "Tatiane Dutra", "non-dropping-particle" : "", "parse-names" : false, "suffix" : "" }, { "dropping-particle" : "", "family" : "Silva", "given" : "Jonathas Coelho", "non-dropping-particle" : "", "parse-names" : false, "suffix" : "" } ], "container-title" : "XIV Congresso USP", "id" : "ITEM-2", "issued" : { "date-parts" : [ [ "2014" ] ] }, "page" : "1-17", "publisher-place" : "S\u00e3o Paulo", "title" : "An\u00e1lise dos Determinantes da Relev\u00e2ncia das Informa\u00e7\u00f5es Cont\u00e1beis no Brasil: um estudo com base no lucro l\u00edquido (LL) e no patrim\u00f4nio l\u00edquido (PL) para o per\u00edodo de 2010 a 2012", "type" : "paper-conference" }, "uris" : [ "http://www.mendeley.com/documents/?uuid=c9c50322-d25d-4656-b32f-bec0cd31ed94" ] } ], "mendeley" : { "formattedCitation" : "(MACEDO; ROMANA; SILVA, 2014; MADEIRA; COSTA JUNIOR, 2014)", "plainTextFormattedCitation" : "(MACEDO; ROMANA; SILVA, 2014; MADEIRA; COSTA JUNIOR, 2014)", "previouslyFormattedCitation" : "(MACEDO; ROMANA; SILVA, 2014; MADEIRA; COSTA JUNIOR, 2014)" }, "properties" : { "noteIndex" : 0 }, "schema" : "https://github.com/citation-style-language/schema/raw/master/csl-citation.json" }</w:instrText>
      </w:r>
      <w:r w:rsidR="001F2FEE">
        <w:rPr>
          <w:rFonts w:cs="Times New Roman"/>
          <w:szCs w:val="24"/>
        </w:rPr>
        <w:fldChar w:fldCharType="separate"/>
      </w:r>
      <w:r w:rsidRPr="00233823">
        <w:rPr>
          <w:rFonts w:cs="Times New Roman"/>
          <w:noProof/>
          <w:szCs w:val="24"/>
        </w:rPr>
        <w:t>(MACEDO; ROMANA; SILVA, 2014; MADEIRA; COSTA JUNIOR, 201</w:t>
      </w:r>
      <w:r w:rsidR="000C294C">
        <w:rPr>
          <w:rFonts w:cs="Times New Roman"/>
          <w:noProof/>
          <w:szCs w:val="24"/>
        </w:rPr>
        <w:t>5</w:t>
      </w:r>
      <w:r w:rsidRPr="00233823">
        <w:rPr>
          <w:rFonts w:cs="Times New Roman"/>
          <w:noProof/>
          <w:szCs w:val="24"/>
        </w:rPr>
        <w:t>)</w:t>
      </w:r>
      <w:r w:rsidR="001F2FEE">
        <w:rPr>
          <w:rFonts w:cs="Times New Roman"/>
          <w:szCs w:val="24"/>
        </w:rPr>
        <w:fldChar w:fldCharType="end"/>
      </w:r>
      <w:r w:rsidR="0056267C">
        <w:rPr>
          <w:rFonts w:cs="Times New Roman"/>
          <w:szCs w:val="24"/>
        </w:rPr>
        <w:t xml:space="preserve">. </w:t>
      </w:r>
      <w:r w:rsidR="00FF655A">
        <w:rPr>
          <w:rFonts w:cs="Times New Roman"/>
          <w:szCs w:val="24"/>
        </w:rPr>
        <w:t>O valor do coeficiente de VPA, igual a 0,706, revela que em média o valor de mercado das empresas é superior ao valor contábil</w:t>
      </w:r>
      <w:r w:rsidR="001278C7">
        <w:rPr>
          <w:rFonts w:cs="Times New Roman"/>
          <w:szCs w:val="24"/>
        </w:rPr>
        <w:t>, mesmo com parte dos ajustes a valor justo mantidos no PL</w:t>
      </w:r>
      <w:r w:rsidR="00FF655A">
        <w:rPr>
          <w:rFonts w:cs="Times New Roman"/>
          <w:szCs w:val="24"/>
        </w:rPr>
        <w:t>.</w:t>
      </w:r>
    </w:p>
    <w:p w:rsidR="001278C7" w:rsidRPr="00B33FC1" w:rsidRDefault="001278C7" w:rsidP="009650A6">
      <w:pPr>
        <w:spacing w:line="360" w:lineRule="auto"/>
        <w:jc w:val="both"/>
        <w:rPr>
          <w:rFonts w:cs="Times New Roman"/>
          <w:szCs w:val="24"/>
        </w:rPr>
      </w:pPr>
      <w:r>
        <w:rPr>
          <w:rFonts w:cs="Times New Roman"/>
          <w:szCs w:val="24"/>
        </w:rPr>
        <w:tab/>
      </w:r>
      <w:r w:rsidR="008537DE">
        <w:rPr>
          <w:rFonts w:cs="Times New Roman"/>
          <w:szCs w:val="24"/>
        </w:rPr>
        <w:t>Na equação 07</w:t>
      </w:r>
      <w:r w:rsidR="000E2AD1">
        <w:rPr>
          <w:rFonts w:cs="Times New Roman"/>
          <w:szCs w:val="24"/>
        </w:rPr>
        <w:t xml:space="preserve"> o lucro lí</w:t>
      </w:r>
      <w:r>
        <w:rPr>
          <w:rFonts w:cs="Times New Roman"/>
          <w:szCs w:val="24"/>
        </w:rPr>
        <w:t>quido foi substituído pelo resultado abrangente consolidado. A variável RAC</w:t>
      </w:r>
      <w:r w:rsidR="00DF24EA">
        <w:rPr>
          <w:rFonts w:cs="Times New Roman"/>
          <w:szCs w:val="24"/>
        </w:rPr>
        <w:t>/A</w:t>
      </w:r>
      <w:r>
        <w:rPr>
          <w:rFonts w:cs="Times New Roman"/>
          <w:szCs w:val="24"/>
        </w:rPr>
        <w:t xml:space="preserve"> não foi significativa e, por esse motivo, a regressão perdeu </w:t>
      </w:r>
      <w:r w:rsidR="000E2AD1">
        <w:rPr>
          <w:rFonts w:cs="Times New Roman"/>
          <w:szCs w:val="24"/>
        </w:rPr>
        <w:t>capacidade explicativa</w:t>
      </w:r>
      <w:r w:rsidR="008537DE">
        <w:rPr>
          <w:rFonts w:cs="Times New Roman"/>
          <w:szCs w:val="24"/>
        </w:rPr>
        <w:t>.</w:t>
      </w:r>
      <w:r>
        <w:rPr>
          <w:rFonts w:cs="Times New Roman"/>
          <w:szCs w:val="24"/>
        </w:rPr>
        <w:t xml:space="preserve"> </w:t>
      </w:r>
      <w:r w:rsidR="008537DE">
        <w:rPr>
          <w:rFonts w:cs="Times New Roman"/>
          <w:szCs w:val="24"/>
        </w:rPr>
        <w:t>O</w:t>
      </w:r>
      <w:r>
        <w:rPr>
          <w:rFonts w:cs="Times New Roman"/>
          <w:szCs w:val="24"/>
        </w:rPr>
        <w:t xml:space="preserve"> R² ajustado </w:t>
      </w:r>
      <w:r w:rsidR="000E2AD1">
        <w:rPr>
          <w:rFonts w:cs="Times New Roman"/>
          <w:szCs w:val="24"/>
        </w:rPr>
        <w:t>diminuiu</w:t>
      </w:r>
      <w:r>
        <w:rPr>
          <w:rFonts w:cs="Times New Roman"/>
          <w:szCs w:val="24"/>
        </w:rPr>
        <w:t xml:space="preserve"> para 50%, </w:t>
      </w:r>
      <w:r w:rsidR="008537DE">
        <w:rPr>
          <w:rFonts w:cs="Times New Roman"/>
          <w:szCs w:val="24"/>
        </w:rPr>
        <w:t xml:space="preserve">que representa a </w:t>
      </w:r>
      <w:r>
        <w:rPr>
          <w:rFonts w:cs="Times New Roman"/>
          <w:szCs w:val="24"/>
        </w:rPr>
        <w:t>parcela do preço explicada apenas pelo valor de livro do PL.</w:t>
      </w:r>
      <w:r w:rsidR="008537DE">
        <w:rPr>
          <w:rFonts w:cs="Times New Roman"/>
          <w:szCs w:val="24"/>
        </w:rPr>
        <w:t xml:space="preserve"> Retornando </w:t>
      </w:r>
      <w:r w:rsidR="0028454A">
        <w:rPr>
          <w:rFonts w:cs="Times New Roman"/>
          <w:szCs w:val="24"/>
        </w:rPr>
        <w:t>ao Painel B da</w:t>
      </w:r>
      <w:r w:rsidR="008537DE">
        <w:rPr>
          <w:rFonts w:cs="Times New Roman"/>
          <w:szCs w:val="24"/>
        </w:rPr>
        <w:t xml:space="preserve"> Tabela 0</w:t>
      </w:r>
      <w:r w:rsidR="00D633D3">
        <w:rPr>
          <w:rFonts w:cs="Times New Roman"/>
          <w:szCs w:val="24"/>
        </w:rPr>
        <w:t>1</w:t>
      </w:r>
      <w:r w:rsidR="008537DE">
        <w:rPr>
          <w:rFonts w:cs="Times New Roman"/>
          <w:szCs w:val="24"/>
        </w:rPr>
        <w:t>, pode-se verificar que o RAC</w:t>
      </w:r>
      <w:r w:rsidR="00DF24EA">
        <w:rPr>
          <w:rFonts w:cs="Times New Roman"/>
          <w:szCs w:val="24"/>
        </w:rPr>
        <w:t>/A</w:t>
      </w:r>
      <w:r w:rsidR="008537DE">
        <w:rPr>
          <w:rFonts w:cs="Times New Roman"/>
          <w:szCs w:val="24"/>
        </w:rPr>
        <w:t xml:space="preserve"> possui uma dispersão muito superior ao </w:t>
      </w:r>
      <w:r w:rsidR="00DF24EA">
        <w:rPr>
          <w:rFonts w:cs="Times New Roman"/>
          <w:szCs w:val="24"/>
        </w:rPr>
        <w:t xml:space="preserve">lucro por ação, com coeficiente de variação de 9,92 </w:t>
      </w:r>
      <w:r w:rsidR="00DF24EA" w:rsidRPr="00DF24EA">
        <w:rPr>
          <w:rFonts w:cs="Times New Roman"/>
          <w:i/>
          <w:szCs w:val="24"/>
        </w:rPr>
        <w:t>versus</w:t>
      </w:r>
      <w:r w:rsidR="00DF24EA">
        <w:rPr>
          <w:rFonts w:cs="Times New Roman"/>
          <w:szCs w:val="24"/>
        </w:rPr>
        <w:t xml:space="preserve"> 5,05 do LL/A</w:t>
      </w:r>
      <w:r w:rsidR="008537DE">
        <w:rPr>
          <w:rFonts w:cs="Times New Roman"/>
          <w:szCs w:val="24"/>
        </w:rPr>
        <w:t>, bem como maiores assimetria e curtose. Essas dessemelhanças reduzem a capacidade explicativa da variável.</w:t>
      </w:r>
    </w:p>
    <w:p w:rsidR="00B614A1" w:rsidRDefault="000E2AD1" w:rsidP="009650A6">
      <w:pPr>
        <w:spacing w:line="360" w:lineRule="auto"/>
        <w:jc w:val="both"/>
        <w:rPr>
          <w:rFonts w:cs="Times New Roman"/>
          <w:szCs w:val="24"/>
        </w:rPr>
      </w:pPr>
      <w:r>
        <w:rPr>
          <w:rFonts w:cs="Times New Roman"/>
          <w:szCs w:val="24"/>
        </w:rPr>
        <w:tab/>
      </w:r>
      <w:r w:rsidR="00A340CD">
        <w:rPr>
          <w:rFonts w:cs="Times New Roman"/>
          <w:szCs w:val="24"/>
        </w:rPr>
        <w:t>N</w:t>
      </w:r>
      <w:r w:rsidR="00B614A1">
        <w:rPr>
          <w:rFonts w:cs="Times New Roman"/>
          <w:szCs w:val="24"/>
        </w:rPr>
        <w:t>o</w:t>
      </w:r>
      <w:r w:rsidR="00A340CD">
        <w:rPr>
          <w:rFonts w:cs="Times New Roman"/>
          <w:szCs w:val="24"/>
        </w:rPr>
        <w:t xml:space="preserve">s </w:t>
      </w:r>
      <w:r w:rsidR="00B614A1">
        <w:rPr>
          <w:rFonts w:cs="Times New Roman"/>
          <w:szCs w:val="24"/>
        </w:rPr>
        <w:t>modelos</w:t>
      </w:r>
      <w:r w:rsidR="00A340CD">
        <w:rPr>
          <w:rFonts w:cs="Times New Roman"/>
          <w:szCs w:val="24"/>
        </w:rPr>
        <w:t xml:space="preserve"> seguintes mantém-se </w:t>
      </w:r>
      <w:proofErr w:type="gramStart"/>
      <w:r w:rsidR="00A340CD">
        <w:rPr>
          <w:rFonts w:cs="Times New Roman"/>
          <w:szCs w:val="24"/>
        </w:rPr>
        <w:t>a variável lucro</w:t>
      </w:r>
      <w:proofErr w:type="gramEnd"/>
      <w:r w:rsidR="00A340CD">
        <w:rPr>
          <w:rFonts w:cs="Times New Roman"/>
          <w:szCs w:val="24"/>
        </w:rPr>
        <w:t xml:space="preserve"> líquido por ação e os ajustes são acrescidos, aumentando progressivamente o nível de detalhamento dos componentes dos outros resultados abrangentes. N</w:t>
      </w:r>
      <w:r w:rsidR="00B614A1">
        <w:rPr>
          <w:rFonts w:cs="Times New Roman"/>
          <w:szCs w:val="24"/>
        </w:rPr>
        <w:t>a</w:t>
      </w:r>
      <w:r w:rsidR="00A340CD">
        <w:rPr>
          <w:rFonts w:cs="Times New Roman"/>
          <w:szCs w:val="24"/>
        </w:rPr>
        <w:t xml:space="preserve"> </w:t>
      </w:r>
      <w:r w:rsidR="00B614A1">
        <w:rPr>
          <w:rFonts w:cs="Times New Roman"/>
          <w:szCs w:val="24"/>
        </w:rPr>
        <w:t>equação</w:t>
      </w:r>
      <w:r w:rsidR="00A340CD">
        <w:rPr>
          <w:rFonts w:cs="Times New Roman"/>
          <w:szCs w:val="24"/>
        </w:rPr>
        <w:t xml:space="preserve"> 08 os ORA/A </w:t>
      </w:r>
      <w:r w:rsidR="00CB3B31">
        <w:rPr>
          <w:rFonts w:cs="Times New Roman"/>
          <w:szCs w:val="24"/>
        </w:rPr>
        <w:t xml:space="preserve">não foram significativos ao nível de 10%, o coeficiente da variável teve p-valor calculado de 0,154, talvez com uma amostra menos heterogênea o coeficiente poderia ser significativo. </w:t>
      </w:r>
      <w:r w:rsidR="00B614A1">
        <w:rPr>
          <w:rFonts w:cs="Times New Roman"/>
          <w:szCs w:val="24"/>
        </w:rPr>
        <w:t xml:space="preserve">Relevando essa implicação, os ORA/A </w:t>
      </w:r>
      <w:r w:rsidR="00A340CD">
        <w:rPr>
          <w:rFonts w:cs="Times New Roman"/>
          <w:szCs w:val="24"/>
        </w:rPr>
        <w:t xml:space="preserve">apresentaram relação positiva, como </w:t>
      </w:r>
      <w:proofErr w:type="gramStart"/>
      <w:r w:rsidR="00A340CD">
        <w:rPr>
          <w:rFonts w:cs="Times New Roman"/>
          <w:szCs w:val="24"/>
        </w:rPr>
        <w:t>espera-se</w:t>
      </w:r>
      <w:proofErr w:type="gramEnd"/>
      <w:r w:rsidR="00A340CD">
        <w:rPr>
          <w:rFonts w:cs="Times New Roman"/>
          <w:szCs w:val="24"/>
        </w:rPr>
        <w:t xml:space="preserve">, indicando que esses componentes, apesar de não transitarem pelo resultado do período, já estariam incluídos nas avaliações </w:t>
      </w:r>
      <w:r w:rsidR="00B614A1">
        <w:rPr>
          <w:rFonts w:cs="Times New Roman"/>
          <w:szCs w:val="24"/>
        </w:rPr>
        <w:t>dos participantes do mercado.</w:t>
      </w:r>
    </w:p>
    <w:p w:rsidR="009B7835" w:rsidRDefault="00B614A1" w:rsidP="009650A6">
      <w:pPr>
        <w:spacing w:line="360" w:lineRule="auto"/>
        <w:jc w:val="both"/>
        <w:rPr>
          <w:rFonts w:cs="Times New Roman"/>
          <w:szCs w:val="24"/>
        </w:rPr>
      </w:pPr>
      <w:r>
        <w:rPr>
          <w:rFonts w:cs="Times New Roman"/>
          <w:szCs w:val="24"/>
        </w:rPr>
        <w:tab/>
        <w:t xml:space="preserve">A substituição dos outros resultados abrangentes por seus componentes TVM e o agregado NVM (soma de CON, PEN e HED), diferente do encontrado para o </w:t>
      </w:r>
      <w:proofErr w:type="gramStart"/>
      <w:r>
        <w:rPr>
          <w:rFonts w:cs="Times New Roman"/>
          <w:szCs w:val="24"/>
        </w:rPr>
        <w:t>FCO</w:t>
      </w:r>
      <w:r w:rsidRPr="003B515D">
        <w:rPr>
          <w:rFonts w:cs="Times New Roman"/>
          <w:szCs w:val="24"/>
          <w:vertAlign w:val="subscript"/>
        </w:rPr>
        <w:t>t</w:t>
      </w:r>
      <w:proofErr w:type="gramEnd"/>
      <w:r w:rsidRPr="003B515D">
        <w:rPr>
          <w:rFonts w:cs="Times New Roman"/>
          <w:szCs w:val="24"/>
          <w:vertAlign w:val="subscript"/>
        </w:rPr>
        <w:t>+1</w:t>
      </w:r>
      <w:r>
        <w:rPr>
          <w:rFonts w:cs="Times New Roman"/>
          <w:szCs w:val="24"/>
        </w:rPr>
        <w:t xml:space="preserve">, não </w:t>
      </w:r>
      <w:r w:rsidR="003B515D">
        <w:rPr>
          <w:rFonts w:cs="Times New Roman"/>
          <w:szCs w:val="24"/>
        </w:rPr>
        <w:t xml:space="preserve">apresentaram betas </w:t>
      </w:r>
      <w:r>
        <w:rPr>
          <w:rFonts w:cs="Times New Roman"/>
          <w:szCs w:val="24"/>
        </w:rPr>
        <w:t xml:space="preserve">significativos. </w:t>
      </w:r>
      <w:r w:rsidR="003716F2">
        <w:rPr>
          <w:rFonts w:cs="Times New Roman"/>
          <w:szCs w:val="24"/>
        </w:rPr>
        <w:t xml:space="preserve">Ressalta-se, novamente, que uma parcela reduzida das observações </w:t>
      </w:r>
      <w:proofErr w:type="spellStart"/>
      <w:r w:rsidR="003716F2">
        <w:rPr>
          <w:rFonts w:cs="Times New Roman"/>
          <w:szCs w:val="24"/>
        </w:rPr>
        <w:t>empresas-ano</w:t>
      </w:r>
      <w:proofErr w:type="spellEnd"/>
      <w:r w:rsidR="003716F2">
        <w:rPr>
          <w:rFonts w:cs="Times New Roman"/>
          <w:szCs w:val="24"/>
        </w:rPr>
        <w:t xml:space="preserve"> continham informações de todos os componentes dos ORA.</w:t>
      </w:r>
      <w:r w:rsidR="009B7835">
        <w:rPr>
          <w:rFonts w:cs="Times New Roman"/>
          <w:szCs w:val="24"/>
        </w:rPr>
        <w:t xml:space="preserve"> </w:t>
      </w:r>
      <w:r w:rsidR="00E674BB">
        <w:rPr>
          <w:rFonts w:cs="Times New Roman"/>
          <w:szCs w:val="24"/>
        </w:rPr>
        <w:t xml:space="preserve">Conforme sugerido por </w:t>
      </w:r>
      <w:r w:rsidR="00E674BB">
        <w:rPr>
          <w:rFonts w:cs="Times New Roman"/>
          <w:szCs w:val="24"/>
        </w:rPr>
        <w:fldChar w:fldCharType="begin" w:fldLock="1"/>
      </w:r>
      <w:r w:rsidR="00E674BB">
        <w:rPr>
          <w:rFonts w:cs="Times New Roman"/>
          <w:szCs w:val="24"/>
        </w:rPr>
        <w:instrText>ADDIN CSL_CITATION { "citationItems" : [ { "id" : "ITEM-1", "itemData" : { "abstract" : "This study examined the information content of the Comprehensive Income Statement published by 62 companies of \u201cNew Market\u201d of BM &amp; FBovespa. The statistical analysis consisted of the application of the mean difference paired test (T test and Wilcoxon test). In addition, a qualitative analysis was performed. The results indicated that: (a) approximately 50% of companies reported gains and losses in Comprehensive Income Statement; (b) the effects of gains and losses were positive in 2012 and 2011 and negative in 2010; (c) the CPC 2 (Effects of changes in exchange rates and translation of financial statements) and CPC 38 (Financial Instruments) were the most frequent; and d) there are differences between metrics Net Income and Comprehensive Income for the companies analyzed in years 2011 and 2010. The results indicate that the items of the DRA have the potential to generate volatility in the income statement if they were recognized in the Income Statement", "author" : [ { "dropping-particle" : "", "family" : "Coutinho", "given" : "Adolfo Henrique", "non-dropping-particle" : "", "parse-names" : false, "suffix" : "" }, { "dropping-particle" : "da", "family" : "Silva", "given" : "\u00c9rica Gomes Rocha", "non-dropping-particle" : "", "parse-names" : false, "suffix" : "" } ], "container-title" : "Contextus", "id" : "ITEM-1", "issue" : "1", "issued" : { "date-parts" : [ [ "2015" ] ] }, "page" : "27", "title" : "AN\u00c1LISE DAS DEMONSTRA\u00c7\u00d5ES DE RESULTADO ABRANGENTE AP\u00d3S A IMPLEMENTA\u00c7\u00c3O DO IFRS NO BRASIL", "type" : "article-journal", "volume" : "13" }, "uris" : [ "http://www.mendeley.com/documents/?uuid=e6296d60-5d26-47d4-abe1-d86cce3f8b26" ] } ], "mendeley" : { "formattedCitation" : "(COUTINHO; SILVA, 2015)", "manualFormatting" : "Coutinho e Silva (2015)", "plainTextFormattedCitation" : "(COUTINHO; SILVA, 2015)", "previouslyFormattedCitation" : "(COUTINHO; SILVA, 2015)" }, "properties" : { "noteIndex" : 0 }, "schema" : "https://github.com/citation-style-language/schema/raw/master/csl-citation.json" }</w:instrText>
      </w:r>
      <w:r w:rsidR="00E674BB">
        <w:rPr>
          <w:rFonts w:cs="Times New Roman"/>
          <w:szCs w:val="24"/>
        </w:rPr>
        <w:fldChar w:fldCharType="separate"/>
      </w:r>
      <w:r w:rsidR="00E674BB">
        <w:rPr>
          <w:rFonts w:cs="Times New Roman"/>
          <w:noProof/>
          <w:szCs w:val="24"/>
        </w:rPr>
        <w:t>C</w:t>
      </w:r>
      <w:r w:rsidR="00E674BB" w:rsidRPr="00E674BB">
        <w:rPr>
          <w:rFonts w:cs="Times New Roman"/>
          <w:noProof/>
          <w:szCs w:val="24"/>
        </w:rPr>
        <w:t>outinho</w:t>
      </w:r>
      <w:r w:rsidR="00E674BB">
        <w:rPr>
          <w:rFonts w:cs="Times New Roman"/>
          <w:noProof/>
          <w:szCs w:val="24"/>
        </w:rPr>
        <w:t xml:space="preserve"> e</w:t>
      </w:r>
      <w:r w:rsidR="00E674BB" w:rsidRPr="00E674BB">
        <w:rPr>
          <w:rFonts w:cs="Times New Roman"/>
          <w:noProof/>
          <w:szCs w:val="24"/>
        </w:rPr>
        <w:t xml:space="preserve"> Silva </w:t>
      </w:r>
      <w:r w:rsidR="00E674BB">
        <w:rPr>
          <w:rFonts w:cs="Times New Roman"/>
          <w:noProof/>
          <w:szCs w:val="24"/>
        </w:rPr>
        <w:t>(</w:t>
      </w:r>
      <w:r w:rsidR="00E674BB" w:rsidRPr="00E674BB">
        <w:rPr>
          <w:rFonts w:cs="Times New Roman"/>
          <w:noProof/>
          <w:szCs w:val="24"/>
        </w:rPr>
        <w:t>2015)</w:t>
      </w:r>
      <w:r w:rsidR="00E674BB">
        <w:rPr>
          <w:rFonts w:cs="Times New Roman"/>
          <w:szCs w:val="24"/>
        </w:rPr>
        <w:fldChar w:fldCharType="end"/>
      </w:r>
      <w:r w:rsidR="00E674BB">
        <w:rPr>
          <w:rFonts w:cs="Times New Roman"/>
          <w:szCs w:val="24"/>
        </w:rPr>
        <w:t xml:space="preserve"> </w:t>
      </w:r>
      <w:r w:rsidR="000A0D87">
        <w:rPr>
          <w:rFonts w:cs="Times New Roman"/>
          <w:szCs w:val="24"/>
        </w:rPr>
        <w:t xml:space="preserve">a emissão de interpretações e orientações pelos órgãos </w:t>
      </w:r>
      <w:proofErr w:type="spellStart"/>
      <w:r w:rsidR="000A0D87">
        <w:rPr>
          <w:rFonts w:cs="Times New Roman"/>
          <w:szCs w:val="24"/>
        </w:rPr>
        <w:t>normatizadores</w:t>
      </w:r>
      <w:proofErr w:type="spellEnd"/>
      <w:r w:rsidR="000A0D87">
        <w:rPr>
          <w:rFonts w:cs="Times New Roman"/>
          <w:szCs w:val="24"/>
        </w:rPr>
        <w:t xml:space="preserve"> poderia</w:t>
      </w:r>
      <w:r w:rsidR="00E674BB">
        <w:rPr>
          <w:rFonts w:cs="Times New Roman"/>
          <w:szCs w:val="24"/>
        </w:rPr>
        <w:t xml:space="preserve"> aumentar a qualidade das informações divulgadas pelas empresas</w:t>
      </w:r>
      <w:r w:rsidR="000A0D87">
        <w:rPr>
          <w:rFonts w:cs="Times New Roman"/>
          <w:szCs w:val="24"/>
        </w:rPr>
        <w:t>,</w:t>
      </w:r>
      <w:r w:rsidR="00E674BB">
        <w:rPr>
          <w:rFonts w:cs="Times New Roman"/>
          <w:szCs w:val="24"/>
        </w:rPr>
        <w:t xml:space="preserve"> facilitand</w:t>
      </w:r>
      <w:r w:rsidR="000A0D87">
        <w:rPr>
          <w:rFonts w:cs="Times New Roman"/>
          <w:szCs w:val="24"/>
        </w:rPr>
        <w:t>o a comparação e compreensão da DRA.</w:t>
      </w:r>
    </w:p>
    <w:p w:rsidR="00A71CA2" w:rsidRDefault="000565DE" w:rsidP="009650A6">
      <w:pPr>
        <w:spacing w:line="360" w:lineRule="auto"/>
        <w:ind w:firstLine="708"/>
        <w:jc w:val="both"/>
        <w:rPr>
          <w:rFonts w:cs="Times New Roman"/>
          <w:szCs w:val="24"/>
        </w:rPr>
      </w:pPr>
      <w:r>
        <w:rPr>
          <w:rFonts w:cs="Times New Roman"/>
          <w:szCs w:val="24"/>
        </w:rPr>
        <w:t>Para o modelo 10, com todas as variáveis relativas aos componente</w:t>
      </w:r>
      <w:r w:rsidR="009B7835">
        <w:rPr>
          <w:rFonts w:cs="Times New Roman"/>
          <w:szCs w:val="24"/>
        </w:rPr>
        <w:t xml:space="preserve">s dos ORA, somente a parcela relativa ao resultado do </w:t>
      </w:r>
      <w:r w:rsidR="009B7835" w:rsidRPr="008606D3">
        <w:rPr>
          <w:rFonts w:cs="Times New Roman"/>
          <w:i/>
          <w:szCs w:val="24"/>
        </w:rPr>
        <w:t>hedge</w:t>
      </w:r>
      <w:r w:rsidR="009B7835">
        <w:rPr>
          <w:rFonts w:cs="Times New Roman"/>
          <w:szCs w:val="24"/>
        </w:rPr>
        <w:t xml:space="preserve"> de fluxo de caixa foi significativa. Esse resultado é condizente com o encontrado </w:t>
      </w:r>
      <w:r w:rsidR="00063B73">
        <w:rPr>
          <w:rFonts w:cs="Times New Roman"/>
          <w:szCs w:val="24"/>
        </w:rPr>
        <w:t xml:space="preserve">em estudo realizado </w:t>
      </w:r>
      <w:r w:rsidR="00E4169F">
        <w:rPr>
          <w:rFonts w:cs="Times New Roman"/>
          <w:szCs w:val="24"/>
        </w:rPr>
        <w:t xml:space="preserve">por </w:t>
      </w:r>
      <w:r w:rsidR="009B7835">
        <w:rPr>
          <w:rFonts w:cs="Times New Roman"/>
          <w:szCs w:val="24"/>
        </w:rPr>
        <w:fldChar w:fldCharType="begin" w:fldLock="1"/>
      </w:r>
      <w:r w:rsidR="00E674BB">
        <w:rPr>
          <w:rFonts w:cs="Times New Roman"/>
          <w:szCs w:val="24"/>
        </w:rPr>
        <w:instrText>ADDIN CSL_CITATION { "citationItems" : [ { "id" : "ITEM-1", "itemData" : { "DOI" : "10.1016/j.jaccpubpol.2009.06.004", "ISSN" : "0278-4254", "author" : [ { "dropping-particle" : "", "family" : "Kanagaretnam", "given" : "Kiridaran", "non-dropping-particle" : "", "parse-names" : false, "suffix" : "" }, { "dropping-particle" : "", "family" : "Mathieu", "given" : "Robert", "non-dropping-particle" : "", "parse-names" : false, "suffix" : "" }, { "dropping-particle" : "", "family" : "Shehata", "given" : "Mohamed", "non-dropping-particle" : "", "parse-names" : false, "suffix" : "" } ], "container-title" : "Journal of Accounting and Public Policy", "id" : "ITEM-1", "issue" : "4", "issued" : { "date-parts" : [ [ "2009" ] ] }, "page" : "349-365", "publisher" : "Elsevier Inc.", "title" : "J . Account . Public Policy Usefulness of comprehensive income reporting in Canada", "type" : "article-journal", "volume" : "28" }, "uris" : [ "http://www.mendeley.com/documents/?uuid=cd304030-31c3-47ea-a9a3-dac29f0401c6" ] } ], "mendeley" : { "formattedCitation" : "(KANAGARETNAM; MATHIEU; SHEHATA, 2009)", "plainTextFormattedCitation" : "(KANAGARETNAM; MATHIEU; SHEHATA, 2009)", "previouslyFormattedCitation" : "(KANAGARETNAM; MATHIEU; SHEHATA, 2009)" }, "properties" : { "noteIndex" : 0 }, "schema" : "https://github.com/citation-style-language/schema/raw/master/csl-citation.json" }</w:instrText>
      </w:r>
      <w:r w:rsidR="009B7835">
        <w:rPr>
          <w:rFonts w:cs="Times New Roman"/>
          <w:szCs w:val="24"/>
        </w:rPr>
        <w:fldChar w:fldCharType="separate"/>
      </w:r>
      <w:r w:rsidR="00E4169F" w:rsidRPr="009B7835">
        <w:rPr>
          <w:rFonts w:cs="Times New Roman"/>
          <w:noProof/>
          <w:szCs w:val="24"/>
        </w:rPr>
        <w:t>Kanagaretnam</w:t>
      </w:r>
      <w:r w:rsidR="00E4169F">
        <w:rPr>
          <w:rFonts w:cs="Times New Roman"/>
          <w:noProof/>
          <w:szCs w:val="24"/>
        </w:rPr>
        <w:t>,</w:t>
      </w:r>
      <w:r w:rsidR="00E4169F" w:rsidRPr="009B7835">
        <w:rPr>
          <w:rFonts w:cs="Times New Roman"/>
          <w:noProof/>
          <w:szCs w:val="24"/>
        </w:rPr>
        <w:t xml:space="preserve"> Mathieu</w:t>
      </w:r>
      <w:r w:rsidR="00E4169F">
        <w:rPr>
          <w:rFonts w:cs="Times New Roman"/>
          <w:noProof/>
          <w:szCs w:val="24"/>
        </w:rPr>
        <w:t xml:space="preserve"> e</w:t>
      </w:r>
      <w:r w:rsidR="00E4169F" w:rsidRPr="009B7835">
        <w:rPr>
          <w:rFonts w:cs="Times New Roman"/>
          <w:noProof/>
          <w:szCs w:val="24"/>
        </w:rPr>
        <w:t xml:space="preserve"> Shehata</w:t>
      </w:r>
      <w:r w:rsidR="00E4169F">
        <w:rPr>
          <w:rFonts w:cs="Times New Roman"/>
          <w:noProof/>
          <w:szCs w:val="24"/>
        </w:rPr>
        <w:t xml:space="preserve"> (</w:t>
      </w:r>
      <w:r w:rsidR="009B7835" w:rsidRPr="009B7835">
        <w:rPr>
          <w:rFonts w:cs="Times New Roman"/>
          <w:noProof/>
          <w:szCs w:val="24"/>
        </w:rPr>
        <w:t>2009)</w:t>
      </w:r>
      <w:r w:rsidR="009B7835">
        <w:rPr>
          <w:rFonts w:cs="Times New Roman"/>
          <w:szCs w:val="24"/>
        </w:rPr>
        <w:fldChar w:fldCharType="end"/>
      </w:r>
      <w:r w:rsidR="00063B73">
        <w:rPr>
          <w:rFonts w:cs="Times New Roman"/>
          <w:szCs w:val="24"/>
        </w:rPr>
        <w:t>,</w:t>
      </w:r>
      <w:r w:rsidR="00E4169F">
        <w:rPr>
          <w:rFonts w:cs="Times New Roman"/>
          <w:szCs w:val="24"/>
        </w:rPr>
        <w:t xml:space="preserve"> em que </w:t>
      </w:r>
      <w:r w:rsidR="009B7835" w:rsidRPr="009B7835">
        <w:rPr>
          <w:rFonts w:cs="Times New Roman"/>
          <w:szCs w:val="24"/>
        </w:rPr>
        <w:t xml:space="preserve">os autores </w:t>
      </w:r>
      <w:r w:rsidR="00063B73">
        <w:rPr>
          <w:rFonts w:cs="Times New Roman"/>
          <w:szCs w:val="24"/>
        </w:rPr>
        <w:t>apontam</w:t>
      </w:r>
      <w:r w:rsidR="009B7835" w:rsidRPr="009B7835">
        <w:rPr>
          <w:rFonts w:cs="Times New Roman"/>
          <w:szCs w:val="24"/>
        </w:rPr>
        <w:t xml:space="preserve"> evidências de</w:t>
      </w:r>
      <w:r w:rsidR="00063B73">
        <w:rPr>
          <w:rFonts w:cs="Times New Roman"/>
          <w:szCs w:val="24"/>
        </w:rPr>
        <w:t xml:space="preserve"> </w:t>
      </w:r>
      <w:r w:rsidR="009B7835" w:rsidRPr="009B7835">
        <w:rPr>
          <w:rFonts w:cs="Times New Roman"/>
          <w:szCs w:val="24"/>
        </w:rPr>
        <w:t>que o</w:t>
      </w:r>
      <w:r w:rsidR="00063B73">
        <w:rPr>
          <w:rFonts w:cs="Times New Roman"/>
          <w:szCs w:val="24"/>
        </w:rPr>
        <w:t xml:space="preserve"> </w:t>
      </w:r>
      <w:r w:rsidR="009B7835" w:rsidRPr="008606D3">
        <w:rPr>
          <w:rFonts w:cs="Times New Roman"/>
          <w:i/>
          <w:szCs w:val="24"/>
        </w:rPr>
        <w:t>hedge</w:t>
      </w:r>
      <w:r w:rsidR="009B7835" w:rsidRPr="009B7835">
        <w:rPr>
          <w:rFonts w:cs="Times New Roman"/>
          <w:szCs w:val="24"/>
        </w:rPr>
        <w:t xml:space="preserve"> de</w:t>
      </w:r>
      <w:r w:rsidR="00063B73">
        <w:rPr>
          <w:rFonts w:cs="Times New Roman"/>
          <w:szCs w:val="24"/>
        </w:rPr>
        <w:t xml:space="preserve"> </w:t>
      </w:r>
      <w:r w:rsidR="009B7835" w:rsidRPr="009B7835">
        <w:rPr>
          <w:rFonts w:cs="Times New Roman"/>
          <w:szCs w:val="24"/>
        </w:rPr>
        <w:t xml:space="preserve">fluxo de caixa </w:t>
      </w:r>
      <w:r w:rsidR="00063B73">
        <w:rPr>
          <w:rFonts w:cs="Times New Roman"/>
          <w:szCs w:val="24"/>
        </w:rPr>
        <w:t>é</w:t>
      </w:r>
      <w:r w:rsidR="009B7835" w:rsidRPr="009B7835">
        <w:rPr>
          <w:rFonts w:cs="Times New Roman"/>
          <w:szCs w:val="24"/>
        </w:rPr>
        <w:t xml:space="preserve"> </w:t>
      </w:r>
      <w:r w:rsidR="00063B73">
        <w:rPr>
          <w:rFonts w:cs="Times New Roman"/>
          <w:szCs w:val="24"/>
        </w:rPr>
        <w:t>um dos</w:t>
      </w:r>
      <w:r w:rsidR="009B7835" w:rsidRPr="009B7835">
        <w:rPr>
          <w:rFonts w:cs="Times New Roman"/>
          <w:szCs w:val="24"/>
        </w:rPr>
        <w:t xml:space="preserve"> </w:t>
      </w:r>
      <w:r w:rsidR="00063B73">
        <w:rPr>
          <w:rFonts w:cs="Times New Roman"/>
          <w:szCs w:val="24"/>
        </w:rPr>
        <w:t xml:space="preserve">itens </w:t>
      </w:r>
      <w:r w:rsidR="009B7835" w:rsidRPr="009B7835">
        <w:rPr>
          <w:rFonts w:cs="Times New Roman"/>
          <w:szCs w:val="24"/>
        </w:rPr>
        <w:t xml:space="preserve">mais significativos </w:t>
      </w:r>
      <w:r w:rsidR="00063B73">
        <w:rPr>
          <w:rFonts w:cs="Times New Roman"/>
          <w:szCs w:val="24"/>
        </w:rPr>
        <w:t>para</w:t>
      </w:r>
      <w:r w:rsidR="009B7835" w:rsidRPr="009B7835">
        <w:rPr>
          <w:rFonts w:cs="Times New Roman"/>
          <w:szCs w:val="24"/>
        </w:rPr>
        <w:t xml:space="preserve"> </w:t>
      </w:r>
      <w:r w:rsidR="00063B73" w:rsidRPr="009B7835">
        <w:rPr>
          <w:rFonts w:cs="Times New Roman"/>
          <w:szCs w:val="24"/>
        </w:rPr>
        <w:t>expl</w:t>
      </w:r>
      <w:r w:rsidR="00063B73">
        <w:rPr>
          <w:rFonts w:cs="Times New Roman"/>
          <w:szCs w:val="24"/>
        </w:rPr>
        <w:t xml:space="preserve">icar </w:t>
      </w:r>
      <w:r w:rsidR="009B7835" w:rsidRPr="009B7835">
        <w:rPr>
          <w:rFonts w:cs="Times New Roman"/>
          <w:szCs w:val="24"/>
        </w:rPr>
        <w:t>o valor de</w:t>
      </w:r>
      <w:r w:rsidR="00063B73">
        <w:rPr>
          <w:rFonts w:cs="Times New Roman"/>
          <w:szCs w:val="24"/>
        </w:rPr>
        <w:t xml:space="preserve"> </w:t>
      </w:r>
      <w:r w:rsidR="009B7835" w:rsidRPr="009B7835">
        <w:rPr>
          <w:rFonts w:cs="Times New Roman"/>
          <w:szCs w:val="24"/>
        </w:rPr>
        <w:t>mercado da empresa.</w:t>
      </w:r>
      <w:r w:rsidR="00063B73">
        <w:rPr>
          <w:rFonts w:cs="Times New Roman"/>
          <w:szCs w:val="24"/>
        </w:rPr>
        <w:t xml:space="preserve"> </w:t>
      </w:r>
    </w:p>
    <w:p w:rsidR="00E92978" w:rsidRDefault="00063B73" w:rsidP="009650A6">
      <w:pPr>
        <w:spacing w:line="360" w:lineRule="auto"/>
        <w:ind w:firstLine="708"/>
        <w:jc w:val="both"/>
        <w:rPr>
          <w:rFonts w:cs="Times New Roman"/>
          <w:szCs w:val="24"/>
        </w:rPr>
      </w:pPr>
      <w:r>
        <w:rPr>
          <w:rFonts w:cs="Times New Roman"/>
          <w:szCs w:val="24"/>
        </w:rPr>
        <w:lastRenderedPageBreak/>
        <w:t xml:space="preserve">Nos modelos 08, 09 e 10 verifica-se um acréscimo do poder explicativo das regressões, com R² ajustado maior e critério de </w:t>
      </w:r>
      <w:proofErr w:type="spellStart"/>
      <w:r>
        <w:rPr>
          <w:rFonts w:cs="Times New Roman"/>
          <w:szCs w:val="24"/>
        </w:rPr>
        <w:t>Akaike</w:t>
      </w:r>
      <w:proofErr w:type="spellEnd"/>
      <w:r>
        <w:rPr>
          <w:rFonts w:cs="Times New Roman"/>
          <w:szCs w:val="24"/>
        </w:rPr>
        <w:t xml:space="preserve"> menor</w:t>
      </w:r>
      <w:r w:rsidR="00A71CA2">
        <w:rPr>
          <w:rFonts w:cs="Times New Roman"/>
          <w:szCs w:val="24"/>
        </w:rPr>
        <w:t>, em comparação com o primeiro modelo testado apenas com PL/A e VPA. Essas evidência</w:t>
      </w:r>
      <w:r w:rsidR="003113DC">
        <w:rPr>
          <w:rFonts w:cs="Times New Roman"/>
          <w:szCs w:val="24"/>
        </w:rPr>
        <w:t>s</w:t>
      </w:r>
      <w:r w:rsidR="00A71CA2">
        <w:rPr>
          <w:rFonts w:cs="Times New Roman"/>
          <w:szCs w:val="24"/>
        </w:rPr>
        <w:t xml:space="preserve"> indicam que </w:t>
      </w:r>
      <w:r w:rsidR="0001292E">
        <w:rPr>
          <w:rFonts w:cs="Times New Roman"/>
          <w:szCs w:val="24"/>
        </w:rPr>
        <w:t xml:space="preserve">o resultado abrangente traz benefícios informacionais para os </w:t>
      </w:r>
      <w:r w:rsidR="0001292E" w:rsidRPr="0001292E">
        <w:rPr>
          <w:rFonts w:cs="Times New Roman"/>
          <w:i/>
          <w:szCs w:val="24"/>
        </w:rPr>
        <w:t>stakeholders</w:t>
      </w:r>
      <w:r w:rsidR="0001292E">
        <w:rPr>
          <w:rFonts w:cs="Times New Roman"/>
          <w:szCs w:val="24"/>
        </w:rPr>
        <w:t xml:space="preserve"> e, nesse sentido, aumentam a relevância das informações contábeis para o mercado de capitais brasileiro.</w:t>
      </w:r>
    </w:p>
    <w:p w:rsidR="00AF3001" w:rsidRDefault="00AF3001" w:rsidP="00AF3001">
      <w:pPr>
        <w:spacing w:line="360" w:lineRule="auto"/>
        <w:jc w:val="both"/>
        <w:rPr>
          <w:rFonts w:cs="Times New Roman"/>
          <w:b/>
          <w:szCs w:val="24"/>
        </w:rPr>
      </w:pPr>
    </w:p>
    <w:p w:rsidR="003113DC" w:rsidRPr="00AF3001" w:rsidRDefault="0074258A" w:rsidP="00AF3001">
      <w:pPr>
        <w:spacing w:line="360" w:lineRule="auto"/>
        <w:jc w:val="both"/>
        <w:rPr>
          <w:rFonts w:cs="Times New Roman"/>
          <w:b/>
          <w:szCs w:val="24"/>
        </w:rPr>
      </w:pPr>
      <w:r>
        <w:rPr>
          <w:rFonts w:cs="Times New Roman"/>
          <w:b/>
          <w:szCs w:val="24"/>
        </w:rPr>
        <w:t xml:space="preserve">5. </w:t>
      </w:r>
      <w:r w:rsidRPr="00AF3001">
        <w:rPr>
          <w:rFonts w:cs="Times New Roman"/>
          <w:b/>
          <w:szCs w:val="24"/>
        </w:rPr>
        <w:t>CONSIDERAÇÕES FINAIS</w:t>
      </w:r>
    </w:p>
    <w:p w:rsidR="00B723BB" w:rsidRDefault="00B723BB" w:rsidP="009650A6">
      <w:pPr>
        <w:spacing w:line="360" w:lineRule="auto"/>
        <w:ind w:firstLine="708"/>
        <w:jc w:val="both"/>
        <w:rPr>
          <w:rFonts w:cs="Times New Roman"/>
        </w:rPr>
      </w:pPr>
      <w:r w:rsidRPr="006052A9">
        <w:rPr>
          <w:rFonts w:cs="Times New Roman"/>
        </w:rPr>
        <w:t xml:space="preserve">Apesar da obrigatoriedade da apuração e divulgação de outros resultados abrangentes, </w:t>
      </w:r>
      <w:r>
        <w:rPr>
          <w:rFonts w:cs="Times New Roman"/>
        </w:rPr>
        <w:t xml:space="preserve">por meio da DRA, </w:t>
      </w:r>
      <w:r w:rsidRPr="006052A9">
        <w:rPr>
          <w:rFonts w:cs="Times New Roman"/>
        </w:rPr>
        <w:t>diversos são os debates inerentes à informatividade desses itens.</w:t>
      </w:r>
      <w:r>
        <w:rPr>
          <w:rFonts w:cs="Times New Roman"/>
        </w:rPr>
        <w:t xml:space="preserve"> </w:t>
      </w:r>
      <w:r w:rsidRPr="006052A9">
        <w:rPr>
          <w:rFonts w:cs="Times New Roman"/>
        </w:rPr>
        <w:t xml:space="preserve">Por conta dos vários tipos de ajustes </w:t>
      </w:r>
      <w:r>
        <w:rPr>
          <w:rFonts w:cs="Times New Roman"/>
        </w:rPr>
        <w:t>essa demonstração</w:t>
      </w:r>
      <w:r w:rsidRPr="006052A9">
        <w:rPr>
          <w:rFonts w:cs="Times New Roman"/>
        </w:rPr>
        <w:t xml:space="preserve"> pode estar sujeita a premissas e julgamentos discricionários da administração, levantando preocupações sobre a determinação das medidas de valor justo usadas</w:t>
      </w:r>
      <w:r>
        <w:rPr>
          <w:rFonts w:cs="Times New Roman"/>
        </w:rPr>
        <w:t>. Todavia, há argumentos de que as informações contidas na DRA</w:t>
      </w:r>
      <w:r w:rsidRPr="00DB0255">
        <w:rPr>
          <w:rFonts w:cs="Times New Roman"/>
        </w:rPr>
        <w:t xml:space="preserve"> são desejáveis e permit</w:t>
      </w:r>
      <w:r>
        <w:rPr>
          <w:rFonts w:cs="Times New Roman"/>
        </w:rPr>
        <w:t>em</w:t>
      </w:r>
      <w:r w:rsidRPr="00DB0255">
        <w:rPr>
          <w:rFonts w:cs="Times New Roman"/>
        </w:rPr>
        <w:t xml:space="preserve"> aos investidores </w:t>
      </w:r>
      <w:r>
        <w:rPr>
          <w:rFonts w:cs="Times New Roman"/>
        </w:rPr>
        <w:t>um</w:t>
      </w:r>
      <w:r w:rsidRPr="00DB0255">
        <w:rPr>
          <w:rFonts w:cs="Times New Roman"/>
        </w:rPr>
        <w:t>a melhor estima</w:t>
      </w:r>
      <w:r>
        <w:rPr>
          <w:rFonts w:cs="Times New Roman"/>
        </w:rPr>
        <w:t>tiva</w:t>
      </w:r>
      <w:r w:rsidRPr="00DB0255">
        <w:rPr>
          <w:rFonts w:cs="Times New Roman"/>
        </w:rPr>
        <w:t xml:space="preserve"> </w:t>
      </w:r>
      <w:r>
        <w:rPr>
          <w:rFonts w:cs="Times New Roman"/>
        </w:rPr>
        <w:t xml:space="preserve">sobre </w:t>
      </w:r>
      <w:r w:rsidRPr="00DB0255">
        <w:rPr>
          <w:rFonts w:cs="Times New Roman"/>
        </w:rPr>
        <w:t>o valor da empresa.</w:t>
      </w:r>
    </w:p>
    <w:p w:rsidR="00EC53A7" w:rsidRDefault="00F41DA5" w:rsidP="00EC53A7">
      <w:pPr>
        <w:spacing w:line="360" w:lineRule="auto"/>
        <w:ind w:firstLine="709"/>
        <w:jc w:val="both"/>
        <w:rPr>
          <w:rFonts w:cs="Times New Roman"/>
        </w:rPr>
      </w:pPr>
      <w:r>
        <w:rPr>
          <w:rFonts w:cs="Times New Roman"/>
        </w:rPr>
        <w:t xml:space="preserve">Diante disso, o objetivo do presente estudo foi </w:t>
      </w:r>
      <w:r w:rsidRPr="00B7301F">
        <w:rPr>
          <w:rFonts w:cs="Times New Roman"/>
        </w:rPr>
        <w:t xml:space="preserve">analisar se as informações sobre o resultado abrangente </w:t>
      </w:r>
      <w:r w:rsidR="0025644D">
        <w:rPr>
          <w:rFonts w:cs="Times New Roman"/>
        </w:rPr>
        <w:t xml:space="preserve">consolidado, os outros resultados abrangentes </w:t>
      </w:r>
      <w:r w:rsidRPr="00B7301F">
        <w:rPr>
          <w:rFonts w:cs="Times New Roman"/>
        </w:rPr>
        <w:t>e os seus componentes individuais t</w:t>
      </w:r>
      <w:r>
        <w:rPr>
          <w:rFonts w:cs="Times New Roman"/>
        </w:rPr>
        <w:t xml:space="preserve">eriam </w:t>
      </w:r>
      <w:r w:rsidRPr="00B7301F">
        <w:rPr>
          <w:rFonts w:cs="Times New Roman"/>
        </w:rPr>
        <w:t>poder preditivo para determinar o fl</w:t>
      </w:r>
      <w:r>
        <w:rPr>
          <w:rFonts w:cs="Times New Roman"/>
        </w:rPr>
        <w:t>uxo de caixa operacional futuro.</w:t>
      </w:r>
      <w:r w:rsidRPr="00B7301F">
        <w:rPr>
          <w:rFonts w:cs="Times New Roman"/>
        </w:rPr>
        <w:t xml:space="preserve"> </w:t>
      </w:r>
      <w:r>
        <w:rPr>
          <w:rFonts w:cs="Times New Roman"/>
        </w:rPr>
        <w:t xml:space="preserve">Como segunda análise, buscou-se verificar se esses componentes mensurados a valor justo possuem </w:t>
      </w:r>
      <w:proofErr w:type="spellStart"/>
      <w:r w:rsidRPr="008E65BC">
        <w:rPr>
          <w:rFonts w:cs="Times New Roman"/>
          <w:i/>
        </w:rPr>
        <w:t>value</w:t>
      </w:r>
      <w:proofErr w:type="spellEnd"/>
      <w:r w:rsidRPr="008E65BC">
        <w:rPr>
          <w:rFonts w:cs="Times New Roman"/>
          <w:i/>
        </w:rPr>
        <w:t xml:space="preserve"> </w:t>
      </w:r>
      <w:proofErr w:type="spellStart"/>
      <w:r w:rsidRPr="008E65BC">
        <w:rPr>
          <w:rFonts w:cs="Times New Roman"/>
          <w:i/>
        </w:rPr>
        <w:t>relevance</w:t>
      </w:r>
      <w:proofErr w:type="spellEnd"/>
      <w:r>
        <w:rPr>
          <w:rFonts w:cs="Times New Roman"/>
        </w:rPr>
        <w:t xml:space="preserve"> para o mercado de capitais no Brasil</w:t>
      </w:r>
      <w:r w:rsidRPr="00B7301F">
        <w:rPr>
          <w:rFonts w:cs="Times New Roman"/>
        </w:rPr>
        <w:t>.</w:t>
      </w:r>
      <w:r w:rsidR="00EC53A7">
        <w:rPr>
          <w:rFonts w:cs="Times New Roman"/>
        </w:rPr>
        <w:t xml:space="preserve"> A questão de pesquisa foi:</w:t>
      </w:r>
      <w:r w:rsidR="00EC53A7" w:rsidRPr="0074258A">
        <w:rPr>
          <w:rFonts w:cs="Times New Roman"/>
        </w:rPr>
        <w:t xml:space="preserve"> </w:t>
      </w:r>
      <w:r w:rsidR="00154750" w:rsidRPr="0074258A">
        <w:rPr>
          <w:rFonts w:cs="Times New Roman"/>
        </w:rPr>
        <w:t>o</w:t>
      </w:r>
      <w:r w:rsidR="0025644D">
        <w:rPr>
          <w:rFonts w:cs="Times New Roman"/>
        </w:rPr>
        <w:t>s outros</w:t>
      </w:r>
      <w:r w:rsidR="00154750" w:rsidRPr="0074258A">
        <w:rPr>
          <w:rFonts w:cs="Times New Roman"/>
        </w:rPr>
        <w:t xml:space="preserve"> resultado</w:t>
      </w:r>
      <w:r w:rsidR="0025644D">
        <w:rPr>
          <w:rFonts w:cs="Times New Roman"/>
        </w:rPr>
        <w:t>s</w:t>
      </w:r>
      <w:r w:rsidR="00154750" w:rsidRPr="0074258A">
        <w:rPr>
          <w:rFonts w:cs="Times New Roman"/>
        </w:rPr>
        <w:t xml:space="preserve"> abrangente</w:t>
      </w:r>
      <w:r w:rsidR="0025644D">
        <w:rPr>
          <w:rFonts w:cs="Times New Roman"/>
        </w:rPr>
        <w:t>s</w:t>
      </w:r>
      <w:r w:rsidR="00154750" w:rsidRPr="0074258A">
        <w:rPr>
          <w:rFonts w:cs="Times New Roman"/>
        </w:rPr>
        <w:t xml:space="preserve"> e seus componentes mensurados a valor justo possuem poder </w:t>
      </w:r>
      <w:proofErr w:type="gramStart"/>
      <w:r w:rsidR="00154750" w:rsidRPr="0074258A">
        <w:rPr>
          <w:rFonts w:cs="Times New Roman"/>
        </w:rPr>
        <w:t>preditivo</w:t>
      </w:r>
      <w:proofErr w:type="gramEnd"/>
      <w:r w:rsidR="00154750" w:rsidRPr="0074258A">
        <w:rPr>
          <w:rFonts w:cs="Times New Roman"/>
        </w:rPr>
        <w:t xml:space="preserve"> e </w:t>
      </w:r>
      <w:proofErr w:type="spellStart"/>
      <w:r w:rsidR="00154750" w:rsidRPr="0074258A">
        <w:rPr>
          <w:rFonts w:cs="Times New Roman"/>
          <w:i/>
        </w:rPr>
        <w:t>value</w:t>
      </w:r>
      <w:proofErr w:type="spellEnd"/>
      <w:r w:rsidR="00154750" w:rsidRPr="0074258A">
        <w:rPr>
          <w:rFonts w:cs="Times New Roman"/>
          <w:i/>
        </w:rPr>
        <w:t xml:space="preserve"> </w:t>
      </w:r>
      <w:proofErr w:type="spellStart"/>
      <w:r w:rsidR="00154750" w:rsidRPr="0074258A">
        <w:rPr>
          <w:rFonts w:cs="Times New Roman"/>
          <w:i/>
        </w:rPr>
        <w:t>relevance</w:t>
      </w:r>
      <w:proofErr w:type="spellEnd"/>
      <w:r w:rsidR="00154750" w:rsidRPr="0074258A">
        <w:rPr>
          <w:rFonts w:cs="Times New Roman"/>
        </w:rPr>
        <w:t xml:space="preserve"> para o mercado de capitais no Brasil?</w:t>
      </w:r>
    </w:p>
    <w:p w:rsidR="00D62E60" w:rsidRDefault="00D62E60" w:rsidP="00D62E60">
      <w:pPr>
        <w:spacing w:line="360" w:lineRule="auto"/>
        <w:ind w:firstLine="708"/>
        <w:jc w:val="both"/>
        <w:rPr>
          <w:rFonts w:cs="Times New Roman"/>
        </w:rPr>
      </w:pPr>
      <w:r>
        <w:t>Ainda, buscou-se analisar duas hipóteses</w:t>
      </w:r>
      <w:r w:rsidRPr="00AA55D8">
        <w:t xml:space="preserve">. </w:t>
      </w:r>
      <w:r>
        <w:t>A primeira, o</w:t>
      </w:r>
      <w:r w:rsidRPr="00AA55D8">
        <w:t xml:space="preserve"> </w:t>
      </w:r>
      <w:r w:rsidR="0025644D">
        <w:t>resultado a</w:t>
      </w:r>
      <w:r w:rsidR="0025644D" w:rsidRPr="00AA55D8">
        <w:t>brangente</w:t>
      </w:r>
      <w:r w:rsidR="0025644D">
        <w:t xml:space="preserve"> consolidado </w:t>
      </w:r>
      <w:r w:rsidRPr="00AA55D8">
        <w:t xml:space="preserve">possui maior poder preditivo que o </w:t>
      </w:r>
      <w:r w:rsidR="0025644D">
        <w:t>l</w:t>
      </w:r>
      <w:r w:rsidRPr="00AA55D8">
        <w:t xml:space="preserve">ucro </w:t>
      </w:r>
      <w:r w:rsidR="0025644D">
        <w:t>l</w:t>
      </w:r>
      <w:r w:rsidRPr="00AA55D8">
        <w:t xml:space="preserve">íquido para a previsão do </w:t>
      </w:r>
      <w:r w:rsidR="0025644D">
        <w:t>f</w:t>
      </w:r>
      <w:r w:rsidRPr="00AA55D8">
        <w:t xml:space="preserve">luxo de </w:t>
      </w:r>
      <w:r w:rsidR="0025644D">
        <w:t>c</w:t>
      </w:r>
      <w:r w:rsidRPr="00AA55D8">
        <w:t xml:space="preserve">aixa </w:t>
      </w:r>
      <w:r w:rsidR="0025644D">
        <w:t>o</w:t>
      </w:r>
      <w:r w:rsidRPr="00AA55D8">
        <w:t>pe</w:t>
      </w:r>
      <w:r>
        <w:t xml:space="preserve">racional do período subsequente, pois </w:t>
      </w:r>
      <w:r w:rsidRPr="006052A9">
        <w:rPr>
          <w:rFonts w:cs="Times New Roman"/>
        </w:rPr>
        <w:t>o</w:t>
      </w:r>
      <w:r>
        <w:rPr>
          <w:rFonts w:cs="Times New Roman"/>
        </w:rPr>
        <w:t>s</w:t>
      </w:r>
      <w:r w:rsidRPr="006052A9">
        <w:rPr>
          <w:rFonts w:cs="Times New Roman"/>
        </w:rPr>
        <w:t xml:space="preserve"> </w:t>
      </w:r>
      <w:r w:rsidR="0025644D">
        <w:rPr>
          <w:rFonts w:cs="Times New Roman"/>
        </w:rPr>
        <w:t>O</w:t>
      </w:r>
      <w:r>
        <w:rPr>
          <w:rFonts w:cs="Times New Roman"/>
        </w:rPr>
        <w:t>RA</w:t>
      </w:r>
      <w:r w:rsidRPr="006052A9">
        <w:rPr>
          <w:rFonts w:cs="Times New Roman"/>
        </w:rPr>
        <w:t xml:space="preserve"> </w:t>
      </w:r>
      <w:r>
        <w:rPr>
          <w:rFonts w:cs="Times New Roman"/>
        </w:rPr>
        <w:t xml:space="preserve">poderiam </w:t>
      </w:r>
      <w:r w:rsidRPr="006052A9">
        <w:rPr>
          <w:rFonts w:cs="Times New Roman"/>
        </w:rPr>
        <w:t>capta</w:t>
      </w:r>
      <w:r>
        <w:rPr>
          <w:rFonts w:cs="Times New Roman"/>
        </w:rPr>
        <w:t>r</w:t>
      </w:r>
      <w:r w:rsidRPr="006052A9">
        <w:rPr>
          <w:rFonts w:cs="Times New Roman"/>
        </w:rPr>
        <w:t xml:space="preserve"> todas as fontes de criação de valor e os investidores incorpora</w:t>
      </w:r>
      <w:r>
        <w:rPr>
          <w:rFonts w:cs="Times New Roman"/>
        </w:rPr>
        <w:t>ria</w:t>
      </w:r>
      <w:r w:rsidRPr="006052A9">
        <w:rPr>
          <w:rFonts w:cs="Times New Roman"/>
        </w:rPr>
        <w:t xml:space="preserve">m </w:t>
      </w:r>
      <w:r>
        <w:rPr>
          <w:rFonts w:cs="Times New Roman"/>
        </w:rPr>
        <w:t>essa informação</w:t>
      </w:r>
      <w:r w:rsidRPr="006052A9">
        <w:rPr>
          <w:rFonts w:cs="Times New Roman"/>
        </w:rPr>
        <w:t xml:space="preserve"> em seus processos de avaliação</w:t>
      </w:r>
      <w:r>
        <w:rPr>
          <w:rFonts w:cs="Times New Roman"/>
        </w:rPr>
        <w:t>. E, como consequência da validade da primeira hipótese caberia verificar a segunda, o</w:t>
      </w:r>
      <w:r w:rsidR="0025644D">
        <w:rPr>
          <w:rFonts w:cs="Times New Roman"/>
        </w:rPr>
        <w:t>s Outros</w:t>
      </w:r>
      <w:r>
        <w:rPr>
          <w:rFonts w:cs="Times New Roman"/>
        </w:rPr>
        <w:t xml:space="preserve"> </w:t>
      </w:r>
      <w:r w:rsidRPr="0038697E">
        <w:rPr>
          <w:rFonts w:cs="Times New Roman"/>
        </w:rPr>
        <w:t>Resultado</w:t>
      </w:r>
      <w:r w:rsidR="0025644D">
        <w:rPr>
          <w:rFonts w:cs="Times New Roman"/>
        </w:rPr>
        <w:t>s</w:t>
      </w:r>
      <w:r w:rsidRPr="0038697E">
        <w:rPr>
          <w:rFonts w:cs="Times New Roman"/>
        </w:rPr>
        <w:t xml:space="preserve"> Abrangente</w:t>
      </w:r>
      <w:r w:rsidR="0025644D">
        <w:rPr>
          <w:rFonts w:cs="Times New Roman"/>
        </w:rPr>
        <w:t>s</w:t>
      </w:r>
      <w:r w:rsidRPr="0038697E">
        <w:rPr>
          <w:rFonts w:cs="Times New Roman"/>
        </w:rPr>
        <w:t xml:space="preserve"> e seus componentes possuem </w:t>
      </w:r>
      <w:proofErr w:type="spellStart"/>
      <w:r w:rsidRPr="0038697E">
        <w:rPr>
          <w:rFonts w:cs="Times New Roman"/>
          <w:i/>
        </w:rPr>
        <w:t>value</w:t>
      </w:r>
      <w:proofErr w:type="spellEnd"/>
      <w:r w:rsidRPr="0038697E">
        <w:rPr>
          <w:rFonts w:cs="Times New Roman"/>
          <w:i/>
        </w:rPr>
        <w:t xml:space="preserve"> </w:t>
      </w:r>
      <w:proofErr w:type="spellStart"/>
      <w:r w:rsidRPr="0038697E">
        <w:rPr>
          <w:rFonts w:cs="Times New Roman"/>
          <w:i/>
        </w:rPr>
        <w:t>relevance</w:t>
      </w:r>
      <w:proofErr w:type="spellEnd"/>
      <w:r>
        <w:rPr>
          <w:rFonts w:cs="Times New Roman"/>
        </w:rPr>
        <w:t xml:space="preserve"> para o mercado de capitais.</w:t>
      </w:r>
    </w:p>
    <w:p w:rsidR="00D62E60" w:rsidRDefault="00D62E60" w:rsidP="00D62E60">
      <w:pPr>
        <w:spacing w:line="360" w:lineRule="auto"/>
        <w:ind w:firstLine="708"/>
        <w:jc w:val="both"/>
        <w:rPr>
          <w:rFonts w:cs="Times New Roman"/>
          <w:szCs w:val="24"/>
        </w:rPr>
      </w:pPr>
      <w:r>
        <w:t xml:space="preserve">Os principais resultados encontrados sugerem que </w:t>
      </w:r>
      <w:r>
        <w:rPr>
          <w:rFonts w:cs="Times New Roman"/>
          <w:szCs w:val="24"/>
        </w:rPr>
        <w:t>a</w:t>
      </w:r>
      <w:r w:rsidRPr="003542FC">
        <w:rPr>
          <w:rFonts w:cs="Times New Roman"/>
          <w:szCs w:val="24"/>
        </w:rPr>
        <w:t xml:space="preserve"> apreciação do resultado abrangente consolidado</w:t>
      </w:r>
      <w:r>
        <w:rPr>
          <w:rFonts w:cs="Times New Roman"/>
          <w:szCs w:val="24"/>
        </w:rPr>
        <w:t xml:space="preserve">, </w:t>
      </w:r>
      <w:r w:rsidR="00137DEB">
        <w:rPr>
          <w:rFonts w:cs="Times New Roman"/>
          <w:szCs w:val="24"/>
        </w:rPr>
        <w:t>de maneira global</w:t>
      </w:r>
      <w:r>
        <w:rPr>
          <w:rFonts w:cs="Times New Roman"/>
          <w:szCs w:val="24"/>
        </w:rPr>
        <w:t xml:space="preserve">, </w:t>
      </w:r>
      <w:r w:rsidRPr="003542FC">
        <w:rPr>
          <w:rFonts w:cs="Times New Roman"/>
          <w:szCs w:val="24"/>
        </w:rPr>
        <w:t>não seria incremental para previsão de fluxos de caixa futuros.</w:t>
      </w:r>
      <w:r>
        <w:rPr>
          <w:rFonts w:cs="Times New Roman"/>
          <w:szCs w:val="24"/>
        </w:rPr>
        <w:t xml:space="preserve"> Todavia, verificou-se um acréscimo na capacidade preditiva para o </w:t>
      </w:r>
      <w:proofErr w:type="gramStart"/>
      <w:r>
        <w:rPr>
          <w:rFonts w:cs="Times New Roman"/>
          <w:szCs w:val="24"/>
        </w:rPr>
        <w:t>FCO</w:t>
      </w:r>
      <w:r w:rsidRPr="00381D0A">
        <w:rPr>
          <w:rFonts w:cs="Times New Roman"/>
          <w:szCs w:val="24"/>
          <w:vertAlign w:val="subscript"/>
        </w:rPr>
        <w:t>t</w:t>
      </w:r>
      <w:proofErr w:type="gramEnd"/>
      <w:r w:rsidRPr="00381D0A">
        <w:rPr>
          <w:rFonts w:cs="Times New Roman"/>
          <w:szCs w:val="24"/>
          <w:vertAlign w:val="subscript"/>
        </w:rPr>
        <w:t>+1</w:t>
      </w:r>
      <w:r>
        <w:rPr>
          <w:rFonts w:cs="Times New Roman"/>
          <w:szCs w:val="24"/>
        </w:rPr>
        <w:t xml:space="preserve">, com a inclusão </w:t>
      </w:r>
      <w:r w:rsidR="00137DEB">
        <w:rPr>
          <w:rFonts w:cs="Times New Roman"/>
          <w:szCs w:val="24"/>
        </w:rPr>
        <w:t xml:space="preserve">segregada </w:t>
      </w:r>
      <w:r>
        <w:rPr>
          <w:rFonts w:cs="Times New Roman"/>
          <w:szCs w:val="24"/>
        </w:rPr>
        <w:t>dos outros resultados abrangentes</w:t>
      </w:r>
      <w:r w:rsidR="00137DEB">
        <w:rPr>
          <w:rFonts w:cs="Times New Roman"/>
          <w:szCs w:val="24"/>
        </w:rPr>
        <w:t>, ou seja</w:t>
      </w:r>
      <w:r>
        <w:rPr>
          <w:rFonts w:cs="Times New Roman"/>
          <w:szCs w:val="24"/>
        </w:rPr>
        <w:t>,</w:t>
      </w:r>
      <w:r w:rsidR="00137DEB">
        <w:rPr>
          <w:rFonts w:cs="Times New Roman"/>
          <w:szCs w:val="24"/>
        </w:rPr>
        <w:t xml:space="preserve"> a parcela isolada do resultado da DRE,</w:t>
      </w:r>
      <w:r>
        <w:rPr>
          <w:rFonts w:cs="Times New Roman"/>
          <w:szCs w:val="24"/>
        </w:rPr>
        <w:t xml:space="preserve"> </w:t>
      </w:r>
      <w:r w:rsidR="00137DEB">
        <w:rPr>
          <w:rFonts w:cs="Times New Roman"/>
          <w:szCs w:val="24"/>
        </w:rPr>
        <w:t xml:space="preserve">ou, </w:t>
      </w:r>
      <w:r>
        <w:rPr>
          <w:rFonts w:cs="Times New Roman"/>
          <w:szCs w:val="24"/>
        </w:rPr>
        <w:t xml:space="preserve">ajustes patrimoniais que não constam no lucro líquido. Não foi possível verificar, com a desagregação dos itens individuais dos ORA, capacidade incremental para </w:t>
      </w:r>
      <w:r>
        <w:rPr>
          <w:rFonts w:cs="Times New Roman"/>
          <w:szCs w:val="24"/>
        </w:rPr>
        <w:lastRenderedPageBreak/>
        <w:t>determinação do fluxo de caixa operacional seguinte</w:t>
      </w:r>
      <w:r w:rsidR="004B6170">
        <w:rPr>
          <w:rFonts w:cs="Times New Roman"/>
          <w:szCs w:val="24"/>
        </w:rPr>
        <w:t>, mesmo por que a realização destes itens associa-se em grande parte à realização de ativos da companhia</w:t>
      </w:r>
      <w:r>
        <w:rPr>
          <w:rFonts w:cs="Times New Roman"/>
          <w:szCs w:val="24"/>
        </w:rPr>
        <w:t>.</w:t>
      </w:r>
    </w:p>
    <w:p w:rsidR="00D62E60" w:rsidRDefault="00D62E60" w:rsidP="00D62E60">
      <w:pPr>
        <w:spacing w:line="360" w:lineRule="auto"/>
        <w:ind w:firstLine="708"/>
        <w:jc w:val="both"/>
        <w:rPr>
          <w:rFonts w:cs="Times New Roman"/>
        </w:rPr>
      </w:pPr>
      <w:r>
        <w:rPr>
          <w:rFonts w:cs="Times New Roman"/>
          <w:szCs w:val="24"/>
        </w:rPr>
        <w:t xml:space="preserve">Nos resultados relacionados com a relevância da informação, foi verificado que o PL e o lucro líquido das companhias analisadas possuem </w:t>
      </w:r>
      <w:proofErr w:type="spellStart"/>
      <w:r w:rsidRPr="005F3E72">
        <w:rPr>
          <w:rFonts w:cs="Times New Roman"/>
          <w:i/>
          <w:szCs w:val="24"/>
        </w:rPr>
        <w:t>value</w:t>
      </w:r>
      <w:proofErr w:type="spellEnd"/>
      <w:r w:rsidRPr="005F3E72">
        <w:rPr>
          <w:rFonts w:cs="Times New Roman"/>
          <w:i/>
          <w:szCs w:val="24"/>
        </w:rPr>
        <w:t xml:space="preserve"> </w:t>
      </w:r>
      <w:proofErr w:type="spellStart"/>
      <w:r w:rsidRPr="005F3E72">
        <w:rPr>
          <w:rFonts w:cs="Times New Roman"/>
          <w:i/>
          <w:szCs w:val="24"/>
        </w:rPr>
        <w:t>relevance</w:t>
      </w:r>
      <w:proofErr w:type="spellEnd"/>
      <w:r>
        <w:rPr>
          <w:rFonts w:cs="Times New Roman"/>
          <w:szCs w:val="24"/>
        </w:rPr>
        <w:t xml:space="preserve">, como esperado, porém o mesmo </w:t>
      </w:r>
      <w:r w:rsidR="0025644D">
        <w:rPr>
          <w:rFonts w:cs="Times New Roman"/>
          <w:szCs w:val="24"/>
        </w:rPr>
        <w:t>não pode ser confirmado para o r</w:t>
      </w:r>
      <w:r>
        <w:rPr>
          <w:rFonts w:cs="Times New Roman"/>
          <w:szCs w:val="24"/>
        </w:rPr>
        <w:t xml:space="preserve">esultado </w:t>
      </w:r>
      <w:r w:rsidR="0025644D">
        <w:rPr>
          <w:rFonts w:cs="Times New Roman"/>
          <w:szCs w:val="24"/>
        </w:rPr>
        <w:t>a</w:t>
      </w:r>
      <w:r>
        <w:rPr>
          <w:rFonts w:cs="Times New Roman"/>
          <w:szCs w:val="24"/>
        </w:rPr>
        <w:t xml:space="preserve">brangente </w:t>
      </w:r>
      <w:r w:rsidR="0025644D">
        <w:rPr>
          <w:rFonts w:cs="Times New Roman"/>
          <w:szCs w:val="24"/>
        </w:rPr>
        <w:t>c</w:t>
      </w:r>
      <w:r>
        <w:rPr>
          <w:rFonts w:cs="Times New Roman"/>
          <w:szCs w:val="24"/>
        </w:rPr>
        <w:t xml:space="preserve">onsolidado. Dos componentes individuais, apenas </w:t>
      </w:r>
      <w:r w:rsidRPr="009B7835">
        <w:rPr>
          <w:rFonts w:cs="Times New Roman"/>
          <w:szCs w:val="24"/>
        </w:rPr>
        <w:t>o</w:t>
      </w:r>
      <w:r>
        <w:rPr>
          <w:rFonts w:cs="Times New Roman"/>
          <w:szCs w:val="24"/>
        </w:rPr>
        <w:t xml:space="preserve"> </w:t>
      </w:r>
      <w:r w:rsidRPr="00381D0A">
        <w:rPr>
          <w:rFonts w:cs="Times New Roman"/>
          <w:i/>
          <w:szCs w:val="24"/>
        </w:rPr>
        <w:t>hedge</w:t>
      </w:r>
      <w:r w:rsidRPr="009B7835">
        <w:rPr>
          <w:rFonts w:cs="Times New Roman"/>
          <w:szCs w:val="24"/>
        </w:rPr>
        <w:t xml:space="preserve"> de</w:t>
      </w:r>
      <w:r>
        <w:rPr>
          <w:rFonts w:cs="Times New Roman"/>
          <w:szCs w:val="24"/>
        </w:rPr>
        <w:t xml:space="preserve"> </w:t>
      </w:r>
      <w:r w:rsidRPr="009B7835">
        <w:rPr>
          <w:rFonts w:cs="Times New Roman"/>
          <w:szCs w:val="24"/>
        </w:rPr>
        <w:t xml:space="preserve">fluxo de caixa </w:t>
      </w:r>
      <w:r>
        <w:rPr>
          <w:rFonts w:cs="Times New Roman"/>
          <w:szCs w:val="24"/>
        </w:rPr>
        <w:t>apresentou-se significativo</w:t>
      </w:r>
      <w:r w:rsidRPr="009B7835">
        <w:rPr>
          <w:rFonts w:cs="Times New Roman"/>
          <w:szCs w:val="24"/>
        </w:rPr>
        <w:t xml:space="preserve"> </w:t>
      </w:r>
      <w:r>
        <w:rPr>
          <w:rFonts w:cs="Times New Roman"/>
          <w:szCs w:val="24"/>
        </w:rPr>
        <w:t>para</w:t>
      </w:r>
      <w:r w:rsidRPr="009B7835">
        <w:rPr>
          <w:rFonts w:cs="Times New Roman"/>
          <w:szCs w:val="24"/>
        </w:rPr>
        <w:t xml:space="preserve"> expl</w:t>
      </w:r>
      <w:r>
        <w:rPr>
          <w:rFonts w:cs="Times New Roman"/>
          <w:szCs w:val="24"/>
        </w:rPr>
        <w:t xml:space="preserve">icar </w:t>
      </w:r>
      <w:r w:rsidRPr="009B7835">
        <w:rPr>
          <w:rFonts w:cs="Times New Roman"/>
          <w:szCs w:val="24"/>
        </w:rPr>
        <w:t>o valor de</w:t>
      </w:r>
      <w:r>
        <w:rPr>
          <w:rFonts w:cs="Times New Roman"/>
          <w:szCs w:val="24"/>
        </w:rPr>
        <w:t xml:space="preserve"> </w:t>
      </w:r>
      <w:r w:rsidRPr="009B7835">
        <w:rPr>
          <w:rFonts w:cs="Times New Roman"/>
          <w:szCs w:val="24"/>
        </w:rPr>
        <w:t>mercado da empresa</w:t>
      </w:r>
      <w:r>
        <w:rPr>
          <w:rFonts w:cs="Times New Roman"/>
          <w:szCs w:val="24"/>
        </w:rPr>
        <w:t xml:space="preserve">, que indica existir algum benefício informacional para os </w:t>
      </w:r>
      <w:r w:rsidRPr="0001292E">
        <w:rPr>
          <w:rFonts w:cs="Times New Roman"/>
          <w:i/>
          <w:szCs w:val="24"/>
        </w:rPr>
        <w:t>stakeholders</w:t>
      </w:r>
      <w:r>
        <w:rPr>
          <w:rFonts w:cs="Times New Roman"/>
          <w:szCs w:val="24"/>
        </w:rPr>
        <w:t xml:space="preserve"> ao empregarem em suas análises a DRA.</w:t>
      </w:r>
    </w:p>
    <w:p w:rsidR="00B723BB" w:rsidRDefault="00B723BB" w:rsidP="009650A6">
      <w:pPr>
        <w:spacing w:line="360" w:lineRule="auto"/>
        <w:ind w:firstLine="708"/>
        <w:jc w:val="both"/>
        <w:rPr>
          <w:rFonts w:cs="Times New Roman"/>
          <w:szCs w:val="24"/>
        </w:rPr>
      </w:pPr>
      <w:r>
        <w:rPr>
          <w:rFonts w:cs="Times New Roman"/>
          <w:szCs w:val="24"/>
        </w:rPr>
        <w:t xml:space="preserve">Como limitações, </w:t>
      </w:r>
      <w:r w:rsidR="006120EF">
        <w:rPr>
          <w:rFonts w:cs="Times New Roman"/>
          <w:szCs w:val="24"/>
        </w:rPr>
        <w:t xml:space="preserve">tem-se </w:t>
      </w:r>
      <w:r>
        <w:rPr>
          <w:rFonts w:cs="Times New Roman"/>
          <w:szCs w:val="24"/>
        </w:rPr>
        <w:t xml:space="preserve">que as informações da DRA apresentam-se altamente dispersas e não há uma forma padronizada de divulgação dos itens individuais que compõe os ORA. Para que as análises fossem efetuadas foram necessárias classificações que podem ter corrompido, mesmo que minimamente, a informação original. Em virtude de algumas exclusões por ausências de dados para análises </w:t>
      </w:r>
      <w:r w:rsidR="00F41C05">
        <w:rPr>
          <w:rFonts w:cs="Times New Roman"/>
          <w:szCs w:val="24"/>
        </w:rPr>
        <w:t>houve</w:t>
      </w:r>
      <w:r>
        <w:rPr>
          <w:rFonts w:cs="Times New Roman"/>
          <w:szCs w:val="24"/>
        </w:rPr>
        <w:t xml:space="preserve"> redução na amostra, adicionado ao curto período analisado</w:t>
      </w:r>
      <w:r w:rsidR="00F41C05">
        <w:rPr>
          <w:rFonts w:cs="Times New Roman"/>
          <w:szCs w:val="24"/>
        </w:rPr>
        <w:t xml:space="preserve"> em virtude da recente obrigação de divulgação d</w:t>
      </w:r>
      <w:r w:rsidR="00862B36">
        <w:rPr>
          <w:rFonts w:cs="Times New Roman"/>
          <w:szCs w:val="24"/>
        </w:rPr>
        <w:t>a DRA</w:t>
      </w:r>
      <w:r>
        <w:rPr>
          <w:rFonts w:cs="Times New Roman"/>
          <w:szCs w:val="24"/>
        </w:rPr>
        <w:t>, deve-se ter cautela quanto à generalização dos resultados.</w:t>
      </w:r>
    </w:p>
    <w:p w:rsidR="00FB15C4" w:rsidRDefault="00FB15C4" w:rsidP="00FB15C4">
      <w:pPr>
        <w:spacing w:line="360" w:lineRule="auto"/>
        <w:ind w:firstLine="708"/>
        <w:jc w:val="both"/>
        <w:rPr>
          <w:rFonts w:cs="Times New Roman"/>
          <w:szCs w:val="24"/>
        </w:rPr>
      </w:pPr>
      <w:r>
        <w:rPr>
          <w:rFonts w:cs="Times New Roman"/>
          <w:szCs w:val="24"/>
        </w:rPr>
        <w:t xml:space="preserve">Para futuras pesquisas as seguintes sugestões tornam-se pertinentes: i) estudar qual é o posicionamento dos gestores e analistas de mercado quanto ao valor preditivo e </w:t>
      </w:r>
      <w:proofErr w:type="spellStart"/>
      <w:r w:rsidRPr="00070E4B">
        <w:rPr>
          <w:rFonts w:cs="Times New Roman"/>
          <w:i/>
          <w:szCs w:val="24"/>
        </w:rPr>
        <w:t>value</w:t>
      </w:r>
      <w:proofErr w:type="spellEnd"/>
      <w:r w:rsidRPr="00070E4B">
        <w:rPr>
          <w:rFonts w:cs="Times New Roman"/>
          <w:i/>
          <w:szCs w:val="24"/>
        </w:rPr>
        <w:t xml:space="preserve"> </w:t>
      </w:r>
      <w:proofErr w:type="spellStart"/>
      <w:r w:rsidRPr="00070E4B">
        <w:rPr>
          <w:rFonts w:cs="Times New Roman"/>
          <w:i/>
          <w:szCs w:val="24"/>
        </w:rPr>
        <w:t>relevance</w:t>
      </w:r>
      <w:proofErr w:type="spellEnd"/>
      <w:r>
        <w:rPr>
          <w:rFonts w:cs="Times New Roman"/>
          <w:szCs w:val="24"/>
        </w:rPr>
        <w:t xml:space="preserve"> dos componentes do resultado abrangente; </w:t>
      </w:r>
      <w:proofErr w:type="spellStart"/>
      <w:proofErr w:type="gramStart"/>
      <w:r>
        <w:rPr>
          <w:rFonts w:cs="Times New Roman"/>
          <w:szCs w:val="24"/>
        </w:rPr>
        <w:t>ii</w:t>
      </w:r>
      <w:proofErr w:type="spellEnd"/>
      <w:proofErr w:type="gramEnd"/>
      <w:r>
        <w:rPr>
          <w:rFonts w:cs="Times New Roman"/>
          <w:szCs w:val="24"/>
        </w:rPr>
        <w:t>) realizar uma revisão sistemática em profundidade para levantar outras lacunas ainda existentes sobre o assunto.</w:t>
      </w:r>
    </w:p>
    <w:p w:rsidR="009650A6" w:rsidRPr="009A78D9" w:rsidRDefault="009650A6" w:rsidP="009650A6">
      <w:pPr>
        <w:spacing w:after="120"/>
        <w:rPr>
          <w:rFonts w:cs="Times New Roman"/>
          <w:b/>
          <w:szCs w:val="24"/>
        </w:rPr>
      </w:pPr>
    </w:p>
    <w:p w:rsidR="000C294C" w:rsidRPr="009A78D9" w:rsidRDefault="000C294C" w:rsidP="000C294C">
      <w:pPr>
        <w:spacing w:after="240"/>
        <w:jc w:val="both"/>
        <w:rPr>
          <w:rFonts w:cs="Times New Roman"/>
          <w:b/>
          <w:szCs w:val="24"/>
        </w:rPr>
      </w:pPr>
      <w:r w:rsidRPr="009A78D9">
        <w:rPr>
          <w:rFonts w:cs="Times New Roman"/>
          <w:b/>
          <w:szCs w:val="24"/>
        </w:rPr>
        <w:t>Referências</w:t>
      </w:r>
    </w:p>
    <w:p w:rsidR="000C294C" w:rsidRPr="00C26777" w:rsidRDefault="000C294C" w:rsidP="000C294C">
      <w:pPr>
        <w:pStyle w:val="NormalWeb"/>
        <w:spacing w:before="0" w:beforeAutospacing="0" w:after="240" w:afterAutospacing="0"/>
        <w:jc w:val="both"/>
        <w:rPr>
          <w:rFonts w:eastAsia="Times New Roman"/>
          <w:color w:val="000000"/>
        </w:rPr>
      </w:pPr>
      <w:r w:rsidRPr="00CC5681">
        <w:rPr>
          <w:rFonts w:eastAsia="Times New Roman"/>
          <w:color w:val="000000"/>
        </w:rPr>
        <w:t>AZEVEDO</w:t>
      </w:r>
      <w:r w:rsidR="00D9263C">
        <w:rPr>
          <w:rFonts w:eastAsia="Times New Roman"/>
          <w:color w:val="000000"/>
        </w:rPr>
        <w:t>, C. C.</w:t>
      </w:r>
      <w:r w:rsidRPr="00C26777">
        <w:rPr>
          <w:rFonts w:eastAsia="Times New Roman"/>
          <w:color w:val="000000"/>
        </w:rPr>
        <w:t xml:space="preserve"> A</w:t>
      </w:r>
      <w:r w:rsidR="00D9263C">
        <w:rPr>
          <w:rFonts w:eastAsia="Times New Roman"/>
          <w:color w:val="000000"/>
        </w:rPr>
        <w:t>.</w:t>
      </w:r>
      <w:r w:rsidRPr="00D9263C">
        <w:rPr>
          <w:rFonts w:eastAsia="Times New Roman"/>
          <w:b/>
          <w:color w:val="000000"/>
        </w:rPr>
        <w:t xml:space="preserve"> Evolução da capacidade preditiva da informação contábil</w:t>
      </w:r>
      <w:r w:rsidRPr="00C26777">
        <w:rPr>
          <w:rFonts w:eastAsia="Times New Roman"/>
          <w:color w:val="000000"/>
        </w:rPr>
        <w:t xml:space="preserve">: um estudo a partir dos </w:t>
      </w:r>
      <w:proofErr w:type="spellStart"/>
      <w:r w:rsidRPr="00C26777">
        <w:rPr>
          <w:rFonts w:eastAsia="Times New Roman"/>
          <w:i/>
          <w:color w:val="000000"/>
        </w:rPr>
        <w:t>disclosures</w:t>
      </w:r>
      <w:proofErr w:type="spellEnd"/>
      <w:r w:rsidRPr="00C26777">
        <w:rPr>
          <w:rFonts w:eastAsia="Times New Roman"/>
          <w:color w:val="000000"/>
        </w:rPr>
        <w:t xml:space="preserve"> das Companhias listadas na </w:t>
      </w:r>
      <w:proofErr w:type="gramStart"/>
      <w:r w:rsidRPr="00C26777">
        <w:rPr>
          <w:rFonts w:eastAsia="Times New Roman"/>
          <w:color w:val="000000"/>
        </w:rPr>
        <w:t>BM&amp;FBovespa</w:t>
      </w:r>
      <w:proofErr w:type="gramEnd"/>
      <w:r w:rsidRPr="00C26777">
        <w:rPr>
          <w:rFonts w:eastAsia="Times New Roman"/>
          <w:color w:val="000000"/>
        </w:rPr>
        <w:t xml:space="preserve"> após a adoção das Normas Internacionais de Contabilidade no Brasil. </w:t>
      </w:r>
      <w:r w:rsidRPr="00CC5681">
        <w:rPr>
          <w:rFonts w:eastAsia="Times New Roman"/>
          <w:color w:val="000000"/>
          <w:lang w:eastAsia="en-US"/>
        </w:rPr>
        <w:t>Dissertação (Mestrado)</w:t>
      </w:r>
      <w:r w:rsidR="00D9263C">
        <w:rPr>
          <w:rFonts w:eastAsia="Times New Roman"/>
          <w:color w:val="000000"/>
          <w:lang w:eastAsia="en-US"/>
        </w:rPr>
        <w:t>.</w:t>
      </w:r>
      <w:r w:rsidRPr="00CC5681">
        <w:rPr>
          <w:rFonts w:eastAsia="Times New Roman"/>
          <w:color w:val="000000"/>
          <w:lang w:eastAsia="en-US"/>
        </w:rPr>
        <w:t xml:space="preserve"> Universidade Federal do Rio Grande do Norte. </w:t>
      </w:r>
      <w:r w:rsidRPr="00CC5681">
        <w:rPr>
          <w:rFonts w:eastAsia="Times New Roman"/>
          <w:color w:val="000000"/>
        </w:rPr>
        <w:t>Natal, RN, 2016. 103 f.</w:t>
      </w:r>
    </w:p>
    <w:p w:rsidR="000C294C" w:rsidRPr="00CC5681" w:rsidRDefault="000C294C" w:rsidP="000C294C">
      <w:pPr>
        <w:pStyle w:val="NormalWeb"/>
        <w:spacing w:before="0" w:beforeAutospacing="0" w:after="240" w:afterAutospacing="0"/>
        <w:jc w:val="both"/>
      </w:pPr>
      <w:r w:rsidRPr="00CC5681">
        <w:t xml:space="preserve">BARBOSA, Glauber de Castro; SILVA, César Augusto Tibúrcio. Utilização dos indicadores contábeis no processo de avaliação de empresas: a percepção de professores de contabilidade e de analistas de investimento. </w:t>
      </w:r>
      <w:r w:rsidRPr="00CC5681">
        <w:rPr>
          <w:b/>
        </w:rPr>
        <w:t xml:space="preserve">Revista Ambiente Contábil, </w:t>
      </w:r>
      <w:r w:rsidR="00862B36">
        <w:t xml:space="preserve">UFRN, Natal-RN. </w:t>
      </w:r>
      <w:proofErr w:type="gramStart"/>
      <w:r w:rsidR="00862B36">
        <w:t>v.</w:t>
      </w:r>
      <w:proofErr w:type="gramEnd"/>
      <w:r w:rsidR="00862B36">
        <w:t>6,</w:t>
      </w:r>
      <w:r w:rsidRPr="00CC5681">
        <w:t xml:space="preserve"> n.2, p. 170</w:t>
      </w:r>
      <w:r w:rsidR="00FB05CD">
        <w:t>-</w:t>
      </w:r>
      <w:r w:rsidRPr="00CC5681">
        <w:t>188, jul./dez. 2014.</w:t>
      </w:r>
    </w:p>
    <w:p w:rsidR="000C294C" w:rsidRPr="00CC5681" w:rsidRDefault="000C294C" w:rsidP="000C294C">
      <w:pPr>
        <w:pStyle w:val="NormalWeb"/>
        <w:spacing w:before="0" w:beforeAutospacing="0" w:after="240" w:afterAutospacing="0"/>
        <w:jc w:val="both"/>
        <w:rPr>
          <w:lang w:val="en-US"/>
        </w:rPr>
      </w:pPr>
      <w:r w:rsidRPr="00CC5681">
        <w:rPr>
          <w:lang w:val="en-US"/>
        </w:rPr>
        <w:t xml:space="preserve">BARTH, Mary E. Valuation-based accounting research: implications for financial reporting and opportunities for future research. </w:t>
      </w:r>
      <w:proofErr w:type="gramStart"/>
      <w:r w:rsidRPr="00862B36">
        <w:rPr>
          <w:b/>
          <w:lang w:val="en-US"/>
        </w:rPr>
        <w:t>Accounting and Finance</w:t>
      </w:r>
      <w:r w:rsidR="00FB05CD">
        <w:rPr>
          <w:lang w:val="en-US"/>
        </w:rPr>
        <w:t>, v.</w:t>
      </w:r>
      <w:r w:rsidRPr="00CC5681">
        <w:rPr>
          <w:lang w:val="en-US"/>
        </w:rPr>
        <w:t>40,</w:t>
      </w:r>
      <w:r w:rsidR="00862B36">
        <w:rPr>
          <w:lang w:val="en-US"/>
        </w:rPr>
        <w:t xml:space="preserve"> n. 1</w:t>
      </w:r>
      <w:r w:rsidR="00FB05CD">
        <w:rPr>
          <w:lang w:val="en-US"/>
        </w:rPr>
        <w:t>,</w:t>
      </w:r>
      <w:r w:rsidRPr="00CC5681">
        <w:rPr>
          <w:lang w:val="en-US"/>
        </w:rPr>
        <w:t xml:space="preserve"> 2000</w:t>
      </w:r>
      <w:r w:rsidR="00862B36">
        <w:rPr>
          <w:lang w:val="en-US"/>
        </w:rPr>
        <w:t>.</w:t>
      </w:r>
      <w:proofErr w:type="gramEnd"/>
    </w:p>
    <w:p w:rsidR="000C294C" w:rsidRPr="00CC5681" w:rsidRDefault="000C294C" w:rsidP="000C294C">
      <w:pPr>
        <w:pStyle w:val="NormalWeb"/>
        <w:spacing w:before="0" w:beforeAutospacing="0" w:after="240" w:afterAutospacing="0"/>
        <w:jc w:val="both"/>
        <w:rPr>
          <w:lang w:val="en-US"/>
        </w:rPr>
      </w:pPr>
      <w:proofErr w:type="gramStart"/>
      <w:r w:rsidRPr="009A78D9">
        <w:rPr>
          <w:rFonts w:eastAsia="Times New Roman"/>
          <w:bCs/>
          <w:color w:val="000000"/>
          <w:lang w:val="en-US"/>
        </w:rPr>
        <w:t xml:space="preserve">BATAINEH, Ashraf; RABABAH </w:t>
      </w:r>
      <w:proofErr w:type="spellStart"/>
      <w:r w:rsidRPr="009A78D9">
        <w:rPr>
          <w:rFonts w:eastAsia="Times New Roman"/>
          <w:bCs/>
          <w:color w:val="000000"/>
          <w:lang w:val="en-US"/>
        </w:rPr>
        <w:t>Abedalqader</w:t>
      </w:r>
      <w:proofErr w:type="spellEnd"/>
      <w:r w:rsidRPr="009A78D9">
        <w:rPr>
          <w:rFonts w:eastAsia="Times New Roman"/>
          <w:bCs/>
          <w:color w:val="000000"/>
          <w:lang w:val="en-US"/>
        </w:rPr>
        <w:t>.</w:t>
      </w:r>
      <w:proofErr w:type="gramEnd"/>
      <w:r w:rsidRPr="009A78D9">
        <w:rPr>
          <w:rFonts w:eastAsia="Times New Roman"/>
          <w:bCs/>
          <w:color w:val="000000"/>
          <w:lang w:val="en-US"/>
        </w:rPr>
        <w:t xml:space="preserve"> </w:t>
      </w:r>
      <w:proofErr w:type="gramStart"/>
      <w:r w:rsidRPr="009A78D9">
        <w:rPr>
          <w:rFonts w:eastAsia="Times New Roman"/>
          <w:bCs/>
          <w:color w:val="000000"/>
          <w:lang w:val="en-US"/>
        </w:rPr>
        <w:t>Comprehensive Income and Net Income, Which is more powerful in predicting Future Performance.</w:t>
      </w:r>
      <w:proofErr w:type="gramEnd"/>
      <w:r w:rsidRPr="009A78D9">
        <w:rPr>
          <w:rFonts w:eastAsia="Times New Roman"/>
          <w:bCs/>
          <w:color w:val="000000"/>
          <w:lang w:val="en-US"/>
        </w:rPr>
        <w:t xml:space="preserve"> </w:t>
      </w:r>
      <w:proofErr w:type="gramStart"/>
      <w:r w:rsidRPr="009A78D9">
        <w:rPr>
          <w:rFonts w:eastAsia="Times New Roman"/>
          <w:b/>
          <w:bCs/>
          <w:color w:val="000000"/>
          <w:lang w:val="en-US"/>
        </w:rPr>
        <w:t>International Journal of Academic Research in Accounting, Finance and Management Sciences</w:t>
      </w:r>
      <w:r w:rsidR="00862B36">
        <w:rPr>
          <w:rFonts w:eastAsia="Times New Roman"/>
          <w:bCs/>
          <w:color w:val="000000"/>
          <w:lang w:val="en-US"/>
        </w:rPr>
        <w:t>.</w:t>
      </w:r>
      <w:proofErr w:type="gramEnd"/>
      <w:r w:rsidRPr="009A78D9">
        <w:rPr>
          <w:rFonts w:eastAsia="Times New Roman"/>
          <w:bCs/>
          <w:color w:val="000000"/>
          <w:lang w:val="en-US"/>
        </w:rPr>
        <w:t xml:space="preserve"> </w:t>
      </w:r>
      <w:proofErr w:type="gramStart"/>
      <w:r w:rsidR="00862B36">
        <w:rPr>
          <w:rFonts w:eastAsia="Times New Roman"/>
          <w:bCs/>
          <w:color w:val="000000"/>
          <w:lang w:val="en-US"/>
        </w:rPr>
        <w:t>v.</w:t>
      </w:r>
      <w:r w:rsidRPr="009A78D9">
        <w:rPr>
          <w:rFonts w:eastAsia="Times New Roman"/>
          <w:bCs/>
          <w:color w:val="000000"/>
          <w:lang w:val="en-US"/>
        </w:rPr>
        <w:t xml:space="preserve">6, </w:t>
      </w:r>
      <w:r w:rsidR="00862B36">
        <w:rPr>
          <w:rFonts w:eastAsia="Times New Roman"/>
          <w:bCs/>
          <w:color w:val="000000"/>
          <w:lang w:val="en-US"/>
        </w:rPr>
        <w:t>n</w:t>
      </w:r>
      <w:r w:rsidR="00C041CC">
        <w:rPr>
          <w:rFonts w:eastAsia="Times New Roman"/>
          <w:bCs/>
          <w:color w:val="000000"/>
          <w:lang w:val="en-US"/>
        </w:rPr>
        <w:t xml:space="preserve">.2, </w:t>
      </w:r>
      <w:r w:rsidR="00C041CC" w:rsidRPr="009A78D9">
        <w:rPr>
          <w:rFonts w:eastAsia="Times New Roman"/>
          <w:bCs/>
          <w:color w:val="000000"/>
          <w:lang w:val="en-US"/>
        </w:rPr>
        <w:t>p. 114–120</w:t>
      </w:r>
      <w:r w:rsidR="00C041CC">
        <w:rPr>
          <w:rFonts w:eastAsia="Times New Roman"/>
          <w:bCs/>
          <w:color w:val="000000"/>
          <w:lang w:val="en-US"/>
        </w:rPr>
        <w:t>.</w:t>
      </w:r>
      <w:proofErr w:type="gramEnd"/>
      <w:r w:rsidR="00C041CC">
        <w:rPr>
          <w:rFonts w:eastAsia="Times New Roman"/>
          <w:bCs/>
          <w:color w:val="000000"/>
          <w:lang w:val="en-US"/>
        </w:rPr>
        <w:t xml:space="preserve"> </w:t>
      </w:r>
      <w:proofErr w:type="gramStart"/>
      <w:r w:rsidR="00C041CC">
        <w:rPr>
          <w:rFonts w:eastAsia="Times New Roman"/>
          <w:bCs/>
          <w:color w:val="000000"/>
          <w:lang w:val="en-US"/>
        </w:rPr>
        <w:t>Abr. 2016.</w:t>
      </w:r>
      <w:proofErr w:type="gramEnd"/>
    </w:p>
    <w:p w:rsidR="000C294C" w:rsidRPr="00CC5681" w:rsidRDefault="000C294C" w:rsidP="000C294C">
      <w:pPr>
        <w:pStyle w:val="NormalWeb"/>
        <w:spacing w:before="0" w:beforeAutospacing="0" w:after="240" w:afterAutospacing="0"/>
        <w:jc w:val="both"/>
        <w:rPr>
          <w:lang w:val="en-US"/>
        </w:rPr>
      </w:pPr>
      <w:proofErr w:type="gramStart"/>
      <w:r w:rsidRPr="00CC5681">
        <w:rPr>
          <w:lang w:val="en-US"/>
        </w:rPr>
        <w:lastRenderedPageBreak/>
        <w:t>BIDDLE, G. C.; CHOI, J.</w:t>
      </w:r>
      <w:proofErr w:type="gramEnd"/>
      <w:r w:rsidR="00862B36">
        <w:rPr>
          <w:lang w:val="en-US"/>
        </w:rPr>
        <w:t xml:space="preserve"> Is Comprehensive Income Useful</w:t>
      </w:r>
      <w:r w:rsidRPr="00CC5681">
        <w:rPr>
          <w:lang w:val="en-US"/>
        </w:rPr>
        <w:t xml:space="preserve">? </w:t>
      </w:r>
      <w:proofErr w:type="gramStart"/>
      <w:r w:rsidR="00862B36" w:rsidRPr="00862B36">
        <w:rPr>
          <w:b/>
          <w:lang w:val="en-US"/>
        </w:rPr>
        <w:t>Journal of Contemporary Accounting and Economics</w:t>
      </w:r>
      <w:r w:rsidR="00862B36">
        <w:rPr>
          <w:lang w:val="en-US"/>
        </w:rPr>
        <w:t>.</w:t>
      </w:r>
      <w:proofErr w:type="gramEnd"/>
      <w:r w:rsidR="00862B36">
        <w:rPr>
          <w:lang w:val="en-US"/>
        </w:rPr>
        <w:t xml:space="preserve"> </w:t>
      </w:r>
      <w:proofErr w:type="gramStart"/>
      <w:r w:rsidR="00862B36">
        <w:rPr>
          <w:lang w:val="en-US"/>
        </w:rPr>
        <w:t>v</w:t>
      </w:r>
      <w:r w:rsidR="00FB05CD">
        <w:rPr>
          <w:lang w:val="en-US"/>
        </w:rPr>
        <w:t>.</w:t>
      </w:r>
      <w:r w:rsidR="00862B36">
        <w:rPr>
          <w:lang w:val="en-US"/>
        </w:rPr>
        <w:t>2, n.1, Jun.</w:t>
      </w:r>
      <w:r w:rsidR="00862B36" w:rsidRPr="00862B36">
        <w:rPr>
          <w:lang w:val="en-US"/>
        </w:rPr>
        <w:t xml:space="preserve"> 2006</w:t>
      </w:r>
      <w:r w:rsidR="00862B36">
        <w:rPr>
          <w:lang w:val="en-US"/>
        </w:rPr>
        <w:t>.</w:t>
      </w:r>
      <w:proofErr w:type="gramEnd"/>
    </w:p>
    <w:p w:rsidR="000C294C" w:rsidRPr="00FB05CD" w:rsidRDefault="000C294C" w:rsidP="000C294C">
      <w:pPr>
        <w:pStyle w:val="NormalWeb"/>
        <w:spacing w:before="0" w:beforeAutospacing="0" w:after="240" w:afterAutospacing="0"/>
        <w:jc w:val="both"/>
      </w:pPr>
      <w:r w:rsidRPr="009A78D9">
        <w:rPr>
          <w:rFonts w:eastAsia="Times New Roman"/>
          <w:lang w:val="en-US"/>
        </w:rPr>
        <w:t>BLACK, Dirk E</w:t>
      </w:r>
      <w:r w:rsidRPr="00CC5681">
        <w:rPr>
          <w:lang w:val="en-US"/>
        </w:rPr>
        <w:t xml:space="preserve">. </w:t>
      </w:r>
      <w:r w:rsidRPr="009A78D9">
        <w:rPr>
          <w:rFonts w:eastAsia="Times New Roman"/>
          <w:lang w:val="en-US"/>
        </w:rPr>
        <w:t xml:space="preserve">Other comprehensive income: a review and directions for future research. </w:t>
      </w:r>
      <w:proofErr w:type="spellStart"/>
      <w:r w:rsidRPr="00FB05CD">
        <w:rPr>
          <w:rFonts w:eastAsia="Times New Roman"/>
          <w:b/>
        </w:rPr>
        <w:t>Accounting</w:t>
      </w:r>
      <w:proofErr w:type="spellEnd"/>
      <w:r w:rsidRPr="00FB05CD">
        <w:rPr>
          <w:rFonts w:eastAsia="Times New Roman"/>
          <w:b/>
        </w:rPr>
        <w:t xml:space="preserve"> </w:t>
      </w:r>
      <w:proofErr w:type="spellStart"/>
      <w:r w:rsidRPr="00FB05CD">
        <w:rPr>
          <w:rFonts w:eastAsia="Times New Roman"/>
          <w:b/>
        </w:rPr>
        <w:t>and</w:t>
      </w:r>
      <w:proofErr w:type="spellEnd"/>
      <w:r w:rsidRPr="00FB05CD">
        <w:rPr>
          <w:rFonts w:eastAsia="Times New Roman"/>
          <w:b/>
        </w:rPr>
        <w:t xml:space="preserve"> </w:t>
      </w:r>
      <w:proofErr w:type="spellStart"/>
      <w:r w:rsidRPr="00FB05CD">
        <w:rPr>
          <w:rFonts w:eastAsia="Times New Roman"/>
          <w:b/>
        </w:rPr>
        <w:t>Finance</w:t>
      </w:r>
      <w:proofErr w:type="spellEnd"/>
      <w:r w:rsidR="00FB05CD" w:rsidRPr="00FB05CD">
        <w:rPr>
          <w:rFonts w:eastAsia="Times New Roman"/>
        </w:rPr>
        <w:t>.</w:t>
      </w:r>
      <w:r w:rsidR="00FB05CD">
        <w:rPr>
          <w:rFonts w:eastAsia="Times New Roman"/>
        </w:rPr>
        <w:t xml:space="preserve"> </w:t>
      </w:r>
      <w:proofErr w:type="gramStart"/>
      <w:r w:rsidR="00FB05CD">
        <w:rPr>
          <w:rFonts w:eastAsia="Times New Roman"/>
        </w:rPr>
        <w:t>v.</w:t>
      </w:r>
      <w:proofErr w:type="gramEnd"/>
      <w:r w:rsidRPr="00FB05CD">
        <w:rPr>
          <w:rFonts w:eastAsia="Times New Roman"/>
        </w:rPr>
        <w:t>56</w:t>
      </w:r>
      <w:r w:rsidR="00FB05CD">
        <w:rPr>
          <w:rFonts w:eastAsia="Times New Roman"/>
        </w:rPr>
        <w:t>, n.1.</w:t>
      </w:r>
      <w:r w:rsidRPr="00FB05CD">
        <w:rPr>
          <w:rFonts w:eastAsia="Times New Roman"/>
        </w:rPr>
        <w:t xml:space="preserve"> </w:t>
      </w:r>
      <w:proofErr w:type="gramStart"/>
      <w:r w:rsidR="00C041CC">
        <w:rPr>
          <w:rFonts w:eastAsia="Times New Roman"/>
        </w:rPr>
        <w:t>p.</w:t>
      </w:r>
      <w:proofErr w:type="gramEnd"/>
      <w:r w:rsidR="00C041CC" w:rsidRPr="00FB05CD">
        <w:rPr>
          <w:rFonts w:eastAsia="Times New Roman"/>
        </w:rPr>
        <w:t xml:space="preserve"> 9-45</w:t>
      </w:r>
      <w:r w:rsidR="00C041CC">
        <w:rPr>
          <w:rFonts w:eastAsia="Times New Roman"/>
        </w:rPr>
        <w:t xml:space="preserve">. Mar. </w:t>
      </w:r>
      <w:r w:rsidR="00FB05CD">
        <w:rPr>
          <w:rFonts w:eastAsia="Times New Roman"/>
        </w:rPr>
        <w:t>2016.</w:t>
      </w:r>
    </w:p>
    <w:p w:rsidR="000C294C" w:rsidRPr="007618FE" w:rsidRDefault="000C294C" w:rsidP="000C294C">
      <w:pPr>
        <w:spacing w:after="240"/>
        <w:jc w:val="both"/>
        <w:rPr>
          <w:lang w:val="en-US" w:eastAsia="pt-BR"/>
        </w:rPr>
      </w:pPr>
      <w:r w:rsidRPr="00CC5681">
        <w:rPr>
          <w:lang w:eastAsia="pt-BR"/>
        </w:rPr>
        <w:t xml:space="preserve">BUENO, Artur F. Problemas de </w:t>
      </w:r>
      <w:r w:rsidRPr="00CC5681">
        <w:rPr>
          <w:iCs/>
          <w:lang w:eastAsia="pt-BR"/>
        </w:rPr>
        <w:t xml:space="preserve">disclosure </w:t>
      </w:r>
      <w:r w:rsidRPr="00CC5681">
        <w:rPr>
          <w:lang w:eastAsia="pt-BR"/>
        </w:rPr>
        <w:t xml:space="preserve">no Brasil: o caso das empresas com ações no exterior. </w:t>
      </w:r>
      <w:proofErr w:type="spellStart"/>
      <w:r w:rsidRPr="003236E4">
        <w:rPr>
          <w:b/>
          <w:iCs/>
          <w:lang w:val="en-US" w:eastAsia="pt-BR"/>
        </w:rPr>
        <w:t>Caderno</w:t>
      </w:r>
      <w:proofErr w:type="spellEnd"/>
      <w:r w:rsidRPr="003236E4">
        <w:rPr>
          <w:b/>
          <w:iCs/>
          <w:lang w:val="en-US" w:eastAsia="pt-BR"/>
        </w:rPr>
        <w:t xml:space="preserve"> de </w:t>
      </w:r>
      <w:proofErr w:type="spellStart"/>
      <w:r w:rsidRPr="003236E4">
        <w:rPr>
          <w:b/>
          <w:iCs/>
          <w:lang w:val="en-US" w:eastAsia="pt-BR"/>
        </w:rPr>
        <w:t>Estudos</w:t>
      </w:r>
      <w:proofErr w:type="spellEnd"/>
      <w:r w:rsidRPr="003236E4">
        <w:rPr>
          <w:b/>
          <w:iCs/>
          <w:lang w:val="en-US" w:eastAsia="pt-BR"/>
        </w:rPr>
        <w:t>,</w:t>
      </w:r>
      <w:r w:rsidRPr="003236E4">
        <w:rPr>
          <w:lang w:val="en-US" w:eastAsia="pt-BR"/>
        </w:rPr>
        <w:t xml:space="preserve"> São Paulo, v.1</w:t>
      </w:r>
      <w:r w:rsidRPr="007618FE">
        <w:rPr>
          <w:lang w:val="en-US" w:eastAsia="pt-BR"/>
        </w:rPr>
        <w:t xml:space="preserve">1, n. 20, </w:t>
      </w:r>
      <w:proofErr w:type="spellStart"/>
      <w:r w:rsidRPr="007618FE">
        <w:rPr>
          <w:lang w:val="en-US" w:eastAsia="pt-BR"/>
        </w:rPr>
        <w:t>jan</w:t>
      </w:r>
      <w:proofErr w:type="gramStart"/>
      <w:r w:rsidRPr="007618FE">
        <w:rPr>
          <w:lang w:val="en-US" w:eastAsia="pt-BR"/>
        </w:rPr>
        <w:t>.</w:t>
      </w:r>
      <w:proofErr w:type="spellEnd"/>
      <w:r w:rsidRPr="007618FE">
        <w:rPr>
          <w:lang w:val="en-US" w:eastAsia="pt-BR"/>
        </w:rPr>
        <w:t>/</w:t>
      </w:r>
      <w:proofErr w:type="gramEnd"/>
      <w:r w:rsidRPr="007618FE">
        <w:rPr>
          <w:lang w:val="en-US" w:eastAsia="pt-BR"/>
        </w:rPr>
        <w:t>abr. 1999.</w:t>
      </w:r>
    </w:p>
    <w:p w:rsidR="000C294C" w:rsidRPr="00F53227" w:rsidRDefault="00C041CC" w:rsidP="000C294C">
      <w:pPr>
        <w:pStyle w:val="NormalWeb"/>
        <w:spacing w:before="0" w:beforeAutospacing="0" w:after="240" w:afterAutospacing="0"/>
        <w:jc w:val="both"/>
      </w:pPr>
      <w:proofErr w:type="gramStart"/>
      <w:r w:rsidRPr="00C041CC">
        <w:rPr>
          <w:lang w:val="en-US"/>
        </w:rPr>
        <w:t>CAHAN, S</w:t>
      </w:r>
      <w:r>
        <w:rPr>
          <w:lang w:val="en-US"/>
        </w:rPr>
        <w:t>.</w:t>
      </w:r>
      <w:r w:rsidRPr="00C041CC">
        <w:rPr>
          <w:lang w:val="en-US"/>
        </w:rPr>
        <w:t xml:space="preserve"> F.</w:t>
      </w:r>
      <w:r>
        <w:rPr>
          <w:lang w:val="en-US"/>
        </w:rPr>
        <w:t>;</w:t>
      </w:r>
      <w:r w:rsidRPr="00C041CC">
        <w:rPr>
          <w:lang w:val="en-US"/>
        </w:rPr>
        <w:t xml:space="preserve"> COURTENAY</w:t>
      </w:r>
      <w:r>
        <w:rPr>
          <w:lang w:val="en-US"/>
        </w:rPr>
        <w:t>, S.</w:t>
      </w:r>
      <w:r w:rsidRPr="00C041CC">
        <w:rPr>
          <w:lang w:val="en-US"/>
        </w:rPr>
        <w:t xml:space="preserve"> M.</w:t>
      </w:r>
      <w:r>
        <w:rPr>
          <w:lang w:val="en-US"/>
        </w:rPr>
        <w:t>;</w:t>
      </w:r>
      <w:r w:rsidRPr="00C041CC">
        <w:rPr>
          <w:lang w:val="en-US"/>
        </w:rPr>
        <w:t xml:space="preserve"> GRONEWOLLER, P</w:t>
      </w:r>
      <w:r>
        <w:rPr>
          <w:lang w:val="en-US"/>
        </w:rPr>
        <w:t>.</w:t>
      </w:r>
      <w:r w:rsidRPr="00C041CC">
        <w:rPr>
          <w:lang w:val="en-US"/>
        </w:rPr>
        <w:t xml:space="preserve"> L.</w:t>
      </w:r>
      <w:r>
        <w:rPr>
          <w:lang w:val="en-US"/>
        </w:rPr>
        <w:t>;</w:t>
      </w:r>
      <w:r w:rsidRPr="00C041CC">
        <w:rPr>
          <w:lang w:val="en-US"/>
        </w:rPr>
        <w:t xml:space="preserve"> UPTON, D, Value Relevance of Mandated Comprehensive Income Disclosures.</w:t>
      </w:r>
      <w:proofErr w:type="gramEnd"/>
      <w:r w:rsidRPr="00C041CC">
        <w:rPr>
          <w:lang w:val="en-US"/>
        </w:rPr>
        <w:t xml:space="preserve"> </w:t>
      </w:r>
      <w:proofErr w:type="gramStart"/>
      <w:r w:rsidRPr="00C041CC">
        <w:rPr>
          <w:b/>
          <w:lang w:val="en-US"/>
        </w:rPr>
        <w:t>Journal of Business Finance and Accounting</w:t>
      </w:r>
      <w:r>
        <w:rPr>
          <w:lang w:val="en-US"/>
        </w:rPr>
        <w:t>.</w:t>
      </w:r>
      <w:proofErr w:type="gramEnd"/>
      <w:r w:rsidRPr="00C041CC">
        <w:rPr>
          <w:lang w:val="en-US"/>
        </w:rPr>
        <w:t xml:space="preserve"> </w:t>
      </w:r>
      <w:proofErr w:type="gramStart"/>
      <w:r>
        <w:rPr>
          <w:lang w:val="en-US"/>
        </w:rPr>
        <w:t>v.</w:t>
      </w:r>
      <w:r w:rsidRPr="00C041CC">
        <w:rPr>
          <w:lang w:val="en-US"/>
        </w:rPr>
        <w:t>27,</w:t>
      </w:r>
      <w:r>
        <w:rPr>
          <w:lang w:val="en-US"/>
        </w:rPr>
        <w:t xml:space="preserve"> n.9-10 </w:t>
      </w:r>
      <w:r w:rsidRPr="00C041CC">
        <w:rPr>
          <w:lang w:val="en-US"/>
        </w:rPr>
        <w:t>Capital Markets Conference issue</w:t>
      </w:r>
      <w:r>
        <w:rPr>
          <w:lang w:val="en-US"/>
        </w:rPr>
        <w:t>.</w:t>
      </w:r>
      <w:proofErr w:type="gramEnd"/>
      <w:r w:rsidRPr="00C041CC">
        <w:rPr>
          <w:lang w:val="en-US"/>
        </w:rPr>
        <w:t xml:space="preserve"> </w:t>
      </w:r>
      <w:r w:rsidRPr="00F53227">
        <w:t>Nov./Dez. 2000.</w:t>
      </w:r>
    </w:p>
    <w:p w:rsidR="000C294C" w:rsidRPr="00CC5681" w:rsidRDefault="000C294C" w:rsidP="000C294C">
      <w:pPr>
        <w:pStyle w:val="NormalWeb"/>
        <w:spacing w:before="0" w:beforeAutospacing="0" w:after="240" w:afterAutospacing="0"/>
        <w:jc w:val="both"/>
      </w:pPr>
      <w:r w:rsidRPr="00C041CC">
        <w:t xml:space="preserve">CHECON, B. Q. </w:t>
      </w:r>
      <w:r w:rsidRPr="00D9263C">
        <w:rPr>
          <w:b/>
        </w:rPr>
        <w:t>Resultado Abrangente: formato de apresentação, maturação e os impactos nas decisões de investimento</w:t>
      </w:r>
      <w:r w:rsidRPr="00C041CC">
        <w:t xml:space="preserve">. </w:t>
      </w:r>
      <w:r w:rsidR="00D9263C">
        <w:t xml:space="preserve">Dissertação (Mestrado). </w:t>
      </w:r>
      <w:r w:rsidRPr="00D9263C">
        <w:t>Univ</w:t>
      </w:r>
      <w:r w:rsidRPr="00CC5681">
        <w:t>ersidade de São Paulo,</w:t>
      </w:r>
      <w:r w:rsidR="00D9263C">
        <w:t xml:space="preserve"> SP, 2013. 130 f.</w:t>
      </w:r>
    </w:p>
    <w:p w:rsidR="000C294C" w:rsidRDefault="0048567C" w:rsidP="000C294C">
      <w:pPr>
        <w:pStyle w:val="NormalWeb"/>
        <w:spacing w:before="0" w:beforeAutospacing="0" w:after="240" w:afterAutospacing="0"/>
        <w:jc w:val="both"/>
      </w:pPr>
      <w:r>
        <w:t xml:space="preserve">CPC, </w:t>
      </w:r>
      <w:r w:rsidR="00D9263C">
        <w:t>Comitê d</w:t>
      </w:r>
      <w:r w:rsidR="00D9263C" w:rsidRPr="00CC5681">
        <w:t>e Pronunciamentos Contábeis</w:t>
      </w:r>
      <w:r w:rsidR="000C294C" w:rsidRPr="00CC5681">
        <w:t xml:space="preserve">. </w:t>
      </w:r>
      <w:r w:rsidR="00AA32F6">
        <w:t xml:space="preserve">Pronunciamento Técnico </w:t>
      </w:r>
      <w:r w:rsidR="00D9263C" w:rsidRPr="00D9263C">
        <w:t>CPC 26 - Apresentação das Demonstrações Contábeis</w:t>
      </w:r>
      <w:r w:rsidR="000C294C" w:rsidRPr="00CC5681">
        <w:t>.</w:t>
      </w:r>
      <w:r w:rsidR="00F05AF9">
        <w:t xml:space="preserve"> 20</w:t>
      </w:r>
      <w:r>
        <w:t>09</w:t>
      </w:r>
      <w:r w:rsidR="00F05AF9">
        <w:t>.</w:t>
      </w:r>
    </w:p>
    <w:p w:rsidR="0048567C" w:rsidRPr="00CC5681" w:rsidRDefault="0048567C" w:rsidP="000C294C">
      <w:pPr>
        <w:pStyle w:val="NormalWeb"/>
        <w:spacing w:before="0" w:beforeAutospacing="0" w:after="240" w:afterAutospacing="0"/>
        <w:jc w:val="both"/>
      </w:pPr>
      <w:r w:rsidRPr="00CC5681">
        <w:t>CPC</w:t>
      </w:r>
      <w:r>
        <w:t>,</w:t>
      </w:r>
      <w:r w:rsidRPr="00CC5681">
        <w:t xml:space="preserve"> </w:t>
      </w:r>
      <w:r>
        <w:t>Comitê d</w:t>
      </w:r>
      <w:r w:rsidRPr="00CC5681">
        <w:t xml:space="preserve">e Pronunciamentos Contábeis. </w:t>
      </w:r>
      <w:r>
        <w:t xml:space="preserve">Pronunciamento Técnico </w:t>
      </w:r>
      <w:r w:rsidRPr="00D9263C">
        <w:t xml:space="preserve">CPC 26 </w:t>
      </w:r>
      <w:r>
        <w:t>(R1)</w:t>
      </w:r>
      <w:r w:rsidRPr="00D9263C">
        <w:t>- Apresentação das Demonstrações Contábeis</w:t>
      </w:r>
      <w:r w:rsidRPr="00CC5681">
        <w:t>.</w:t>
      </w:r>
      <w:r>
        <w:t xml:space="preserve"> 2011.</w:t>
      </w:r>
    </w:p>
    <w:p w:rsidR="000C294C" w:rsidRPr="00CC5681" w:rsidRDefault="00F05AF9" w:rsidP="000C294C">
      <w:pPr>
        <w:pStyle w:val="NormalWeb"/>
        <w:spacing w:before="0" w:beforeAutospacing="0" w:after="240" w:afterAutospacing="0"/>
        <w:jc w:val="both"/>
      </w:pPr>
      <w:r>
        <w:t>COUTINHO, A. H.; SILVA, E</w:t>
      </w:r>
      <w:r w:rsidR="000C294C" w:rsidRPr="00CC5681">
        <w:t xml:space="preserve">. G. R. DA. </w:t>
      </w:r>
      <w:r w:rsidRPr="00CC5681">
        <w:t xml:space="preserve">Análise das </w:t>
      </w:r>
      <w:r>
        <w:t>D</w:t>
      </w:r>
      <w:r w:rsidRPr="00CC5681">
        <w:t>emonstrações d</w:t>
      </w:r>
      <w:r>
        <w:t>o</w:t>
      </w:r>
      <w:r w:rsidRPr="00CC5681">
        <w:t xml:space="preserve"> </w:t>
      </w:r>
      <w:r>
        <w:t>R</w:t>
      </w:r>
      <w:r w:rsidRPr="00CC5681">
        <w:t xml:space="preserve">esultado </w:t>
      </w:r>
      <w:r>
        <w:t>A</w:t>
      </w:r>
      <w:r w:rsidRPr="00CC5681">
        <w:t xml:space="preserve">brangente após a </w:t>
      </w:r>
      <w:proofErr w:type="gramStart"/>
      <w:r w:rsidRPr="00CC5681">
        <w:t>implementação</w:t>
      </w:r>
      <w:proofErr w:type="gramEnd"/>
      <w:r w:rsidRPr="00CC5681">
        <w:t xml:space="preserve"> do </w:t>
      </w:r>
      <w:r>
        <w:t>IFRS</w:t>
      </w:r>
      <w:r w:rsidRPr="00CC5681">
        <w:t xml:space="preserve"> no </w:t>
      </w:r>
      <w:r>
        <w:t>B</w:t>
      </w:r>
      <w:r w:rsidRPr="00CC5681">
        <w:t>rasil</w:t>
      </w:r>
      <w:r w:rsidR="000C294C" w:rsidRPr="00CC5681">
        <w:t xml:space="preserve">. </w:t>
      </w:r>
      <w:proofErr w:type="spellStart"/>
      <w:r w:rsidR="000C294C" w:rsidRPr="00F05AF9">
        <w:rPr>
          <w:b/>
        </w:rPr>
        <w:t>Contextus</w:t>
      </w:r>
      <w:proofErr w:type="spellEnd"/>
      <w:r w:rsidR="000C294C" w:rsidRPr="00CC5681">
        <w:t xml:space="preserve">, v. 13, n. 1, p. 27, 2015. </w:t>
      </w:r>
    </w:p>
    <w:p w:rsidR="000C294C" w:rsidRPr="00F53227" w:rsidRDefault="000C294C" w:rsidP="000C294C">
      <w:pPr>
        <w:pStyle w:val="NormalWeb"/>
        <w:spacing w:before="0" w:beforeAutospacing="0" w:after="240" w:afterAutospacing="0"/>
        <w:jc w:val="both"/>
        <w:rPr>
          <w:lang w:val="en-US"/>
        </w:rPr>
      </w:pPr>
      <w:r w:rsidRPr="00CC5681">
        <w:t>DURSO, S. O</w:t>
      </w:r>
      <w:proofErr w:type="gramStart"/>
      <w:r w:rsidRPr="00CC5681">
        <w:t>.;</w:t>
      </w:r>
      <w:proofErr w:type="gramEnd"/>
      <w:r w:rsidRPr="00CC5681">
        <w:t xml:space="preserve"> MÁRIO, P. C. Obrigatoriedade da Demonstração do Resultado Abrangente: Melhoria ou Excesso de Informação?</w:t>
      </w:r>
      <w:r w:rsidR="00F05AF9">
        <w:t xml:space="preserve"> </w:t>
      </w:r>
      <w:r w:rsidRPr="00F53227">
        <w:rPr>
          <w:lang w:val="en-US"/>
        </w:rPr>
        <w:t xml:space="preserve">Rio de Janeiro: </w:t>
      </w:r>
      <w:proofErr w:type="spellStart"/>
      <w:r w:rsidRPr="00F53227">
        <w:rPr>
          <w:b/>
          <w:lang w:val="en-US"/>
        </w:rPr>
        <w:t>AdCont</w:t>
      </w:r>
      <w:proofErr w:type="spellEnd"/>
      <w:r w:rsidRPr="00F53227">
        <w:rPr>
          <w:b/>
          <w:lang w:val="en-US"/>
        </w:rPr>
        <w:t xml:space="preserve"> 2014</w:t>
      </w:r>
      <w:r w:rsidRPr="00F53227">
        <w:rPr>
          <w:lang w:val="en-US"/>
        </w:rPr>
        <w:t>, 2014</w:t>
      </w:r>
    </w:p>
    <w:p w:rsidR="000C294C" w:rsidRPr="001179E7" w:rsidRDefault="000C294C" w:rsidP="000C294C">
      <w:pPr>
        <w:pStyle w:val="NormalWeb"/>
        <w:spacing w:before="0" w:beforeAutospacing="0" w:after="240" w:afterAutospacing="0"/>
        <w:jc w:val="both"/>
      </w:pPr>
      <w:proofErr w:type="gramStart"/>
      <w:r w:rsidRPr="00F53227">
        <w:rPr>
          <w:lang w:val="en-US"/>
        </w:rPr>
        <w:t xml:space="preserve">FASB – </w:t>
      </w:r>
      <w:r w:rsidR="00F05AF9" w:rsidRPr="00F53227">
        <w:rPr>
          <w:lang w:val="en-US"/>
        </w:rPr>
        <w:t>Financial Accounting Standard Board</w:t>
      </w:r>
      <w:r w:rsidRPr="00F53227">
        <w:rPr>
          <w:lang w:val="en-US"/>
        </w:rPr>
        <w:t>.</w:t>
      </w:r>
      <w:proofErr w:type="gramEnd"/>
      <w:r w:rsidRPr="00F53227">
        <w:rPr>
          <w:lang w:val="en-US"/>
        </w:rPr>
        <w:t xml:space="preserve"> Statement of Financial Accounting Standards - SFAS 130: Reporting Comprehensive Income, Jun</w:t>
      </w:r>
      <w:r w:rsidR="00F05AF9" w:rsidRPr="00F53227">
        <w:rPr>
          <w:lang w:val="en-US"/>
        </w:rPr>
        <w:t>.</w:t>
      </w:r>
      <w:r w:rsidRPr="00F53227">
        <w:rPr>
          <w:lang w:val="en-US"/>
        </w:rPr>
        <w:t xml:space="preserve"> 1997. </w:t>
      </w:r>
      <w:r w:rsidRPr="001179E7">
        <w:t>[</w:t>
      </w:r>
      <w:proofErr w:type="spellStart"/>
      <w:r w:rsidRPr="001179E7">
        <w:t>s.l</w:t>
      </w:r>
      <w:proofErr w:type="spellEnd"/>
      <w:r w:rsidRPr="001179E7">
        <w:t>: s.n.].</w:t>
      </w:r>
    </w:p>
    <w:p w:rsidR="000C294C" w:rsidRPr="003236E4" w:rsidRDefault="00F05AF9" w:rsidP="000C294C">
      <w:pPr>
        <w:pStyle w:val="NormalWeb"/>
        <w:spacing w:before="0" w:beforeAutospacing="0" w:after="240" w:afterAutospacing="0"/>
        <w:jc w:val="both"/>
        <w:rPr>
          <w:color w:val="000000"/>
          <w:lang w:val="en-US"/>
        </w:rPr>
      </w:pPr>
      <w:r>
        <w:rPr>
          <w:rFonts w:eastAsia="Times New Roman"/>
          <w:bCs/>
          <w:color w:val="000000"/>
        </w:rPr>
        <w:t>GONÇALVES, J.</w:t>
      </w:r>
      <w:r w:rsidR="000C294C" w:rsidRPr="00CC5681">
        <w:rPr>
          <w:rFonts w:eastAsia="Times New Roman"/>
          <w:bCs/>
          <w:color w:val="000000"/>
        </w:rPr>
        <w:t xml:space="preserve"> C</w:t>
      </w:r>
      <w:r>
        <w:rPr>
          <w:rFonts w:eastAsia="Times New Roman"/>
          <w:bCs/>
          <w:color w:val="000000"/>
        </w:rPr>
        <w:t>.</w:t>
      </w:r>
      <w:r w:rsidR="000C294C" w:rsidRPr="00CC5681">
        <w:rPr>
          <w:rFonts w:eastAsia="Times New Roman"/>
          <w:bCs/>
          <w:color w:val="000000"/>
        </w:rPr>
        <w:t xml:space="preserve">; </w:t>
      </w:r>
      <w:r w:rsidR="000C294C" w:rsidRPr="00CC5681">
        <w:rPr>
          <w:rFonts w:eastAsia="Times New Roman"/>
          <w:bCs/>
        </w:rPr>
        <w:t>BATISTA, B</w:t>
      </w:r>
      <w:r>
        <w:rPr>
          <w:rFonts w:eastAsia="Times New Roman"/>
          <w:bCs/>
        </w:rPr>
        <w:t>.</w:t>
      </w:r>
      <w:r w:rsidR="000C294C" w:rsidRPr="00CC5681">
        <w:rPr>
          <w:rFonts w:eastAsia="Times New Roman"/>
          <w:bCs/>
        </w:rPr>
        <w:t xml:space="preserve"> L</w:t>
      </w:r>
      <w:r>
        <w:rPr>
          <w:rFonts w:eastAsia="Times New Roman"/>
          <w:bCs/>
        </w:rPr>
        <w:t>.</w:t>
      </w:r>
      <w:r w:rsidR="000C294C" w:rsidRPr="00CC5681">
        <w:rPr>
          <w:rFonts w:eastAsia="Times New Roman"/>
          <w:bCs/>
        </w:rPr>
        <w:t xml:space="preserve"> L</w:t>
      </w:r>
      <w:r>
        <w:rPr>
          <w:rFonts w:eastAsia="Times New Roman"/>
          <w:bCs/>
        </w:rPr>
        <w:t>.</w:t>
      </w:r>
      <w:r w:rsidR="000C294C" w:rsidRPr="00CC5681">
        <w:rPr>
          <w:rFonts w:eastAsia="Times New Roman"/>
          <w:bCs/>
        </w:rPr>
        <w:t xml:space="preserve">; </w:t>
      </w:r>
      <w:r w:rsidR="000C294C" w:rsidRPr="00CC5681">
        <w:rPr>
          <w:rFonts w:eastAsia="Times New Roman"/>
        </w:rPr>
        <w:t xml:space="preserve">MACEDO, </w:t>
      </w:r>
      <w:r w:rsidR="000C294C" w:rsidRPr="00CC5681">
        <w:rPr>
          <w:rFonts w:eastAsia="Times New Roman"/>
          <w:bCs/>
        </w:rPr>
        <w:t>M</w:t>
      </w:r>
      <w:r>
        <w:rPr>
          <w:rFonts w:eastAsia="Times New Roman"/>
          <w:bCs/>
        </w:rPr>
        <w:t>.</w:t>
      </w:r>
      <w:r w:rsidR="000C294C" w:rsidRPr="00CC5681">
        <w:rPr>
          <w:rFonts w:eastAsia="Times New Roman"/>
          <w:bCs/>
        </w:rPr>
        <w:t xml:space="preserve"> A</w:t>
      </w:r>
      <w:r>
        <w:rPr>
          <w:rFonts w:eastAsia="Times New Roman"/>
          <w:bCs/>
        </w:rPr>
        <w:t xml:space="preserve">. </w:t>
      </w:r>
      <w:r w:rsidR="000C294C" w:rsidRPr="00CC5681">
        <w:rPr>
          <w:rFonts w:eastAsia="Times New Roman"/>
          <w:bCs/>
        </w:rPr>
        <w:t>S</w:t>
      </w:r>
      <w:r>
        <w:rPr>
          <w:rFonts w:eastAsia="Times New Roman"/>
          <w:bCs/>
        </w:rPr>
        <w:t>.</w:t>
      </w:r>
      <w:r w:rsidR="000C294C" w:rsidRPr="00CC5681">
        <w:rPr>
          <w:rFonts w:eastAsia="Times New Roman"/>
          <w:bCs/>
        </w:rPr>
        <w:t xml:space="preserve">; </w:t>
      </w:r>
      <w:r w:rsidR="000C294C" w:rsidRPr="00CC5681">
        <w:rPr>
          <w:rFonts w:eastAsia="Times New Roman"/>
        </w:rPr>
        <w:t xml:space="preserve">MARQUES, </w:t>
      </w:r>
      <w:r w:rsidR="000C294C" w:rsidRPr="00CC5681">
        <w:rPr>
          <w:rFonts w:eastAsia="Times New Roman"/>
          <w:bCs/>
        </w:rPr>
        <w:t>J</w:t>
      </w:r>
      <w:r>
        <w:rPr>
          <w:rFonts w:eastAsia="Times New Roman"/>
          <w:bCs/>
        </w:rPr>
        <w:t>.</w:t>
      </w:r>
      <w:r w:rsidR="000C294C" w:rsidRPr="00CC5681">
        <w:rPr>
          <w:rFonts w:eastAsia="Times New Roman"/>
          <w:bCs/>
        </w:rPr>
        <w:t xml:space="preserve"> A</w:t>
      </w:r>
      <w:r>
        <w:rPr>
          <w:rFonts w:eastAsia="Times New Roman"/>
          <w:bCs/>
        </w:rPr>
        <w:t>.</w:t>
      </w:r>
      <w:r w:rsidR="000C294C" w:rsidRPr="00CC5681">
        <w:rPr>
          <w:rFonts w:eastAsia="Times New Roman"/>
          <w:bCs/>
        </w:rPr>
        <w:t xml:space="preserve"> V</w:t>
      </w:r>
      <w:r>
        <w:rPr>
          <w:rFonts w:eastAsia="Times New Roman"/>
          <w:bCs/>
        </w:rPr>
        <w:t>.</w:t>
      </w:r>
      <w:r w:rsidR="000C294C" w:rsidRPr="00CC5681">
        <w:rPr>
          <w:rFonts w:eastAsia="Times New Roman"/>
          <w:bCs/>
        </w:rPr>
        <w:t xml:space="preserve"> C</w:t>
      </w:r>
      <w:r>
        <w:rPr>
          <w:rFonts w:eastAsia="Times New Roman"/>
          <w:bCs/>
        </w:rPr>
        <w:t>.</w:t>
      </w:r>
      <w:r w:rsidR="000C294C" w:rsidRPr="00CC5681">
        <w:rPr>
          <w:rFonts w:eastAsia="Times New Roman"/>
          <w:bCs/>
        </w:rPr>
        <w:t xml:space="preserve"> </w:t>
      </w:r>
      <w:r w:rsidR="000C294C" w:rsidRPr="00CC5681">
        <w:rPr>
          <w:rFonts w:eastAsia="Times New Roman"/>
          <w:bCs/>
          <w:color w:val="000000"/>
        </w:rPr>
        <w:t>Análise do impacto</w:t>
      </w:r>
      <w:r w:rsidR="000C294C" w:rsidRPr="00CC5681">
        <w:rPr>
          <w:rFonts w:eastAsia="Times New Roman"/>
          <w:bCs/>
        </w:rPr>
        <w:t xml:space="preserve"> </w:t>
      </w:r>
      <w:r w:rsidR="000C294C" w:rsidRPr="00CC5681">
        <w:rPr>
          <w:rFonts w:eastAsia="Times New Roman"/>
          <w:bCs/>
          <w:color w:val="000000"/>
        </w:rPr>
        <w:t>do processo de convergência às normas internacionais de</w:t>
      </w:r>
      <w:r w:rsidR="000C294C" w:rsidRPr="00CC5681">
        <w:rPr>
          <w:rFonts w:eastAsia="Times New Roman"/>
          <w:bCs/>
        </w:rPr>
        <w:t xml:space="preserve"> </w:t>
      </w:r>
      <w:r w:rsidR="000C294C" w:rsidRPr="00CC5681">
        <w:rPr>
          <w:rFonts w:eastAsia="Times New Roman"/>
          <w:bCs/>
          <w:color w:val="000000"/>
        </w:rPr>
        <w:t>contabilidade no Brasil: um estudo com base na relevância da</w:t>
      </w:r>
      <w:r w:rsidR="000C294C" w:rsidRPr="00CC5681">
        <w:rPr>
          <w:rFonts w:eastAsia="Times New Roman"/>
          <w:bCs/>
        </w:rPr>
        <w:t xml:space="preserve"> </w:t>
      </w:r>
      <w:r w:rsidR="000C294C" w:rsidRPr="00CC5681">
        <w:rPr>
          <w:rFonts w:eastAsia="Times New Roman"/>
          <w:bCs/>
          <w:color w:val="000000"/>
        </w:rPr>
        <w:t>informação contábil</w:t>
      </w:r>
      <w:r w:rsidR="000C294C" w:rsidRPr="00CC5681">
        <w:rPr>
          <w:rFonts w:eastAsia="Times New Roman"/>
          <w:bCs/>
        </w:rPr>
        <w:t xml:space="preserve">. </w:t>
      </w:r>
      <w:proofErr w:type="spellStart"/>
      <w:r w:rsidR="000C294C" w:rsidRPr="00890852">
        <w:rPr>
          <w:b/>
          <w:color w:val="000000"/>
          <w:lang w:val="en-US"/>
        </w:rPr>
        <w:t>Revista</w:t>
      </w:r>
      <w:proofErr w:type="spellEnd"/>
      <w:r w:rsidR="000C294C" w:rsidRPr="00890852">
        <w:rPr>
          <w:b/>
          <w:color w:val="000000"/>
          <w:lang w:val="en-US"/>
        </w:rPr>
        <w:t xml:space="preserve"> </w:t>
      </w:r>
      <w:proofErr w:type="spellStart"/>
      <w:r w:rsidR="000C294C" w:rsidRPr="00890852">
        <w:rPr>
          <w:b/>
          <w:color w:val="000000"/>
          <w:lang w:val="en-US"/>
        </w:rPr>
        <w:t>Universo</w:t>
      </w:r>
      <w:proofErr w:type="spellEnd"/>
      <w:r w:rsidR="000C294C" w:rsidRPr="00890852">
        <w:rPr>
          <w:b/>
          <w:color w:val="000000"/>
          <w:lang w:val="en-US"/>
        </w:rPr>
        <w:t xml:space="preserve"> </w:t>
      </w:r>
      <w:proofErr w:type="spellStart"/>
      <w:r w:rsidR="000C294C" w:rsidRPr="00890852">
        <w:rPr>
          <w:b/>
          <w:color w:val="000000"/>
          <w:lang w:val="en-US"/>
        </w:rPr>
        <w:t>Contábil</w:t>
      </w:r>
      <w:proofErr w:type="spellEnd"/>
      <w:r w:rsidR="000C294C" w:rsidRPr="003236E4">
        <w:rPr>
          <w:color w:val="000000"/>
          <w:lang w:val="en-US"/>
        </w:rPr>
        <w:t xml:space="preserve">, </w:t>
      </w:r>
      <w:r w:rsidRPr="003236E4">
        <w:rPr>
          <w:color w:val="000000"/>
          <w:lang w:val="en-US"/>
        </w:rPr>
        <w:t>FURB, Blumenau, v.10, n.</w:t>
      </w:r>
      <w:r w:rsidR="000C294C" w:rsidRPr="003236E4">
        <w:rPr>
          <w:color w:val="000000"/>
          <w:lang w:val="en-US"/>
        </w:rPr>
        <w:t xml:space="preserve">3, </w:t>
      </w:r>
      <w:r w:rsidRPr="003236E4">
        <w:rPr>
          <w:color w:val="000000"/>
          <w:lang w:val="en-US"/>
        </w:rPr>
        <w:t xml:space="preserve">p.25-43, </w:t>
      </w:r>
      <w:proofErr w:type="spellStart"/>
      <w:r w:rsidRPr="003236E4">
        <w:rPr>
          <w:color w:val="000000"/>
          <w:lang w:val="en-US"/>
        </w:rPr>
        <w:t>jul</w:t>
      </w:r>
      <w:proofErr w:type="gramStart"/>
      <w:r w:rsidRPr="003236E4">
        <w:rPr>
          <w:color w:val="000000"/>
          <w:lang w:val="en-US"/>
        </w:rPr>
        <w:t>.</w:t>
      </w:r>
      <w:proofErr w:type="spellEnd"/>
      <w:r w:rsidRPr="003236E4">
        <w:rPr>
          <w:color w:val="000000"/>
          <w:lang w:val="en-US"/>
        </w:rPr>
        <w:t>/</w:t>
      </w:r>
      <w:proofErr w:type="gramEnd"/>
      <w:r w:rsidRPr="003236E4">
        <w:rPr>
          <w:color w:val="000000"/>
          <w:lang w:val="en-US"/>
        </w:rPr>
        <w:t>set.</w:t>
      </w:r>
      <w:r w:rsidR="000C294C" w:rsidRPr="003236E4">
        <w:rPr>
          <w:color w:val="000000"/>
          <w:lang w:val="en-US"/>
        </w:rPr>
        <w:t xml:space="preserve"> 2014</w:t>
      </w:r>
      <w:r w:rsidRPr="003236E4">
        <w:rPr>
          <w:color w:val="000000"/>
          <w:lang w:val="en-US"/>
        </w:rPr>
        <w:t>.</w:t>
      </w:r>
    </w:p>
    <w:p w:rsidR="000C294C" w:rsidRPr="009A78D9" w:rsidRDefault="000C294C" w:rsidP="000C294C">
      <w:pPr>
        <w:pStyle w:val="NormalWeb"/>
        <w:spacing w:before="0" w:beforeAutospacing="0" w:after="240" w:afterAutospacing="0"/>
        <w:jc w:val="both"/>
        <w:rPr>
          <w:rFonts w:eastAsia="Times New Roman"/>
          <w:color w:val="000000"/>
          <w:lang w:val="en-US" w:eastAsia="en-US"/>
        </w:rPr>
      </w:pPr>
      <w:r w:rsidRPr="00CC5681">
        <w:rPr>
          <w:shd w:val="clear" w:color="auto" w:fill="FFFFFF"/>
          <w:lang w:val="en-US"/>
        </w:rPr>
        <w:t xml:space="preserve">GRAHAM, C. Teaching accounting as a language. </w:t>
      </w:r>
      <w:proofErr w:type="gramStart"/>
      <w:r w:rsidRPr="00CC5681">
        <w:rPr>
          <w:b/>
          <w:iCs/>
          <w:shd w:val="clear" w:color="auto" w:fill="FFFFFF"/>
          <w:lang w:val="en-US"/>
        </w:rPr>
        <w:t>Critical Perspectives on Accounting</w:t>
      </w:r>
      <w:r w:rsidRPr="00CC5681">
        <w:rPr>
          <w:shd w:val="clear" w:color="auto" w:fill="FFFFFF"/>
          <w:lang w:val="en-US"/>
        </w:rPr>
        <w:t xml:space="preserve">, </w:t>
      </w:r>
      <w:r w:rsidR="00F05AF9">
        <w:rPr>
          <w:shd w:val="clear" w:color="auto" w:fill="FFFFFF"/>
          <w:lang w:val="en-US"/>
        </w:rPr>
        <w:t>v.</w:t>
      </w:r>
      <w:r w:rsidRPr="00CC5681">
        <w:rPr>
          <w:iCs/>
          <w:shd w:val="clear" w:color="auto" w:fill="FFFFFF"/>
          <w:lang w:val="en-US"/>
        </w:rPr>
        <w:t>24</w:t>
      </w:r>
      <w:r w:rsidR="00F05AF9">
        <w:rPr>
          <w:iCs/>
          <w:shd w:val="clear" w:color="auto" w:fill="FFFFFF"/>
          <w:lang w:val="en-US"/>
        </w:rPr>
        <w:t>, n.</w:t>
      </w:r>
      <w:r w:rsidR="00F05AF9">
        <w:rPr>
          <w:shd w:val="clear" w:color="auto" w:fill="FFFFFF"/>
          <w:lang w:val="en-US"/>
        </w:rPr>
        <w:t>2</w:t>
      </w:r>
      <w:r w:rsidRPr="00CC5681">
        <w:rPr>
          <w:shd w:val="clear" w:color="auto" w:fill="FFFFFF"/>
          <w:lang w:val="en-US"/>
        </w:rPr>
        <w:t xml:space="preserve">, </w:t>
      </w:r>
      <w:r w:rsidR="00F05AF9">
        <w:rPr>
          <w:shd w:val="clear" w:color="auto" w:fill="FFFFFF"/>
          <w:lang w:val="en-US"/>
        </w:rPr>
        <w:t>p.</w:t>
      </w:r>
      <w:r w:rsidRPr="00CC5681">
        <w:rPr>
          <w:shd w:val="clear" w:color="auto" w:fill="FFFFFF"/>
          <w:lang w:val="en-US"/>
        </w:rPr>
        <w:t>120-126</w:t>
      </w:r>
      <w:r w:rsidR="00F05AF9">
        <w:rPr>
          <w:shd w:val="clear" w:color="auto" w:fill="FFFFFF"/>
          <w:lang w:val="en-US"/>
        </w:rPr>
        <w:t>.</w:t>
      </w:r>
      <w:proofErr w:type="gramEnd"/>
      <w:r w:rsidRPr="00CC5681">
        <w:rPr>
          <w:shd w:val="clear" w:color="auto" w:fill="FFFFFF"/>
          <w:lang w:val="en-US"/>
        </w:rPr>
        <w:t xml:space="preserve"> </w:t>
      </w:r>
      <w:r w:rsidR="00F05AF9">
        <w:rPr>
          <w:shd w:val="clear" w:color="auto" w:fill="FFFFFF"/>
          <w:lang w:val="en-US"/>
        </w:rPr>
        <w:t xml:space="preserve">Mar. </w:t>
      </w:r>
      <w:r w:rsidRPr="00CC5681">
        <w:rPr>
          <w:shd w:val="clear" w:color="auto" w:fill="FFFFFF"/>
          <w:lang w:val="en-US"/>
        </w:rPr>
        <w:t>2013.</w:t>
      </w:r>
    </w:p>
    <w:p w:rsidR="000C294C" w:rsidRPr="00CC5681" w:rsidRDefault="000C294C" w:rsidP="000C294C">
      <w:pPr>
        <w:pStyle w:val="NormalWeb"/>
        <w:spacing w:before="0" w:beforeAutospacing="0" w:after="240" w:afterAutospacing="0"/>
        <w:jc w:val="both"/>
        <w:rPr>
          <w:lang w:val="en-US"/>
        </w:rPr>
      </w:pPr>
      <w:proofErr w:type="gramStart"/>
      <w:r w:rsidRPr="00CC5681">
        <w:rPr>
          <w:lang w:val="en-US"/>
        </w:rPr>
        <w:t>GRAHAM, R. C.; LEFANOWICZ, C. E.; PETRONI, K. R.</w:t>
      </w:r>
      <w:proofErr w:type="gramEnd"/>
      <w:r w:rsidRPr="00CC5681">
        <w:rPr>
          <w:lang w:val="en-US"/>
        </w:rPr>
        <w:t xml:space="preserve"> </w:t>
      </w:r>
      <w:proofErr w:type="gramStart"/>
      <w:r w:rsidRPr="00CC5681">
        <w:rPr>
          <w:lang w:val="en-US"/>
        </w:rPr>
        <w:t>The Value Relevance of Equity Method Fair Value Disclosures.</w:t>
      </w:r>
      <w:proofErr w:type="gramEnd"/>
      <w:r w:rsidRPr="00CC5681">
        <w:rPr>
          <w:lang w:val="en-US"/>
        </w:rPr>
        <w:t xml:space="preserve"> </w:t>
      </w:r>
      <w:proofErr w:type="gramStart"/>
      <w:r w:rsidRPr="00A95910">
        <w:rPr>
          <w:b/>
          <w:lang w:val="en-US"/>
        </w:rPr>
        <w:t>Journal of Business Finance</w:t>
      </w:r>
      <w:r w:rsidR="00A95910">
        <w:rPr>
          <w:b/>
          <w:lang w:val="en-US"/>
        </w:rPr>
        <w:t xml:space="preserve"> &amp;</w:t>
      </w:r>
      <w:r w:rsidRPr="00A95910">
        <w:rPr>
          <w:b/>
          <w:lang w:val="en-US"/>
        </w:rPr>
        <w:t xml:space="preserve"> Accounting</w:t>
      </w:r>
      <w:r w:rsidR="00A95910">
        <w:rPr>
          <w:lang w:val="en-US"/>
        </w:rPr>
        <w:t>.</w:t>
      </w:r>
      <w:proofErr w:type="gramEnd"/>
      <w:r w:rsidRPr="00CC5681">
        <w:rPr>
          <w:lang w:val="en-US"/>
        </w:rPr>
        <w:t xml:space="preserve"> </w:t>
      </w:r>
      <w:proofErr w:type="gramStart"/>
      <w:r w:rsidRPr="00CC5681">
        <w:rPr>
          <w:lang w:val="en-US"/>
        </w:rPr>
        <w:t>v.30, n.7-8, p. 1065–1088</w:t>
      </w:r>
      <w:r w:rsidR="00A95910">
        <w:rPr>
          <w:lang w:val="en-US"/>
        </w:rPr>
        <w:t>.</w:t>
      </w:r>
      <w:proofErr w:type="gramEnd"/>
      <w:r w:rsidRPr="00CC5681">
        <w:rPr>
          <w:lang w:val="en-US"/>
        </w:rPr>
        <w:t xml:space="preserve"> </w:t>
      </w:r>
      <w:r w:rsidR="00A95910">
        <w:rPr>
          <w:lang w:val="en-US"/>
        </w:rPr>
        <w:t>S</w:t>
      </w:r>
      <w:r w:rsidRPr="00CC5681">
        <w:rPr>
          <w:lang w:val="en-US"/>
        </w:rPr>
        <w:t xml:space="preserve">et. 2003. </w:t>
      </w:r>
    </w:p>
    <w:p w:rsidR="000C294C" w:rsidRPr="00A95910" w:rsidRDefault="000C294C" w:rsidP="000C294C">
      <w:pPr>
        <w:pStyle w:val="NormalWeb"/>
        <w:spacing w:before="0" w:beforeAutospacing="0" w:after="240" w:afterAutospacing="0"/>
        <w:jc w:val="both"/>
        <w:rPr>
          <w:lang w:val="en-US"/>
        </w:rPr>
      </w:pPr>
      <w:r w:rsidRPr="00A95910">
        <w:rPr>
          <w:lang w:val="en-US"/>
        </w:rPr>
        <w:t xml:space="preserve">GUJARATI, D. N. </w:t>
      </w:r>
      <w:proofErr w:type="spellStart"/>
      <w:r w:rsidRPr="00A95910">
        <w:rPr>
          <w:b/>
          <w:lang w:val="en-US"/>
        </w:rPr>
        <w:t>Econometria</w:t>
      </w:r>
      <w:proofErr w:type="spellEnd"/>
      <w:r w:rsidRPr="00A95910">
        <w:rPr>
          <w:b/>
          <w:lang w:val="en-US"/>
        </w:rPr>
        <w:t xml:space="preserve"> </w:t>
      </w:r>
      <w:proofErr w:type="spellStart"/>
      <w:r w:rsidRPr="00A95910">
        <w:rPr>
          <w:b/>
          <w:lang w:val="en-US"/>
        </w:rPr>
        <w:t>Básica</w:t>
      </w:r>
      <w:proofErr w:type="spellEnd"/>
      <w:r w:rsidRPr="00A95910">
        <w:rPr>
          <w:lang w:val="en-US"/>
        </w:rPr>
        <w:t xml:space="preserve">. Rio de Janeiro: Elsevier, 2006. </w:t>
      </w:r>
    </w:p>
    <w:p w:rsidR="000C294C" w:rsidRPr="00CC5681" w:rsidRDefault="00535B6F" w:rsidP="00535B6F">
      <w:pPr>
        <w:pStyle w:val="NormalWeb"/>
        <w:spacing w:after="240"/>
        <w:jc w:val="both"/>
        <w:rPr>
          <w:lang w:val="en-US"/>
        </w:rPr>
      </w:pPr>
      <w:r>
        <w:rPr>
          <w:lang w:val="en-US"/>
        </w:rPr>
        <w:t xml:space="preserve">HIRST, D. E.; </w:t>
      </w:r>
      <w:r w:rsidRPr="00535B6F">
        <w:rPr>
          <w:lang w:val="en-US"/>
        </w:rPr>
        <w:t>HOPKINS</w:t>
      </w:r>
      <w:r>
        <w:rPr>
          <w:lang w:val="en-US"/>
        </w:rPr>
        <w:t>,</w:t>
      </w:r>
      <w:r w:rsidRPr="00535B6F">
        <w:rPr>
          <w:lang w:val="en-US"/>
        </w:rPr>
        <w:t xml:space="preserve"> P</w:t>
      </w:r>
      <w:r>
        <w:rPr>
          <w:lang w:val="en-US"/>
        </w:rPr>
        <w:t>.</w:t>
      </w:r>
      <w:r w:rsidRPr="00535B6F">
        <w:rPr>
          <w:lang w:val="en-US"/>
        </w:rPr>
        <w:t xml:space="preserve"> E.</w:t>
      </w:r>
      <w:r w:rsidR="000C294C" w:rsidRPr="00A95910">
        <w:rPr>
          <w:lang w:val="en-US"/>
        </w:rPr>
        <w:t xml:space="preserve"> </w:t>
      </w:r>
      <w:r w:rsidR="000C294C" w:rsidRPr="00535B6F">
        <w:rPr>
          <w:b/>
          <w:lang w:val="en-US"/>
        </w:rPr>
        <w:t xml:space="preserve">Comprehensive Income Disclosures and </w:t>
      </w:r>
      <w:proofErr w:type="gramStart"/>
      <w:r w:rsidR="000C294C" w:rsidRPr="00535B6F">
        <w:rPr>
          <w:b/>
          <w:lang w:val="en-US"/>
        </w:rPr>
        <w:t>Analysts ’</w:t>
      </w:r>
      <w:proofErr w:type="gramEnd"/>
      <w:r w:rsidR="000C294C" w:rsidRPr="00535B6F">
        <w:rPr>
          <w:b/>
          <w:lang w:val="en-US"/>
        </w:rPr>
        <w:t xml:space="preserve"> Valuation Judgments</w:t>
      </w:r>
      <w:r w:rsidR="000C294C" w:rsidRPr="00CC5681">
        <w:rPr>
          <w:lang w:val="en-US"/>
        </w:rPr>
        <w:t>.</w:t>
      </w:r>
      <w:r>
        <w:rPr>
          <w:lang w:val="en-US"/>
        </w:rPr>
        <w:t xml:space="preserve"> </w:t>
      </w:r>
      <w:proofErr w:type="gramStart"/>
      <w:r>
        <w:rPr>
          <w:lang w:val="en-US"/>
        </w:rPr>
        <w:t>Working Paper.</w:t>
      </w:r>
      <w:proofErr w:type="gramEnd"/>
      <w:r>
        <w:rPr>
          <w:lang w:val="en-US"/>
        </w:rPr>
        <w:t xml:space="preserve"> Mar.</w:t>
      </w:r>
      <w:r w:rsidR="000C294C" w:rsidRPr="00CC5681">
        <w:rPr>
          <w:lang w:val="en-US"/>
        </w:rPr>
        <w:t xml:space="preserve"> 1998. </w:t>
      </w:r>
      <w:proofErr w:type="spellStart"/>
      <w:r>
        <w:rPr>
          <w:lang w:val="en-US"/>
        </w:rPr>
        <w:t>Disponível</w:t>
      </w:r>
      <w:proofErr w:type="spellEnd"/>
      <w:r>
        <w:rPr>
          <w:lang w:val="en-US"/>
        </w:rPr>
        <w:t xml:space="preserve"> </w:t>
      </w:r>
      <w:proofErr w:type="spellStart"/>
      <w:r>
        <w:rPr>
          <w:lang w:val="en-US"/>
        </w:rPr>
        <w:t>em</w:t>
      </w:r>
      <w:proofErr w:type="spellEnd"/>
      <w:r>
        <w:rPr>
          <w:lang w:val="en-US"/>
        </w:rPr>
        <w:t xml:space="preserve">: </w:t>
      </w:r>
      <w:r w:rsidR="00F73431">
        <w:rPr>
          <w:lang w:val="en-US"/>
        </w:rPr>
        <w:t>&lt;</w:t>
      </w:r>
      <w:r w:rsidRPr="00535B6F">
        <w:rPr>
          <w:lang w:val="en-US"/>
        </w:rPr>
        <w:t>http://ssrn.com/</w:t>
      </w:r>
      <w:r>
        <w:rPr>
          <w:lang w:val="en-US"/>
        </w:rPr>
        <w:t xml:space="preserve"> </w:t>
      </w:r>
      <w:r w:rsidRPr="00535B6F">
        <w:rPr>
          <w:lang w:val="en-US"/>
        </w:rPr>
        <w:t>abstract=63588</w:t>
      </w:r>
      <w:r w:rsidR="00F73431">
        <w:rPr>
          <w:lang w:val="en-US"/>
        </w:rPr>
        <w:t>&gt;</w:t>
      </w:r>
      <w:r>
        <w:rPr>
          <w:lang w:val="en-US"/>
        </w:rPr>
        <w:t>.</w:t>
      </w:r>
    </w:p>
    <w:p w:rsidR="000C294C" w:rsidRPr="00CC5681" w:rsidRDefault="000C294C" w:rsidP="000C294C">
      <w:pPr>
        <w:pStyle w:val="NormalWeb"/>
        <w:spacing w:before="0" w:beforeAutospacing="0" w:after="240" w:afterAutospacing="0"/>
        <w:jc w:val="both"/>
        <w:rPr>
          <w:lang w:val="en-US"/>
        </w:rPr>
      </w:pPr>
      <w:proofErr w:type="gramStart"/>
      <w:r w:rsidRPr="00CC5681">
        <w:rPr>
          <w:lang w:val="en-US"/>
        </w:rPr>
        <w:lastRenderedPageBreak/>
        <w:t>HIRST, D. E.; HOPKINS, P</w:t>
      </w:r>
      <w:r w:rsidR="00535B6F">
        <w:rPr>
          <w:lang w:val="en-US"/>
        </w:rPr>
        <w:t xml:space="preserve">. E.; WAHLEN, J. M. </w:t>
      </w:r>
      <w:r w:rsidR="00535B6F" w:rsidRPr="00F73431">
        <w:rPr>
          <w:b/>
          <w:lang w:val="en-US"/>
        </w:rPr>
        <w:t>Fair Values</w:t>
      </w:r>
      <w:r w:rsidRPr="00F73431">
        <w:rPr>
          <w:b/>
          <w:lang w:val="en-US"/>
        </w:rPr>
        <w:t>, Comprehensive Income Reporting, and Bank Analysts’ Risk and Valuation Judgments</w:t>
      </w:r>
      <w:r w:rsidRPr="00CC5681">
        <w:rPr>
          <w:lang w:val="en-US"/>
        </w:rPr>
        <w:t>.</w:t>
      </w:r>
      <w:proofErr w:type="gramEnd"/>
      <w:r w:rsidR="00535B6F">
        <w:rPr>
          <w:lang w:val="en-US"/>
        </w:rPr>
        <w:t xml:space="preserve"> </w:t>
      </w:r>
      <w:proofErr w:type="gramStart"/>
      <w:r w:rsidR="00535B6F">
        <w:rPr>
          <w:lang w:val="en-US"/>
        </w:rPr>
        <w:t>Working Paper.</w:t>
      </w:r>
      <w:proofErr w:type="gramEnd"/>
      <w:r w:rsidR="00535B6F">
        <w:rPr>
          <w:lang w:val="en-US"/>
        </w:rPr>
        <w:t xml:space="preserve"> Jun. </w:t>
      </w:r>
      <w:r w:rsidRPr="00CC5681">
        <w:rPr>
          <w:lang w:val="en-US"/>
        </w:rPr>
        <w:t>2001.</w:t>
      </w:r>
      <w:r w:rsidR="00535B6F">
        <w:rPr>
          <w:lang w:val="en-US"/>
        </w:rPr>
        <w:t xml:space="preserve"> </w:t>
      </w:r>
      <w:proofErr w:type="spellStart"/>
      <w:r w:rsidR="00535B6F">
        <w:rPr>
          <w:lang w:val="en-US"/>
        </w:rPr>
        <w:t>Disponível</w:t>
      </w:r>
      <w:proofErr w:type="spellEnd"/>
      <w:r w:rsidR="00535B6F">
        <w:rPr>
          <w:lang w:val="en-US"/>
        </w:rPr>
        <w:t xml:space="preserve"> </w:t>
      </w:r>
      <w:proofErr w:type="spellStart"/>
      <w:r w:rsidR="00535B6F">
        <w:rPr>
          <w:lang w:val="en-US"/>
        </w:rPr>
        <w:t>em</w:t>
      </w:r>
      <w:proofErr w:type="spellEnd"/>
      <w:r w:rsidR="00535B6F">
        <w:rPr>
          <w:lang w:val="en-US"/>
        </w:rPr>
        <w:t xml:space="preserve">: </w:t>
      </w:r>
      <w:r w:rsidR="00F73431">
        <w:rPr>
          <w:lang w:val="en-US"/>
        </w:rPr>
        <w:t>&lt;</w:t>
      </w:r>
      <w:r w:rsidR="00535B6F" w:rsidRPr="00535B6F">
        <w:rPr>
          <w:lang w:val="en-US"/>
        </w:rPr>
        <w:t>http://ssrn.com/abstract=273350</w:t>
      </w:r>
      <w:r w:rsidR="00F73431">
        <w:rPr>
          <w:lang w:val="en-US"/>
        </w:rPr>
        <w:t>&gt;</w:t>
      </w:r>
      <w:r w:rsidRPr="00CC5681">
        <w:rPr>
          <w:lang w:val="en-US"/>
        </w:rPr>
        <w:t xml:space="preserve"> </w:t>
      </w:r>
    </w:p>
    <w:p w:rsidR="000C294C" w:rsidRPr="007618FE" w:rsidRDefault="000C294C" w:rsidP="000C294C">
      <w:pPr>
        <w:spacing w:after="240"/>
        <w:jc w:val="both"/>
        <w:rPr>
          <w:rFonts w:eastAsia="Times New Roman" w:cs="Times New Roman"/>
          <w:szCs w:val="24"/>
          <w:lang w:val="en-US" w:eastAsia="pt-BR"/>
        </w:rPr>
      </w:pPr>
      <w:proofErr w:type="gramStart"/>
      <w:r w:rsidRPr="009A78D9">
        <w:rPr>
          <w:rFonts w:eastAsia="Times New Roman" w:cs="Times New Roman"/>
          <w:szCs w:val="24"/>
          <w:lang w:val="en-US" w:eastAsia="pt-BR"/>
        </w:rPr>
        <w:t>HUANG, H.W.; LIN, S.; RAGHUNANDAN, K.</w:t>
      </w:r>
      <w:proofErr w:type="gramEnd"/>
      <w:r w:rsidRPr="009A78D9">
        <w:rPr>
          <w:rFonts w:eastAsia="Times New Roman" w:cs="Times New Roman"/>
          <w:szCs w:val="24"/>
          <w:lang w:val="en-US" w:eastAsia="pt-BR"/>
        </w:rPr>
        <w:t xml:space="preserve"> </w:t>
      </w:r>
      <w:proofErr w:type="gramStart"/>
      <w:r w:rsidRPr="009A78D9">
        <w:rPr>
          <w:rFonts w:eastAsia="Times New Roman" w:cs="Times New Roman"/>
          <w:szCs w:val="24"/>
          <w:lang w:val="en-US" w:eastAsia="pt-BR"/>
        </w:rPr>
        <w:t>The Volatility of Other Comprehensive Income and Audit Fees.</w:t>
      </w:r>
      <w:proofErr w:type="gramEnd"/>
      <w:r w:rsidRPr="009A78D9">
        <w:rPr>
          <w:rFonts w:eastAsia="Times New Roman" w:cs="Times New Roman"/>
          <w:szCs w:val="24"/>
          <w:lang w:val="en-US" w:eastAsia="pt-BR"/>
        </w:rPr>
        <w:t xml:space="preserve"> </w:t>
      </w:r>
      <w:r w:rsidRPr="007618FE">
        <w:rPr>
          <w:rFonts w:eastAsia="Times New Roman" w:cs="Times New Roman"/>
          <w:b/>
          <w:szCs w:val="24"/>
          <w:lang w:val="en-US" w:eastAsia="pt-BR"/>
        </w:rPr>
        <w:t>Accounting Horizons</w:t>
      </w:r>
      <w:r w:rsidR="00F73431">
        <w:rPr>
          <w:rFonts w:eastAsia="Times New Roman" w:cs="Times New Roman"/>
          <w:szCs w:val="24"/>
          <w:lang w:val="en-US" w:eastAsia="pt-BR"/>
        </w:rPr>
        <w:t xml:space="preserve">, v.30, n.2. </w:t>
      </w:r>
      <w:r w:rsidR="00F73431" w:rsidRPr="007618FE">
        <w:rPr>
          <w:rFonts w:eastAsia="Times New Roman" w:cs="Times New Roman"/>
          <w:szCs w:val="24"/>
          <w:lang w:val="en-US" w:eastAsia="pt-BR"/>
        </w:rPr>
        <w:t>p. 195-210</w:t>
      </w:r>
      <w:r w:rsidR="00F73431">
        <w:rPr>
          <w:rFonts w:eastAsia="Times New Roman" w:cs="Times New Roman"/>
          <w:szCs w:val="24"/>
          <w:lang w:val="en-US" w:eastAsia="pt-BR"/>
        </w:rPr>
        <w:t>. Jun. 2016.</w:t>
      </w:r>
      <w:r w:rsidRPr="007618FE">
        <w:rPr>
          <w:rFonts w:eastAsia="Times New Roman" w:cs="Times New Roman"/>
          <w:szCs w:val="24"/>
          <w:lang w:val="en-US" w:eastAsia="pt-BR"/>
        </w:rPr>
        <w:t xml:space="preserve"> </w:t>
      </w:r>
    </w:p>
    <w:p w:rsidR="000C294C" w:rsidRPr="00CC5681" w:rsidRDefault="000C294C" w:rsidP="000C294C">
      <w:pPr>
        <w:pStyle w:val="NormalWeb"/>
        <w:spacing w:before="0" w:beforeAutospacing="0" w:after="240" w:afterAutospacing="0"/>
        <w:jc w:val="both"/>
        <w:rPr>
          <w:lang w:val="en-US"/>
        </w:rPr>
      </w:pPr>
      <w:proofErr w:type="gramStart"/>
      <w:r w:rsidRPr="00CC5681">
        <w:rPr>
          <w:lang w:val="en-US"/>
        </w:rPr>
        <w:t>KANAGARETNAM,</w:t>
      </w:r>
      <w:r w:rsidR="00F73431">
        <w:rPr>
          <w:lang w:val="en-US"/>
        </w:rPr>
        <w:t xml:space="preserve"> K.; MATHIEU, R.; SHEHATA, M.</w:t>
      </w:r>
      <w:r w:rsidRPr="00CC5681">
        <w:rPr>
          <w:lang w:val="en-US"/>
        </w:rPr>
        <w:t xml:space="preserve"> Usefulness of comprehensive income reporting in Canada.</w:t>
      </w:r>
      <w:proofErr w:type="gramEnd"/>
      <w:r w:rsidRPr="00CC5681">
        <w:rPr>
          <w:lang w:val="en-US"/>
        </w:rPr>
        <w:t xml:space="preserve"> </w:t>
      </w:r>
      <w:proofErr w:type="gramStart"/>
      <w:r w:rsidRPr="00F73431">
        <w:rPr>
          <w:b/>
          <w:lang w:val="en-US"/>
        </w:rPr>
        <w:t>Journal of Accounting and Public Policy</w:t>
      </w:r>
      <w:r w:rsidR="00F73431">
        <w:rPr>
          <w:lang w:val="en-US"/>
        </w:rPr>
        <w:t>.</w:t>
      </w:r>
      <w:proofErr w:type="gramEnd"/>
      <w:r w:rsidR="00F73431">
        <w:rPr>
          <w:lang w:val="en-US"/>
        </w:rPr>
        <w:t xml:space="preserve"> </w:t>
      </w:r>
      <w:proofErr w:type="gramStart"/>
      <w:r w:rsidR="00F73431">
        <w:rPr>
          <w:lang w:val="en-US"/>
        </w:rPr>
        <w:t>v.</w:t>
      </w:r>
      <w:r w:rsidRPr="00CC5681">
        <w:rPr>
          <w:lang w:val="en-US"/>
        </w:rPr>
        <w:t>28, n.4, p. 349–365</w:t>
      </w:r>
      <w:r w:rsidR="00F73431">
        <w:rPr>
          <w:lang w:val="en-US"/>
        </w:rPr>
        <w:t>.</w:t>
      </w:r>
      <w:proofErr w:type="gramEnd"/>
      <w:r w:rsidRPr="00CC5681">
        <w:rPr>
          <w:lang w:val="en-US"/>
        </w:rPr>
        <w:t xml:space="preserve"> 2009. </w:t>
      </w:r>
    </w:p>
    <w:p w:rsidR="000C294C" w:rsidRPr="00CC5681" w:rsidRDefault="000C294C" w:rsidP="000C294C">
      <w:pPr>
        <w:pStyle w:val="NormalWeb"/>
        <w:spacing w:before="0" w:beforeAutospacing="0" w:after="240" w:afterAutospacing="0"/>
        <w:jc w:val="both"/>
        <w:rPr>
          <w:lang w:val="en-US"/>
        </w:rPr>
      </w:pPr>
      <w:proofErr w:type="gramStart"/>
      <w:r w:rsidRPr="00CC5681">
        <w:rPr>
          <w:lang w:val="en-US"/>
        </w:rPr>
        <w:t>LEE, C.; PARK, M. S. Subje</w:t>
      </w:r>
      <w:r w:rsidR="00F73431">
        <w:rPr>
          <w:lang w:val="en-US"/>
        </w:rPr>
        <w:t>ctivity in fair-value estimates, audit quality</w:t>
      </w:r>
      <w:r w:rsidRPr="00CC5681">
        <w:rPr>
          <w:lang w:val="en-US"/>
        </w:rPr>
        <w:t xml:space="preserve">, and </w:t>
      </w:r>
      <w:proofErr w:type="spellStart"/>
      <w:r w:rsidRPr="00CC5681">
        <w:rPr>
          <w:lang w:val="en-US"/>
        </w:rPr>
        <w:t>informativeness</w:t>
      </w:r>
      <w:proofErr w:type="spellEnd"/>
      <w:r w:rsidRPr="00CC5681">
        <w:rPr>
          <w:lang w:val="en-US"/>
        </w:rPr>
        <w:t xml:space="preserve"> of other comprehensive income.</w:t>
      </w:r>
      <w:proofErr w:type="gramEnd"/>
      <w:r w:rsidRPr="00CC5681">
        <w:rPr>
          <w:lang w:val="en-US"/>
        </w:rPr>
        <w:t xml:space="preserve"> </w:t>
      </w:r>
      <w:proofErr w:type="gramStart"/>
      <w:r w:rsidRPr="00F73431">
        <w:rPr>
          <w:b/>
          <w:lang w:val="en-US"/>
        </w:rPr>
        <w:t>Advances in Accounting</w:t>
      </w:r>
      <w:r w:rsidR="00F73431">
        <w:rPr>
          <w:lang w:val="en-US"/>
        </w:rPr>
        <w:t>.</w:t>
      </w:r>
      <w:proofErr w:type="gramEnd"/>
      <w:r w:rsidRPr="00CC5681">
        <w:rPr>
          <w:lang w:val="en-US"/>
        </w:rPr>
        <w:t xml:space="preserve"> </w:t>
      </w:r>
      <w:proofErr w:type="gramStart"/>
      <w:r w:rsidRPr="00CC5681">
        <w:rPr>
          <w:lang w:val="en-US"/>
        </w:rPr>
        <w:t xml:space="preserve">v.29, n.2, p. 218–231, </w:t>
      </w:r>
      <w:proofErr w:type="spellStart"/>
      <w:r w:rsidR="00F73431">
        <w:rPr>
          <w:lang w:val="en-US"/>
        </w:rPr>
        <w:t>Dez</w:t>
      </w:r>
      <w:proofErr w:type="spellEnd"/>
      <w:r w:rsidR="00F73431">
        <w:rPr>
          <w:lang w:val="en-US"/>
        </w:rPr>
        <w:t>.</w:t>
      </w:r>
      <w:proofErr w:type="gramEnd"/>
      <w:r w:rsidR="00F73431">
        <w:rPr>
          <w:lang w:val="en-US"/>
        </w:rPr>
        <w:t xml:space="preserve"> </w:t>
      </w:r>
      <w:r w:rsidRPr="00CC5681">
        <w:rPr>
          <w:lang w:val="en-US"/>
        </w:rPr>
        <w:t xml:space="preserve">2013. </w:t>
      </w:r>
    </w:p>
    <w:p w:rsidR="000C294C" w:rsidRPr="00CC5681" w:rsidRDefault="000C294C" w:rsidP="000C294C">
      <w:pPr>
        <w:pStyle w:val="NormalWeb"/>
        <w:spacing w:before="0" w:beforeAutospacing="0" w:after="240" w:afterAutospacing="0"/>
        <w:jc w:val="both"/>
        <w:rPr>
          <w:bCs/>
          <w:lang w:val="en-US"/>
        </w:rPr>
      </w:pPr>
      <w:r w:rsidRPr="00CC5681">
        <w:rPr>
          <w:bCs/>
          <w:lang w:val="en-US"/>
        </w:rPr>
        <w:t xml:space="preserve">LINDBLOM, C. K. </w:t>
      </w:r>
      <w:proofErr w:type="gramStart"/>
      <w:r w:rsidRPr="00CC5681">
        <w:rPr>
          <w:bCs/>
          <w:lang w:val="en-US"/>
        </w:rPr>
        <w:t>The implications of organizational legitimacy for corporate social performance and disclosure</w:t>
      </w:r>
      <w:r w:rsidRPr="00CC5681">
        <w:rPr>
          <w:b/>
          <w:bCs/>
          <w:lang w:val="en-US"/>
        </w:rPr>
        <w:t>.</w:t>
      </w:r>
      <w:proofErr w:type="gramEnd"/>
      <w:r w:rsidRPr="00CC5681">
        <w:rPr>
          <w:b/>
          <w:bCs/>
          <w:lang w:val="en-US"/>
        </w:rPr>
        <w:t xml:space="preserve"> </w:t>
      </w:r>
      <w:proofErr w:type="gramStart"/>
      <w:r w:rsidRPr="00CC5681">
        <w:rPr>
          <w:b/>
          <w:bCs/>
          <w:iCs/>
          <w:lang w:val="en-US"/>
        </w:rPr>
        <w:t>Proceedings of the Critical Perspectives on Accounting Conference</w:t>
      </w:r>
      <w:r w:rsidRPr="00CC5681">
        <w:rPr>
          <w:bCs/>
          <w:lang w:val="en-US"/>
        </w:rPr>
        <w:t>, New York, 1994.</w:t>
      </w:r>
      <w:proofErr w:type="gramEnd"/>
    </w:p>
    <w:p w:rsidR="000C294C" w:rsidRPr="009A78D9" w:rsidRDefault="00EE79A7" w:rsidP="000C294C">
      <w:pPr>
        <w:pStyle w:val="NormalWeb"/>
        <w:spacing w:before="0" w:beforeAutospacing="0" w:after="240" w:afterAutospacing="0"/>
        <w:jc w:val="both"/>
        <w:rPr>
          <w:bCs/>
        </w:rPr>
      </w:pPr>
      <w:r>
        <w:rPr>
          <w:rFonts w:eastAsia="Times New Roman"/>
          <w:bCs/>
        </w:rPr>
        <w:t>LOURENÇO, R.</w:t>
      </w:r>
      <w:r w:rsidR="000C294C" w:rsidRPr="00CC5681">
        <w:rPr>
          <w:rFonts w:eastAsia="Times New Roman"/>
          <w:bCs/>
        </w:rPr>
        <w:t xml:space="preserve"> L</w:t>
      </w:r>
      <w:r>
        <w:rPr>
          <w:rFonts w:eastAsia="Times New Roman"/>
          <w:bCs/>
        </w:rPr>
        <w:t>.</w:t>
      </w:r>
      <w:r w:rsidR="000C294C" w:rsidRPr="00CC5681">
        <w:rPr>
          <w:rFonts w:eastAsia="Times New Roman"/>
          <w:bCs/>
        </w:rPr>
        <w:t>; SANTOS, C</w:t>
      </w:r>
      <w:r>
        <w:rPr>
          <w:rFonts w:eastAsia="Times New Roman"/>
          <w:bCs/>
        </w:rPr>
        <w:t>.</w:t>
      </w:r>
      <w:r w:rsidR="000C294C" w:rsidRPr="00CC5681">
        <w:rPr>
          <w:rFonts w:eastAsia="Times New Roman"/>
          <w:bCs/>
        </w:rPr>
        <w:t xml:space="preserve"> M</w:t>
      </w:r>
      <w:r>
        <w:rPr>
          <w:rFonts w:eastAsia="Times New Roman"/>
          <w:bCs/>
        </w:rPr>
        <w:t>.</w:t>
      </w:r>
      <w:r w:rsidR="000C294C" w:rsidRPr="00CC5681">
        <w:rPr>
          <w:rFonts w:eastAsia="Times New Roman"/>
          <w:bCs/>
        </w:rPr>
        <w:t xml:space="preserve"> V</w:t>
      </w:r>
      <w:r>
        <w:rPr>
          <w:rFonts w:eastAsia="Times New Roman"/>
          <w:bCs/>
        </w:rPr>
        <w:t>.</w:t>
      </w:r>
      <w:r w:rsidR="000C294C" w:rsidRPr="00CC5681">
        <w:rPr>
          <w:rFonts w:eastAsia="Times New Roman"/>
          <w:bCs/>
        </w:rPr>
        <w:t>; SILVA, A</w:t>
      </w:r>
      <w:r>
        <w:rPr>
          <w:rFonts w:eastAsia="Times New Roman"/>
          <w:bCs/>
        </w:rPr>
        <w:t>.</w:t>
      </w:r>
      <w:r w:rsidR="000C294C" w:rsidRPr="00CC5681">
        <w:rPr>
          <w:rFonts w:eastAsia="Times New Roman"/>
          <w:bCs/>
        </w:rPr>
        <w:t xml:space="preserve"> H</w:t>
      </w:r>
      <w:r>
        <w:rPr>
          <w:rFonts w:eastAsia="Times New Roman"/>
          <w:bCs/>
        </w:rPr>
        <w:t>.</w:t>
      </w:r>
      <w:r w:rsidR="000C294C" w:rsidRPr="00CC5681">
        <w:rPr>
          <w:rFonts w:eastAsia="Times New Roman"/>
          <w:bCs/>
        </w:rPr>
        <w:t xml:space="preserve"> C. </w:t>
      </w:r>
      <w:r w:rsidR="000C294C" w:rsidRPr="00CC5681">
        <w:rPr>
          <w:rFonts w:eastAsia="Times New Roman"/>
        </w:rPr>
        <w:t xml:space="preserve">O que estudantes de contabilidade “pensam” sobre o resultado abrangente? </w:t>
      </w:r>
      <w:r w:rsidR="000C294C" w:rsidRPr="00CC5681">
        <w:rPr>
          <w:rFonts w:eastAsia="Times New Roman"/>
          <w:b/>
        </w:rPr>
        <w:t>Pensar Contábil</w:t>
      </w:r>
      <w:r w:rsidR="000C294C" w:rsidRPr="00CC5681">
        <w:rPr>
          <w:rFonts w:eastAsia="Times New Roman"/>
        </w:rPr>
        <w:t>, Rio de Janeiro, v. 17, n. 64, p. 4- 13, set./dez. 2015</w:t>
      </w:r>
      <w:r>
        <w:rPr>
          <w:rFonts w:eastAsia="Times New Roman"/>
        </w:rPr>
        <w:t>.</w:t>
      </w:r>
    </w:p>
    <w:p w:rsidR="000C294C" w:rsidRPr="00CC5681" w:rsidRDefault="000C294C" w:rsidP="000C294C">
      <w:pPr>
        <w:pStyle w:val="NormalWeb"/>
        <w:spacing w:before="0" w:beforeAutospacing="0" w:after="240" w:afterAutospacing="0"/>
        <w:jc w:val="both"/>
      </w:pPr>
      <w:r w:rsidRPr="00CC5681">
        <w:t xml:space="preserve">MACEDO, M. A. DA S.; ROMANA, T. </w:t>
      </w:r>
      <w:proofErr w:type="gramStart"/>
      <w:r w:rsidRPr="00CC5681">
        <w:t>D.</w:t>
      </w:r>
      <w:proofErr w:type="gramEnd"/>
      <w:r w:rsidRPr="00CC5681">
        <w:t xml:space="preserve">; SILVA, J. C. Análise dos </w:t>
      </w:r>
      <w:r w:rsidR="00EE79A7">
        <w:t>d</w:t>
      </w:r>
      <w:r w:rsidRPr="00CC5681">
        <w:t xml:space="preserve">eterminantes da </w:t>
      </w:r>
      <w:r w:rsidR="00EE79A7">
        <w:t>r</w:t>
      </w:r>
      <w:r w:rsidRPr="00CC5681">
        <w:t xml:space="preserve">elevância das </w:t>
      </w:r>
      <w:r w:rsidR="00EE79A7">
        <w:t>i</w:t>
      </w:r>
      <w:r w:rsidRPr="00CC5681">
        <w:t xml:space="preserve">nformações </w:t>
      </w:r>
      <w:r w:rsidR="00EE79A7">
        <w:t>c</w:t>
      </w:r>
      <w:r w:rsidRPr="00CC5681">
        <w:t>ontábeis no Brasil: um es</w:t>
      </w:r>
      <w:r w:rsidR="00EE79A7">
        <w:t>tudo com base no Lucro Líquido e no Patrimônio Líquido</w:t>
      </w:r>
      <w:r w:rsidRPr="00CC5681">
        <w:t xml:space="preserve"> de 2010 a 2012</w:t>
      </w:r>
      <w:r w:rsidR="00EE79A7">
        <w:t xml:space="preserve">. </w:t>
      </w:r>
      <w:r w:rsidRPr="00EE79A7">
        <w:rPr>
          <w:b/>
        </w:rPr>
        <w:t>XIV Congresso USP</w:t>
      </w:r>
      <w:r w:rsidRPr="00CC5681">
        <w:t>. Anais...</w:t>
      </w:r>
      <w:r w:rsidR="00EE79A7">
        <w:t xml:space="preserve"> </w:t>
      </w:r>
      <w:r w:rsidRPr="00CC5681">
        <w:t>São Paulo: 2014</w:t>
      </w:r>
      <w:r w:rsidR="00EE79A7">
        <w:t>.</w:t>
      </w:r>
    </w:p>
    <w:p w:rsidR="000C294C" w:rsidRPr="009A78D9" w:rsidRDefault="000C294C" w:rsidP="000C294C">
      <w:pPr>
        <w:pStyle w:val="NormalWeb"/>
        <w:spacing w:before="0" w:beforeAutospacing="0" w:after="240" w:afterAutospacing="0"/>
        <w:jc w:val="both"/>
        <w:rPr>
          <w:lang w:val="en-US"/>
        </w:rPr>
      </w:pPr>
      <w:r w:rsidRPr="00CC5681">
        <w:rPr>
          <w:rFonts w:eastAsia="Times New Roman"/>
          <w:bCs/>
          <w:color w:val="000000"/>
        </w:rPr>
        <w:t xml:space="preserve">MADEIRA, </w:t>
      </w:r>
      <w:r w:rsidR="00EE79A7">
        <w:rPr>
          <w:rFonts w:eastAsia="Times New Roman"/>
          <w:bCs/>
          <w:color w:val="000000"/>
        </w:rPr>
        <w:t>F.</w:t>
      </w:r>
      <w:r w:rsidRPr="00CC5681">
        <w:rPr>
          <w:rFonts w:eastAsia="Times New Roman"/>
          <w:bCs/>
          <w:color w:val="000000"/>
        </w:rPr>
        <w:t xml:space="preserve"> L</w:t>
      </w:r>
      <w:r w:rsidR="00EE79A7">
        <w:rPr>
          <w:rFonts w:eastAsia="Times New Roman"/>
          <w:bCs/>
          <w:color w:val="000000"/>
        </w:rPr>
        <w:t>.</w:t>
      </w:r>
      <w:r w:rsidRPr="00CC5681">
        <w:rPr>
          <w:rFonts w:eastAsia="Times New Roman"/>
          <w:bCs/>
          <w:color w:val="000000"/>
        </w:rPr>
        <w:t>; COSTA JÚNIOR, J</w:t>
      </w:r>
      <w:r w:rsidR="00EE79A7">
        <w:rPr>
          <w:rFonts w:eastAsia="Times New Roman"/>
          <w:bCs/>
          <w:color w:val="000000"/>
        </w:rPr>
        <w:t>.</w:t>
      </w:r>
      <w:r w:rsidRPr="00CC5681">
        <w:rPr>
          <w:rFonts w:eastAsia="Times New Roman"/>
          <w:bCs/>
          <w:color w:val="000000"/>
        </w:rPr>
        <w:t xml:space="preserve"> V. </w:t>
      </w:r>
      <w:proofErr w:type="spellStart"/>
      <w:r w:rsidRPr="00CC5681">
        <w:rPr>
          <w:lang w:eastAsia="en-US"/>
        </w:rPr>
        <w:t>Value</w:t>
      </w:r>
      <w:proofErr w:type="spellEnd"/>
      <w:r w:rsidRPr="00CC5681">
        <w:rPr>
          <w:lang w:eastAsia="en-US"/>
        </w:rPr>
        <w:t xml:space="preserve"> </w:t>
      </w:r>
      <w:proofErr w:type="spellStart"/>
      <w:r w:rsidRPr="00CC5681">
        <w:rPr>
          <w:lang w:eastAsia="en-US"/>
        </w:rPr>
        <w:t>relevance</w:t>
      </w:r>
      <w:proofErr w:type="spellEnd"/>
      <w:r w:rsidRPr="00CC5681">
        <w:rPr>
          <w:lang w:eastAsia="en-US"/>
        </w:rPr>
        <w:t xml:space="preserve"> dos</w:t>
      </w:r>
      <w:r w:rsidRPr="00CC5681">
        <w:t xml:space="preserve"> </w:t>
      </w:r>
      <w:r w:rsidRPr="00CC5681">
        <w:rPr>
          <w:lang w:eastAsia="en-US"/>
        </w:rPr>
        <w:t>outros resultados abrangentes nas companhias</w:t>
      </w:r>
      <w:r w:rsidRPr="00CC5681">
        <w:t xml:space="preserve"> abertas brasileiras</w:t>
      </w:r>
      <w:r w:rsidRPr="00CC5681">
        <w:rPr>
          <w:rFonts w:eastAsia="Times New Roman"/>
          <w:bCs/>
          <w:color w:val="000000"/>
        </w:rPr>
        <w:t xml:space="preserve">. </w:t>
      </w:r>
      <w:proofErr w:type="gramStart"/>
      <w:r w:rsidRPr="009A78D9">
        <w:rPr>
          <w:rFonts w:eastAsia="Times New Roman"/>
          <w:b/>
          <w:color w:val="000000"/>
          <w:lang w:val="en-US"/>
        </w:rPr>
        <w:t xml:space="preserve">Advances in Scientific and Applied Accounting, </w:t>
      </w:r>
      <w:r w:rsidRPr="009A78D9">
        <w:rPr>
          <w:rFonts w:eastAsia="Times New Roman"/>
          <w:color w:val="000000"/>
          <w:lang w:val="en-US"/>
        </w:rPr>
        <w:t>São Paulo, v.8, n.2, p. 20</w:t>
      </w:r>
      <w:r w:rsidR="00EE79A7">
        <w:rPr>
          <w:rFonts w:eastAsia="Times New Roman"/>
          <w:color w:val="000000"/>
          <w:lang w:val="en-US"/>
        </w:rPr>
        <w:t>4-217.</w:t>
      </w:r>
      <w:proofErr w:type="gramEnd"/>
      <w:r w:rsidR="00EE79A7">
        <w:rPr>
          <w:rFonts w:eastAsia="Times New Roman"/>
          <w:color w:val="000000"/>
          <w:lang w:val="en-US"/>
        </w:rPr>
        <w:t xml:space="preserve"> </w:t>
      </w:r>
      <w:proofErr w:type="gramStart"/>
      <w:r w:rsidR="00EE79A7">
        <w:rPr>
          <w:rFonts w:eastAsia="Times New Roman"/>
          <w:color w:val="000000"/>
          <w:lang w:val="en-US"/>
        </w:rPr>
        <w:t>Mai/</w:t>
      </w:r>
      <w:r w:rsidRPr="009A78D9">
        <w:rPr>
          <w:rFonts w:eastAsia="Times New Roman"/>
          <w:color w:val="000000"/>
          <w:lang w:val="en-US"/>
        </w:rPr>
        <w:t>Ago.</w:t>
      </w:r>
      <w:proofErr w:type="gramEnd"/>
      <w:r w:rsidRPr="009A78D9">
        <w:rPr>
          <w:rFonts w:eastAsia="Times New Roman"/>
          <w:color w:val="000000"/>
          <w:lang w:val="en-US"/>
        </w:rPr>
        <w:t xml:space="preserve"> 2015.</w:t>
      </w:r>
    </w:p>
    <w:p w:rsidR="000C294C" w:rsidRPr="009A78D9" w:rsidRDefault="000C294C" w:rsidP="000C294C">
      <w:pPr>
        <w:pStyle w:val="NormalWeb"/>
        <w:spacing w:before="0" w:beforeAutospacing="0" w:after="240" w:afterAutospacing="0"/>
        <w:jc w:val="both"/>
      </w:pPr>
      <w:proofErr w:type="gramStart"/>
      <w:r w:rsidRPr="00CC5681">
        <w:rPr>
          <w:lang w:val="en-US"/>
        </w:rPr>
        <w:t>OHLSON, J. A. Earnings, book values, and dividends in equity valuation.</w:t>
      </w:r>
      <w:proofErr w:type="gramEnd"/>
      <w:r w:rsidRPr="00CC5681">
        <w:rPr>
          <w:lang w:val="en-US"/>
        </w:rPr>
        <w:t xml:space="preserve"> </w:t>
      </w:r>
      <w:proofErr w:type="spellStart"/>
      <w:r w:rsidRPr="00EE79A7">
        <w:rPr>
          <w:b/>
        </w:rPr>
        <w:t>Contemporary</w:t>
      </w:r>
      <w:proofErr w:type="spellEnd"/>
      <w:r w:rsidRPr="00EE79A7">
        <w:rPr>
          <w:b/>
        </w:rPr>
        <w:t xml:space="preserve"> </w:t>
      </w:r>
      <w:proofErr w:type="spellStart"/>
      <w:r w:rsidRPr="00EE79A7">
        <w:rPr>
          <w:b/>
        </w:rPr>
        <w:t>Accounting</w:t>
      </w:r>
      <w:proofErr w:type="spellEnd"/>
      <w:r w:rsidRPr="00EE79A7">
        <w:rPr>
          <w:b/>
        </w:rPr>
        <w:t xml:space="preserve"> </w:t>
      </w:r>
      <w:proofErr w:type="spellStart"/>
      <w:r w:rsidRPr="00EE79A7">
        <w:rPr>
          <w:b/>
        </w:rPr>
        <w:t>Research</w:t>
      </w:r>
      <w:proofErr w:type="spellEnd"/>
      <w:r w:rsidR="00EE79A7">
        <w:t>.</w:t>
      </w:r>
      <w:r w:rsidRPr="009A78D9">
        <w:t xml:space="preserve"> </w:t>
      </w:r>
      <w:proofErr w:type="gramStart"/>
      <w:r w:rsidRPr="009A78D9">
        <w:t>v.</w:t>
      </w:r>
      <w:proofErr w:type="gramEnd"/>
      <w:r w:rsidRPr="009A78D9">
        <w:t>11, n.</w:t>
      </w:r>
      <w:r w:rsidR="00EE79A7">
        <w:t>2, p.</w:t>
      </w:r>
      <w:r w:rsidRPr="009A78D9">
        <w:t>661</w:t>
      </w:r>
      <w:r w:rsidR="00EE79A7">
        <w:t>.</w:t>
      </w:r>
      <w:r w:rsidRPr="009A78D9">
        <w:t xml:space="preserve"> 1995. </w:t>
      </w:r>
    </w:p>
    <w:p w:rsidR="000C294C" w:rsidRPr="007618FE" w:rsidRDefault="000C294C" w:rsidP="000C294C">
      <w:pPr>
        <w:pStyle w:val="NormalWeb"/>
        <w:spacing w:before="0" w:beforeAutospacing="0" w:after="240" w:afterAutospacing="0"/>
        <w:jc w:val="both"/>
      </w:pPr>
      <w:r w:rsidRPr="00CC5681">
        <w:t xml:space="preserve">PINHEIRO, L. E. T.; MACEDO, R. P. DE; VILAMAIOR, A. G. Lucro líquido versus lucro abrangente: uma análise empírica da volatilidade. </w:t>
      </w:r>
      <w:proofErr w:type="gramStart"/>
      <w:r w:rsidRPr="007618FE">
        <w:rPr>
          <w:b/>
        </w:rPr>
        <w:t>Revista Universo Contábil</w:t>
      </w:r>
      <w:proofErr w:type="gramEnd"/>
      <w:r w:rsidR="005F2290">
        <w:t xml:space="preserve">. </w:t>
      </w:r>
      <w:proofErr w:type="gramStart"/>
      <w:r w:rsidR="005F2290">
        <w:t>v.</w:t>
      </w:r>
      <w:proofErr w:type="gramEnd"/>
      <w:r w:rsidR="005F2290">
        <w:t xml:space="preserve">8, n.4. </w:t>
      </w:r>
      <w:proofErr w:type="gramStart"/>
      <w:r w:rsidR="005F2290">
        <w:t>p.</w:t>
      </w:r>
      <w:proofErr w:type="gramEnd"/>
      <w:r w:rsidR="005F2290">
        <w:t xml:space="preserve"> 06–18, 2012.</w:t>
      </w:r>
    </w:p>
    <w:p w:rsidR="000C294C" w:rsidRPr="009A78D9" w:rsidRDefault="000C294C" w:rsidP="000C294C">
      <w:pPr>
        <w:pStyle w:val="NormalWeb"/>
        <w:spacing w:before="0" w:beforeAutospacing="0" w:after="240" w:afterAutospacing="0"/>
        <w:jc w:val="both"/>
      </w:pPr>
      <w:r w:rsidRPr="00CC5681">
        <w:t xml:space="preserve">PIRES, </w:t>
      </w:r>
      <w:r w:rsidR="005F2290">
        <w:t>S.</w:t>
      </w:r>
      <w:r w:rsidRPr="00CC5681">
        <w:t xml:space="preserve"> E. Análise dos demonstrativos contábeis. </w:t>
      </w:r>
      <w:r w:rsidRPr="00F53227">
        <w:rPr>
          <w:lang w:val="en-US"/>
        </w:rPr>
        <w:t xml:space="preserve">In: ROSSETTI, José P. (Org.). </w:t>
      </w:r>
      <w:r w:rsidRPr="00CC5681">
        <w:rPr>
          <w:b/>
        </w:rPr>
        <w:t xml:space="preserve">Finanças corporativas: </w:t>
      </w:r>
      <w:r w:rsidRPr="00CC5681">
        <w:t xml:space="preserve">teoria e prática empresarial no Brasil. Rio de Janeiro: </w:t>
      </w:r>
      <w:proofErr w:type="spellStart"/>
      <w:r w:rsidRPr="00CC5681">
        <w:t>Elsevier</w:t>
      </w:r>
      <w:proofErr w:type="spellEnd"/>
      <w:r w:rsidRPr="00CC5681">
        <w:t>,</w:t>
      </w:r>
      <w:r w:rsidR="005F2290">
        <w:t xml:space="preserve"> 2008.</w:t>
      </w:r>
    </w:p>
    <w:p w:rsidR="000C294C" w:rsidRPr="009A78D9" w:rsidRDefault="000C294C" w:rsidP="000C294C">
      <w:pPr>
        <w:autoSpaceDE w:val="0"/>
        <w:autoSpaceDN w:val="0"/>
        <w:adjustRightInd w:val="0"/>
        <w:spacing w:after="240"/>
        <w:jc w:val="both"/>
        <w:rPr>
          <w:lang w:eastAsia="pt-BR"/>
        </w:rPr>
      </w:pPr>
      <w:r w:rsidRPr="00CC5681">
        <w:rPr>
          <w:lang w:eastAsia="pt-BR"/>
        </w:rPr>
        <w:t>PONTE, V</w:t>
      </w:r>
      <w:r w:rsidR="005F2290">
        <w:rPr>
          <w:lang w:eastAsia="pt-BR"/>
        </w:rPr>
        <w:t>.</w:t>
      </w:r>
      <w:r w:rsidRPr="00CC5681">
        <w:rPr>
          <w:lang w:eastAsia="pt-BR"/>
        </w:rPr>
        <w:t xml:space="preserve"> M. R.; OLIVEIRA, M</w:t>
      </w:r>
      <w:r w:rsidR="005F2290">
        <w:rPr>
          <w:lang w:eastAsia="pt-BR"/>
        </w:rPr>
        <w:t>.</w:t>
      </w:r>
      <w:r w:rsidRPr="00CC5681">
        <w:rPr>
          <w:lang w:eastAsia="pt-BR"/>
        </w:rPr>
        <w:t xml:space="preserve"> C.; MOURA, H. Análise das práticas de evidenciação de informações avançadas e </w:t>
      </w:r>
      <w:proofErr w:type="gramStart"/>
      <w:r w:rsidRPr="00CC5681">
        <w:rPr>
          <w:lang w:eastAsia="pt-BR"/>
        </w:rPr>
        <w:t>não-obrigatórias</w:t>
      </w:r>
      <w:proofErr w:type="gramEnd"/>
      <w:r w:rsidRPr="00CC5681">
        <w:rPr>
          <w:lang w:eastAsia="pt-BR"/>
        </w:rPr>
        <w:t xml:space="preserve"> nas demonstrações contábeis das empresas brasileiras: um estudo comparativo dos exercícios de 2002 e 2005. In: </w:t>
      </w:r>
      <w:proofErr w:type="spellStart"/>
      <w:r w:rsidR="005F2290">
        <w:rPr>
          <w:lang w:eastAsia="pt-BR"/>
        </w:rPr>
        <w:t>Congreso</w:t>
      </w:r>
      <w:proofErr w:type="spellEnd"/>
      <w:r w:rsidR="005F2290">
        <w:rPr>
          <w:lang w:eastAsia="pt-BR"/>
        </w:rPr>
        <w:t xml:space="preserve"> </w:t>
      </w:r>
      <w:proofErr w:type="spellStart"/>
      <w:proofErr w:type="gramStart"/>
      <w:r w:rsidR="005F2290">
        <w:rPr>
          <w:lang w:eastAsia="pt-BR"/>
        </w:rPr>
        <w:t>Usp</w:t>
      </w:r>
      <w:proofErr w:type="spellEnd"/>
      <w:proofErr w:type="gramEnd"/>
      <w:r w:rsidR="005F2290">
        <w:rPr>
          <w:lang w:eastAsia="pt-BR"/>
        </w:rPr>
        <w:t xml:space="preserve"> Controladoria e</w:t>
      </w:r>
      <w:r w:rsidR="005F2290" w:rsidRPr="00CC5681">
        <w:rPr>
          <w:lang w:eastAsia="pt-BR"/>
        </w:rPr>
        <w:t xml:space="preserve"> Contabilidade</w:t>
      </w:r>
      <w:r w:rsidRPr="00CC5681">
        <w:rPr>
          <w:lang w:eastAsia="pt-BR"/>
        </w:rPr>
        <w:t>, 2007</w:t>
      </w:r>
      <w:r w:rsidR="005F2290">
        <w:rPr>
          <w:lang w:eastAsia="pt-BR"/>
        </w:rPr>
        <w:t>.</w:t>
      </w:r>
      <w:r w:rsidRPr="00CC5681">
        <w:rPr>
          <w:lang w:eastAsia="pt-BR"/>
        </w:rPr>
        <w:t xml:space="preserve"> São Paulo. </w:t>
      </w:r>
      <w:r w:rsidRPr="00CC5681">
        <w:rPr>
          <w:b/>
          <w:iCs/>
          <w:lang w:eastAsia="pt-BR"/>
        </w:rPr>
        <w:t>Anais...</w:t>
      </w:r>
      <w:r w:rsidRPr="00CC5681">
        <w:rPr>
          <w:iCs/>
          <w:lang w:eastAsia="pt-BR"/>
        </w:rPr>
        <w:t xml:space="preserve"> </w:t>
      </w:r>
      <w:r w:rsidRPr="00CC5681">
        <w:rPr>
          <w:lang w:eastAsia="pt-BR"/>
        </w:rPr>
        <w:t>São Paulo: FEA/USP, 2007.</w:t>
      </w:r>
    </w:p>
    <w:p w:rsidR="000C294C" w:rsidRPr="00CC5681" w:rsidRDefault="000C294C" w:rsidP="000C294C">
      <w:pPr>
        <w:autoSpaceDE w:val="0"/>
        <w:autoSpaceDN w:val="0"/>
        <w:adjustRightInd w:val="0"/>
        <w:spacing w:after="240"/>
        <w:jc w:val="both"/>
        <w:rPr>
          <w:lang w:val="en-US" w:eastAsia="pt-BR"/>
        </w:rPr>
      </w:pPr>
      <w:r w:rsidRPr="00CC5681">
        <w:rPr>
          <w:rFonts w:cs="Times New Roman"/>
          <w:bCs/>
          <w:szCs w:val="24"/>
        </w:rPr>
        <w:t>RAFFAELLI, S</w:t>
      </w:r>
      <w:r w:rsidR="005F2290">
        <w:rPr>
          <w:rFonts w:cs="Times New Roman"/>
          <w:bCs/>
          <w:szCs w:val="24"/>
        </w:rPr>
        <w:t>.</w:t>
      </w:r>
      <w:r w:rsidRPr="00CC5681">
        <w:rPr>
          <w:rFonts w:cs="Times New Roman"/>
          <w:bCs/>
          <w:szCs w:val="24"/>
        </w:rPr>
        <w:t xml:space="preserve"> C</w:t>
      </w:r>
      <w:r w:rsidR="005F2290">
        <w:rPr>
          <w:rFonts w:cs="Times New Roman"/>
          <w:bCs/>
          <w:szCs w:val="24"/>
        </w:rPr>
        <w:t>.</w:t>
      </w:r>
      <w:r w:rsidRPr="00CC5681">
        <w:rPr>
          <w:rFonts w:cs="Times New Roman"/>
          <w:bCs/>
          <w:szCs w:val="24"/>
        </w:rPr>
        <w:t xml:space="preserve"> </w:t>
      </w:r>
      <w:proofErr w:type="gramStart"/>
      <w:r w:rsidRPr="00CC5681">
        <w:rPr>
          <w:rFonts w:cs="Times New Roman"/>
          <w:bCs/>
          <w:szCs w:val="24"/>
        </w:rPr>
        <w:t>D</w:t>
      </w:r>
      <w:r w:rsidR="005F2290">
        <w:rPr>
          <w:rFonts w:cs="Times New Roman"/>
          <w:bCs/>
          <w:szCs w:val="24"/>
        </w:rPr>
        <w:t>.</w:t>
      </w:r>
      <w:proofErr w:type="gramEnd"/>
      <w:r w:rsidRPr="00CC5681">
        <w:rPr>
          <w:rFonts w:cs="Times New Roman"/>
          <w:bCs/>
          <w:szCs w:val="24"/>
        </w:rPr>
        <w:t>; GARCIAS, P</w:t>
      </w:r>
      <w:r w:rsidR="005F2290">
        <w:rPr>
          <w:rFonts w:cs="Times New Roman"/>
          <w:bCs/>
          <w:szCs w:val="24"/>
        </w:rPr>
        <w:t>.</w:t>
      </w:r>
      <w:r w:rsidRPr="00CC5681">
        <w:rPr>
          <w:rFonts w:cs="Times New Roman"/>
          <w:bCs/>
          <w:szCs w:val="24"/>
        </w:rPr>
        <w:t xml:space="preserve"> M</w:t>
      </w:r>
      <w:r w:rsidR="005F2290">
        <w:rPr>
          <w:rFonts w:cs="Times New Roman"/>
          <w:bCs/>
          <w:szCs w:val="24"/>
        </w:rPr>
        <w:t>.</w:t>
      </w:r>
      <w:r w:rsidRPr="00CC5681">
        <w:rPr>
          <w:rFonts w:cs="Times New Roman"/>
          <w:bCs/>
          <w:szCs w:val="24"/>
        </w:rPr>
        <w:t>; ESPEJO, M</w:t>
      </w:r>
      <w:r w:rsidR="005F2290">
        <w:rPr>
          <w:rFonts w:cs="Times New Roman"/>
          <w:bCs/>
          <w:szCs w:val="24"/>
        </w:rPr>
        <w:t>.</w:t>
      </w:r>
      <w:r w:rsidRPr="00CC5681">
        <w:rPr>
          <w:rFonts w:cs="Times New Roman"/>
          <w:bCs/>
          <w:szCs w:val="24"/>
        </w:rPr>
        <w:t xml:space="preserve"> M</w:t>
      </w:r>
      <w:r w:rsidR="005F2290">
        <w:rPr>
          <w:rFonts w:cs="Times New Roman"/>
          <w:bCs/>
          <w:szCs w:val="24"/>
        </w:rPr>
        <w:t xml:space="preserve">. </w:t>
      </w:r>
      <w:r w:rsidRPr="00CC5681">
        <w:rPr>
          <w:rFonts w:cs="Times New Roman"/>
          <w:bCs/>
          <w:szCs w:val="24"/>
        </w:rPr>
        <w:t>S</w:t>
      </w:r>
      <w:r w:rsidR="005F2290">
        <w:rPr>
          <w:rFonts w:cs="Times New Roman"/>
          <w:bCs/>
          <w:szCs w:val="24"/>
        </w:rPr>
        <w:t>.</w:t>
      </w:r>
      <w:r w:rsidRPr="00CC5681">
        <w:rPr>
          <w:rFonts w:cs="Times New Roman"/>
          <w:bCs/>
          <w:szCs w:val="24"/>
        </w:rPr>
        <w:t xml:space="preserve"> B</w:t>
      </w:r>
      <w:r w:rsidR="005F2290">
        <w:rPr>
          <w:rFonts w:cs="Times New Roman"/>
          <w:bCs/>
          <w:szCs w:val="24"/>
        </w:rPr>
        <w:t>.</w:t>
      </w:r>
      <w:r w:rsidRPr="00CC5681">
        <w:rPr>
          <w:rFonts w:cs="Times New Roman"/>
          <w:bCs/>
          <w:szCs w:val="24"/>
        </w:rPr>
        <w:t xml:space="preserve">; PORTULHAK, H. Estratégias retóricas de legitimação nos relatórios da Administração: respostas ao movimento antitabagista. </w:t>
      </w:r>
      <w:r w:rsidRPr="005F2290">
        <w:rPr>
          <w:rFonts w:cs="Times New Roman"/>
          <w:bCs/>
          <w:szCs w:val="24"/>
          <w:lang w:val="en-US"/>
        </w:rPr>
        <w:t>In.</w:t>
      </w:r>
      <w:r w:rsidRPr="00CC5681">
        <w:rPr>
          <w:rFonts w:cs="Times New Roman"/>
          <w:b/>
          <w:bCs/>
          <w:szCs w:val="24"/>
          <w:lang w:val="en-US"/>
        </w:rPr>
        <w:t>:</w:t>
      </w:r>
      <w:r w:rsidRPr="00CC5681">
        <w:rPr>
          <w:rFonts w:cs="Times New Roman"/>
          <w:bCs/>
          <w:szCs w:val="24"/>
          <w:lang w:val="en-US"/>
        </w:rPr>
        <w:t xml:space="preserve"> </w:t>
      </w:r>
      <w:r w:rsidRPr="005F2290">
        <w:rPr>
          <w:rFonts w:cs="Times New Roman"/>
          <w:b/>
          <w:bCs/>
          <w:szCs w:val="24"/>
          <w:lang w:val="en-US"/>
        </w:rPr>
        <w:t xml:space="preserve">IX </w:t>
      </w:r>
      <w:proofErr w:type="spellStart"/>
      <w:r w:rsidRPr="005F2290">
        <w:rPr>
          <w:rFonts w:cs="Times New Roman"/>
          <w:b/>
          <w:bCs/>
          <w:szCs w:val="24"/>
          <w:lang w:val="en-US"/>
        </w:rPr>
        <w:t>Congresso</w:t>
      </w:r>
      <w:proofErr w:type="spellEnd"/>
      <w:r w:rsidRPr="005F2290">
        <w:rPr>
          <w:rFonts w:cs="Times New Roman"/>
          <w:b/>
          <w:bCs/>
          <w:szCs w:val="24"/>
          <w:lang w:val="en-US"/>
        </w:rPr>
        <w:t xml:space="preserve"> </w:t>
      </w:r>
      <w:proofErr w:type="spellStart"/>
      <w:r w:rsidRPr="005F2290">
        <w:rPr>
          <w:rFonts w:cs="Times New Roman"/>
          <w:b/>
          <w:bCs/>
          <w:szCs w:val="24"/>
          <w:lang w:val="en-US"/>
        </w:rPr>
        <w:t>AnPCONT</w:t>
      </w:r>
      <w:proofErr w:type="spellEnd"/>
      <w:r w:rsidRPr="00CC5681">
        <w:rPr>
          <w:rFonts w:cs="Times New Roman"/>
          <w:bCs/>
          <w:szCs w:val="24"/>
          <w:lang w:val="en-US"/>
        </w:rPr>
        <w:t>, 2015.</w:t>
      </w:r>
    </w:p>
    <w:p w:rsidR="000C294C" w:rsidRPr="00CC5681" w:rsidRDefault="000C294C" w:rsidP="000C294C">
      <w:pPr>
        <w:autoSpaceDE w:val="0"/>
        <w:autoSpaceDN w:val="0"/>
        <w:adjustRightInd w:val="0"/>
        <w:spacing w:after="240"/>
        <w:jc w:val="both"/>
        <w:rPr>
          <w:lang w:val="en-US" w:eastAsia="pt-BR"/>
        </w:rPr>
      </w:pPr>
      <w:r w:rsidRPr="00CC5681">
        <w:rPr>
          <w:rFonts w:cs="Times New Roman"/>
          <w:szCs w:val="24"/>
          <w:lang w:val="en-US"/>
        </w:rPr>
        <w:t xml:space="preserve">RICHARDSON, A. J. Accounting as a legitimating institution. </w:t>
      </w:r>
      <w:proofErr w:type="gramStart"/>
      <w:r w:rsidRPr="00CC5681">
        <w:rPr>
          <w:rFonts w:cs="Times New Roman"/>
          <w:b/>
          <w:bCs/>
          <w:szCs w:val="24"/>
          <w:lang w:val="en-US"/>
        </w:rPr>
        <w:t>Accounting, Organizations and Society</w:t>
      </w:r>
      <w:r w:rsidR="005F2290">
        <w:rPr>
          <w:rFonts w:cs="Times New Roman"/>
          <w:szCs w:val="24"/>
          <w:lang w:val="en-US"/>
        </w:rPr>
        <w:t>.</w:t>
      </w:r>
      <w:proofErr w:type="gramEnd"/>
      <w:r w:rsidR="005F2290">
        <w:rPr>
          <w:rFonts w:cs="Times New Roman"/>
          <w:szCs w:val="24"/>
          <w:lang w:val="en-US"/>
        </w:rPr>
        <w:t xml:space="preserve"> </w:t>
      </w:r>
      <w:proofErr w:type="gramStart"/>
      <w:r w:rsidR="005F2290">
        <w:rPr>
          <w:rFonts w:cs="Times New Roman"/>
          <w:szCs w:val="24"/>
          <w:lang w:val="en-US"/>
        </w:rPr>
        <w:t>v.</w:t>
      </w:r>
      <w:r w:rsidRPr="00CC5681">
        <w:rPr>
          <w:rFonts w:cs="Times New Roman"/>
          <w:szCs w:val="24"/>
          <w:lang w:val="en-US"/>
        </w:rPr>
        <w:t>12, n. 4</w:t>
      </w:r>
      <w:r w:rsidR="005F2290">
        <w:rPr>
          <w:rFonts w:cs="Times New Roman"/>
          <w:szCs w:val="24"/>
          <w:lang w:val="en-US"/>
        </w:rPr>
        <w:t>.</w:t>
      </w:r>
      <w:proofErr w:type="gramEnd"/>
      <w:r w:rsidRPr="00CC5681">
        <w:rPr>
          <w:rFonts w:cs="Times New Roman"/>
          <w:szCs w:val="24"/>
          <w:lang w:val="en-US"/>
        </w:rPr>
        <w:t xml:space="preserve"> </w:t>
      </w:r>
      <w:proofErr w:type="gramStart"/>
      <w:r w:rsidRPr="00CC5681">
        <w:rPr>
          <w:rFonts w:cs="Times New Roman"/>
          <w:szCs w:val="24"/>
          <w:lang w:val="en-US"/>
        </w:rPr>
        <w:t>p. 341-355, 1987.</w:t>
      </w:r>
      <w:proofErr w:type="gramEnd"/>
    </w:p>
    <w:p w:rsidR="000C294C" w:rsidRPr="005F2290" w:rsidRDefault="000C294C" w:rsidP="000C294C">
      <w:pPr>
        <w:autoSpaceDE w:val="0"/>
        <w:autoSpaceDN w:val="0"/>
        <w:adjustRightInd w:val="0"/>
        <w:spacing w:after="240"/>
        <w:jc w:val="both"/>
        <w:rPr>
          <w:lang w:eastAsia="pt-BR"/>
        </w:rPr>
      </w:pPr>
      <w:r w:rsidRPr="009A78D9">
        <w:lastRenderedPageBreak/>
        <w:t>TRAPP, A</w:t>
      </w:r>
      <w:r w:rsidR="005F2290">
        <w:t>.</w:t>
      </w:r>
      <w:r w:rsidRPr="009A78D9">
        <w:t xml:space="preserve"> C. G. </w:t>
      </w:r>
      <w:r w:rsidRPr="00CC5681">
        <w:rPr>
          <w:b/>
        </w:rPr>
        <w:t>A relação do conselho fiscal como componente de controle no gerenciamento de resultados contábeis.</w:t>
      </w:r>
      <w:r w:rsidRPr="00CC5681">
        <w:t xml:space="preserve"> 2009. 133 f. Tese (Doutorado)</w:t>
      </w:r>
      <w:r w:rsidR="005F2290">
        <w:t xml:space="preserve">. </w:t>
      </w:r>
      <w:r w:rsidRPr="00CC5681">
        <w:t>Universidade de São Paulo</w:t>
      </w:r>
      <w:r w:rsidR="005F2290">
        <w:t>.</w:t>
      </w:r>
      <w:r w:rsidRPr="00CC5681">
        <w:t xml:space="preserve"> </w:t>
      </w:r>
      <w:r w:rsidRPr="00CC5681">
        <w:rPr>
          <w:lang w:eastAsia="pt-BR"/>
        </w:rPr>
        <w:t>São Paulo, 2009. Disponível em: &lt;http://www.teses.usp.br/teses/disponiveis</w:t>
      </w:r>
      <w:r w:rsidR="005F2290">
        <w:rPr>
          <w:lang w:eastAsia="pt-BR"/>
        </w:rPr>
        <w:t xml:space="preserve"> </w:t>
      </w:r>
      <w:r w:rsidRPr="00CC5681">
        <w:rPr>
          <w:lang w:eastAsia="pt-BR"/>
        </w:rPr>
        <w:t>/12/12136</w:t>
      </w:r>
      <w:r w:rsidR="005F2290">
        <w:rPr>
          <w:lang w:eastAsia="pt-BR"/>
        </w:rPr>
        <w:t>/tde-08072009-160920/&gt;.</w:t>
      </w:r>
    </w:p>
    <w:p w:rsidR="00FC6E5C" w:rsidRPr="000C294C" w:rsidRDefault="000C294C" w:rsidP="000C294C">
      <w:pPr>
        <w:pStyle w:val="NormalWeb"/>
        <w:spacing w:before="0" w:beforeAutospacing="0" w:after="240" w:afterAutospacing="0"/>
        <w:jc w:val="both"/>
        <w:rPr>
          <w:lang w:val="en-US"/>
        </w:rPr>
      </w:pPr>
      <w:proofErr w:type="gramStart"/>
      <w:r w:rsidRPr="00CC5681">
        <w:rPr>
          <w:lang w:val="en-US"/>
        </w:rPr>
        <w:t>ZÜLCH, H.; PRONOBIS, P.</w:t>
      </w:r>
      <w:proofErr w:type="gramEnd"/>
      <w:r w:rsidRPr="00CC5681">
        <w:rPr>
          <w:lang w:val="en-US"/>
        </w:rPr>
        <w:t xml:space="preserve"> </w:t>
      </w:r>
      <w:proofErr w:type="gramStart"/>
      <w:r w:rsidRPr="00CC5681">
        <w:rPr>
          <w:lang w:val="en-US"/>
        </w:rPr>
        <w:t>The Predictive Power of Comprehensive Income and Its Individual Components under IFRS.</w:t>
      </w:r>
      <w:proofErr w:type="gramEnd"/>
      <w:r w:rsidRPr="00CC5681">
        <w:rPr>
          <w:lang w:val="en-US"/>
        </w:rPr>
        <w:t xml:space="preserve"> </w:t>
      </w:r>
      <w:proofErr w:type="gramStart"/>
      <w:r w:rsidR="005F2290" w:rsidRPr="005F2290">
        <w:rPr>
          <w:b/>
          <w:lang w:val="en-US"/>
        </w:rPr>
        <w:t>Problems and Perspectives in Management</w:t>
      </w:r>
      <w:r w:rsidR="005F2290" w:rsidRPr="005F2290">
        <w:rPr>
          <w:lang w:val="en-US"/>
        </w:rPr>
        <w:t xml:space="preserve"> (PPM), Forthcoming</w:t>
      </w:r>
      <w:r w:rsidR="005F2290">
        <w:rPr>
          <w:lang w:val="en-US"/>
        </w:rPr>
        <w:t>,</w:t>
      </w:r>
      <w:r w:rsidR="005F2290" w:rsidRPr="005F2290">
        <w:rPr>
          <w:lang w:val="en-US"/>
        </w:rPr>
        <w:t xml:space="preserve"> 2011.</w:t>
      </w:r>
      <w:proofErr w:type="gramEnd"/>
      <w:r w:rsidR="005F2290">
        <w:rPr>
          <w:lang w:val="en-US"/>
        </w:rPr>
        <w:t xml:space="preserve"> </w:t>
      </w:r>
      <w:proofErr w:type="spellStart"/>
      <w:r w:rsidR="005F2290">
        <w:rPr>
          <w:lang w:val="en-US"/>
        </w:rPr>
        <w:t>Disponível</w:t>
      </w:r>
      <w:proofErr w:type="spellEnd"/>
      <w:r w:rsidR="005F2290">
        <w:rPr>
          <w:lang w:val="en-US"/>
        </w:rPr>
        <w:t xml:space="preserve"> </w:t>
      </w:r>
      <w:proofErr w:type="spellStart"/>
      <w:r w:rsidR="005F2290">
        <w:rPr>
          <w:lang w:val="en-US"/>
        </w:rPr>
        <w:t>em</w:t>
      </w:r>
      <w:proofErr w:type="spellEnd"/>
      <w:r w:rsidR="005F2290">
        <w:rPr>
          <w:lang w:val="en-US"/>
        </w:rPr>
        <w:t>: &lt;</w:t>
      </w:r>
      <w:r w:rsidR="005F2290" w:rsidRPr="005F2290">
        <w:rPr>
          <w:lang w:val="en-US"/>
        </w:rPr>
        <w:t xml:space="preserve"> http://ssrn.com/abstract=1576384</w:t>
      </w:r>
      <w:r w:rsidR="005F2290">
        <w:rPr>
          <w:lang w:val="en-US"/>
        </w:rPr>
        <w:t>&gt;.</w:t>
      </w:r>
    </w:p>
    <w:sectPr w:rsidR="00FC6E5C" w:rsidRPr="000C294C" w:rsidSect="00167F61">
      <w:headerReference w:type="default" r:id="rId10"/>
      <w:footerReference w:type="default" r:id="rId11"/>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E8B" w:rsidRDefault="000D7E8B" w:rsidP="00B7301F">
      <w:r>
        <w:separator/>
      </w:r>
    </w:p>
  </w:endnote>
  <w:endnote w:type="continuationSeparator" w:id="0">
    <w:p w:rsidR="000D7E8B" w:rsidRDefault="000D7E8B" w:rsidP="00B7301F">
      <w:r>
        <w:continuationSeparator/>
      </w:r>
    </w:p>
  </w:endnote>
  <w:endnote w:type="continuationNotice" w:id="1">
    <w:p w:rsidR="000D7E8B" w:rsidRDefault="000D7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852" w:rsidRDefault="0089085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E8B" w:rsidRDefault="000D7E8B" w:rsidP="00B7301F">
      <w:r>
        <w:separator/>
      </w:r>
    </w:p>
  </w:footnote>
  <w:footnote w:type="continuationSeparator" w:id="0">
    <w:p w:rsidR="000D7E8B" w:rsidRDefault="000D7E8B" w:rsidP="00B7301F">
      <w:r>
        <w:continuationSeparator/>
      </w:r>
    </w:p>
  </w:footnote>
  <w:footnote w:type="continuationNotice" w:id="1">
    <w:p w:rsidR="000D7E8B" w:rsidRDefault="000D7E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855503"/>
      <w:docPartObj>
        <w:docPartGallery w:val="Page Numbers (Top of Page)"/>
        <w:docPartUnique/>
      </w:docPartObj>
    </w:sdtPr>
    <w:sdtContent>
      <w:p w:rsidR="00890852" w:rsidRDefault="00890852">
        <w:pPr>
          <w:pStyle w:val="Cabealho"/>
          <w:jc w:val="right"/>
        </w:pPr>
        <w:r>
          <w:fldChar w:fldCharType="begin"/>
        </w:r>
        <w:r>
          <w:instrText>PAGE   \* MERGEFORMAT</w:instrText>
        </w:r>
        <w:r>
          <w:fldChar w:fldCharType="separate"/>
        </w:r>
        <w:r w:rsidR="00CB0ED4">
          <w:rPr>
            <w:noProof/>
          </w:rPr>
          <w:t>17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1FCE"/>
    <w:multiLevelType w:val="hybridMultilevel"/>
    <w:tmpl w:val="C8B2D7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7036B5"/>
    <w:multiLevelType w:val="hybridMultilevel"/>
    <w:tmpl w:val="4036E248"/>
    <w:lvl w:ilvl="0" w:tplc="101A1800">
      <w:start w:val="1"/>
      <w:numFmt w:val="lowerRoman"/>
      <w:lvlText w:val="(%1)"/>
      <w:lvlJc w:val="left"/>
      <w:pPr>
        <w:ind w:left="1080" w:hanging="720"/>
      </w:pPr>
      <w:rPr>
        <w:rFonts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D757CDC"/>
    <w:multiLevelType w:val="hybridMultilevel"/>
    <w:tmpl w:val="89D666EE"/>
    <w:lvl w:ilvl="0" w:tplc="46A2190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3B97731"/>
    <w:multiLevelType w:val="hybridMultilevel"/>
    <w:tmpl w:val="3BFA67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060284D"/>
    <w:multiLevelType w:val="hybridMultilevel"/>
    <w:tmpl w:val="B8A6666A"/>
    <w:lvl w:ilvl="0" w:tplc="2348CF5C">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7633664"/>
    <w:multiLevelType w:val="hybridMultilevel"/>
    <w:tmpl w:val="C0283F0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8C843D7"/>
    <w:multiLevelType w:val="hybridMultilevel"/>
    <w:tmpl w:val="86A87B3E"/>
    <w:lvl w:ilvl="0" w:tplc="2348CF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D3F0976"/>
    <w:multiLevelType w:val="hybridMultilevel"/>
    <w:tmpl w:val="9E582D42"/>
    <w:lvl w:ilvl="0" w:tplc="48EA916E">
      <w:start w:val="1"/>
      <w:numFmt w:val="lowerRoman"/>
      <w:lvlText w:val="(%1)"/>
      <w:lvlJc w:val="left"/>
      <w:pPr>
        <w:ind w:left="1080" w:hanging="720"/>
      </w:pPr>
      <w:rPr>
        <w:rFonts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3201719"/>
    <w:multiLevelType w:val="hybridMultilevel"/>
    <w:tmpl w:val="BC92E03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nsid w:val="711042BA"/>
    <w:multiLevelType w:val="multilevel"/>
    <w:tmpl w:val="5798FD28"/>
    <w:lvl w:ilvl="0">
      <w:start w:val="3"/>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6"/>
  </w:num>
  <w:num w:numId="2">
    <w:abstractNumId w:val="5"/>
  </w:num>
  <w:num w:numId="3">
    <w:abstractNumId w:val="4"/>
  </w:num>
  <w:num w:numId="4">
    <w:abstractNumId w:val="2"/>
  </w:num>
  <w:num w:numId="5">
    <w:abstractNumId w:val="3"/>
  </w:num>
  <w:num w:numId="6">
    <w:abstractNumId w:val="0"/>
  </w:num>
  <w:num w:numId="7">
    <w:abstractNumId w:val="1"/>
  </w:num>
  <w:num w:numId="8">
    <w:abstractNumId w:val="7"/>
  </w:num>
  <w:num w:numId="9">
    <w:abstractNumId w:val="9"/>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go Macêdo">
    <w15:presenceInfo w15:providerId="Windows Live" w15:userId="5a1292364bcbac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BD6"/>
    <w:rsid w:val="000007C4"/>
    <w:rsid w:val="000022B2"/>
    <w:rsid w:val="00003A54"/>
    <w:rsid w:val="0000643D"/>
    <w:rsid w:val="00012650"/>
    <w:rsid w:val="0001292E"/>
    <w:rsid w:val="00013F51"/>
    <w:rsid w:val="00014208"/>
    <w:rsid w:val="00015BB1"/>
    <w:rsid w:val="0001665F"/>
    <w:rsid w:val="000201A0"/>
    <w:rsid w:val="0002191A"/>
    <w:rsid w:val="00021C09"/>
    <w:rsid w:val="000220E5"/>
    <w:rsid w:val="00027343"/>
    <w:rsid w:val="00027717"/>
    <w:rsid w:val="00027C4E"/>
    <w:rsid w:val="000311F5"/>
    <w:rsid w:val="000334D9"/>
    <w:rsid w:val="000358A2"/>
    <w:rsid w:val="00035CE5"/>
    <w:rsid w:val="00041FA0"/>
    <w:rsid w:val="00044E38"/>
    <w:rsid w:val="00047940"/>
    <w:rsid w:val="00047A80"/>
    <w:rsid w:val="0005128F"/>
    <w:rsid w:val="0005310C"/>
    <w:rsid w:val="00053791"/>
    <w:rsid w:val="000540BE"/>
    <w:rsid w:val="00055207"/>
    <w:rsid w:val="000560A4"/>
    <w:rsid w:val="000565DE"/>
    <w:rsid w:val="00056E5F"/>
    <w:rsid w:val="00057CEC"/>
    <w:rsid w:val="00061233"/>
    <w:rsid w:val="00061538"/>
    <w:rsid w:val="00061C0E"/>
    <w:rsid w:val="000631C0"/>
    <w:rsid w:val="00063B73"/>
    <w:rsid w:val="00065D6F"/>
    <w:rsid w:val="00066495"/>
    <w:rsid w:val="0006650F"/>
    <w:rsid w:val="00067F42"/>
    <w:rsid w:val="000746BC"/>
    <w:rsid w:val="00074708"/>
    <w:rsid w:val="0007498D"/>
    <w:rsid w:val="00080417"/>
    <w:rsid w:val="00080A20"/>
    <w:rsid w:val="00080ECF"/>
    <w:rsid w:val="000855EF"/>
    <w:rsid w:val="00086BB8"/>
    <w:rsid w:val="00091B08"/>
    <w:rsid w:val="00092B27"/>
    <w:rsid w:val="000A0D87"/>
    <w:rsid w:val="000A434F"/>
    <w:rsid w:val="000A5FB7"/>
    <w:rsid w:val="000A71C9"/>
    <w:rsid w:val="000B16AC"/>
    <w:rsid w:val="000B1B75"/>
    <w:rsid w:val="000B2755"/>
    <w:rsid w:val="000B4FD7"/>
    <w:rsid w:val="000B531E"/>
    <w:rsid w:val="000C01B5"/>
    <w:rsid w:val="000C1567"/>
    <w:rsid w:val="000C294C"/>
    <w:rsid w:val="000C2A2F"/>
    <w:rsid w:val="000C44C4"/>
    <w:rsid w:val="000C766D"/>
    <w:rsid w:val="000D1ECD"/>
    <w:rsid w:val="000D2910"/>
    <w:rsid w:val="000D341F"/>
    <w:rsid w:val="000D4BBF"/>
    <w:rsid w:val="000D7C2F"/>
    <w:rsid w:val="000D7E8B"/>
    <w:rsid w:val="000E0FD3"/>
    <w:rsid w:val="000E17CF"/>
    <w:rsid w:val="000E29BF"/>
    <w:rsid w:val="000E2AD1"/>
    <w:rsid w:val="000E3CE0"/>
    <w:rsid w:val="000E4F99"/>
    <w:rsid w:val="000E7047"/>
    <w:rsid w:val="000F03F7"/>
    <w:rsid w:val="000F1727"/>
    <w:rsid w:val="000F2753"/>
    <w:rsid w:val="000F2AE4"/>
    <w:rsid w:val="000F3515"/>
    <w:rsid w:val="000F38AA"/>
    <w:rsid w:val="000F54A1"/>
    <w:rsid w:val="000F69A8"/>
    <w:rsid w:val="000F6AC2"/>
    <w:rsid w:val="000F6DF7"/>
    <w:rsid w:val="000F7B10"/>
    <w:rsid w:val="000F7DC6"/>
    <w:rsid w:val="00102B63"/>
    <w:rsid w:val="00102F30"/>
    <w:rsid w:val="001031C1"/>
    <w:rsid w:val="00106369"/>
    <w:rsid w:val="001113B4"/>
    <w:rsid w:val="001131AA"/>
    <w:rsid w:val="00116BF0"/>
    <w:rsid w:val="00116CBB"/>
    <w:rsid w:val="001179E7"/>
    <w:rsid w:val="00117BA3"/>
    <w:rsid w:val="001220A9"/>
    <w:rsid w:val="00123C30"/>
    <w:rsid w:val="00125D5C"/>
    <w:rsid w:val="00125FC8"/>
    <w:rsid w:val="001278C7"/>
    <w:rsid w:val="001353E2"/>
    <w:rsid w:val="001362D0"/>
    <w:rsid w:val="00137DEB"/>
    <w:rsid w:val="001425F3"/>
    <w:rsid w:val="001434D1"/>
    <w:rsid w:val="0014355B"/>
    <w:rsid w:val="0014469E"/>
    <w:rsid w:val="0014675B"/>
    <w:rsid w:val="0014755A"/>
    <w:rsid w:val="0014798E"/>
    <w:rsid w:val="001502EF"/>
    <w:rsid w:val="00154750"/>
    <w:rsid w:val="0015512D"/>
    <w:rsid w:val="00155181"/>
    <w:rsid w:val="0015676F"/>
    <w:rsid w:val="001647C4"/>
    <w:rsid w:val="00167891"/>
    <w:rsid w:val="00167F61"/>
    <w:rsid w:val="00171970"/>
    <w:rsid w:val="001725BC"/>
    <w:rsid w:val="00173734"/>
    <w:rsid w:val="00176524"/>
    <w:rsid w:val="00180561"/>
    <w:rsid w:val="001849DA"/>
    <w:rsid w:val="00186ADD"/>
    <w:rsid w:val="00187C9A"/>
    <w:rsid w:val="00191D4A"/>
    <w:rsid w:val="00194E96"/>
    <w:rsid w:val="00195332"/>
    <w:rsid w:val="001954D7"/>
    <w:rsid w:val="001A7123"/>
    <w:rsid w:val="001A717D"/>
    <w:rsid w:val="001B0639"/>
    <w:rsid w:val="001B1B3D"/>
    <w:rsid w:val="001B2FF2"/>
    <w:rsid w:val="001C08A8"/>
    <w:rsid w:val="001C3B24"/>
    <w:rsid w:val="001C3B81"/>
    <w:rsid w:val="001C40FE"/>
    <w:rsid w:val="001C4154"/>
    <w:rsid w:val="001C49D2"/>
    <w:rsid w:val="001C6CE3"/>
    <w:rsid w:val="001C7686"/>
    <w:rsid w:val="001D1F02"/>
    <w:rsid w:val="001D2ACF"/>
    <w:rsid w:val="001D4722"/>
    <w:rsid w:val="001E13F8"/>
    <w:rsid w:val="001E54BC"/>
    <w:rsid w:val="001F13E8"/>
    <w:rsid w:val="001F13FA"/>
    <w:rsid w:val="001F162E"/>
    <w:rsid w:val="001F1926"/>
    <w:rsid w:val="001F2FEE"/>
    <w:rsid w:val="001F4694"/>
    <w:rsid w:val="001F7A4C"/>
    <w:rsid w:val="001F7B0C"/>
    <w:rsid w:val="0020099A"/>
    <w:rsid w:val="002050CA"/>
    <w:rsid w:val="002066C6"/>
    <w:rsid w:val="002102E8"/>
    <w:rsid w:val="00210408"/>
    <w:rsid w:val="002120FD"/>
    <w:rsid w:val="00212BBF"/>
    <w:rsid w:val="0021332A"/>
    <w:rsid w:val="00215102"/>
    <w:rsid w:val="00215528"/>
    <w:rsid w:val="0021591E"/>
    <w:rsid w:val="00216EA4"/>
    <w:rsid w:val="00231028"/>
    <w:rsid w:val="002336CD"/>
    <w:rsid w:val="00233823"/>
    <w:rsid w:val="00241734"/>
    <w:rsid w:val="002472AE"/>
    <w:rsid w:val="0025644D"/>
    <w:rsid w:val="00257C89"/>
    <w:rsid w:val="002614A5"/>
    <w:rsid w:val="00264B6F"/>
    <w:rsid w:val="0027028C"/>
    <w:rsid w:val="002706CF"/>
    <w:rsid w:val="00272547"/>
    <w:rsid w:val="00273DAE"/>
    <w:rsid w:val="00275930"/>
    <w:rsid w:val="002767C2"/>
    <w:rsid w:val="00280F47"/>
    <w:rsid w:val="00282761"/>
    <w:rsid w:val="0028454A"/>
    <w:rsid w:val="00285C3A"/>
    <w:rsid w:val="002902B4"/>
    <w:rsid w:val="00291ADE"/>
    <w:rsid w:val="00293656"/>
    <w:rsid w:val="00293BAB"/>
    <w:rsid w:val="00293E83"/>
    <w:rsid w:val="00295F5E"/>
    <w:rsid w:val="002969D3"/>
    <w:rsid w:val="00296C30"/>
    <w:rsid w:val="002A4865"/>
    <w:rsid w:val="002A5C17"/>
    <w:rsid w:val="002A7E8D"/>
    <w:rsid w:val="002B6D21"/>
    <w:rsid w:val="002C091D"/>
    <w:rsid w:val="002C3C6D"/>
    <w:rsid w:val="002C7E08"/>
    <w:rsid w:val="002D0CA1"/>
    <w:rsid w:val="002D1B14"/>
    <w:rsid w:val="002D421E"/>
    <w:rsid w:val="002D72BA"/>
    <w:rsid w:val="002E092B"/>
    <w:rsid w:val="002E0BE8"/>
    <w:rsid w:val="002E1FF8"/>
    <w:rsid w:val="002E3035"/>
    <w:rsid w:val="002E3808"/>
    <w:rsid w:val="002E484A"/>
    <w:rsid w:val="002F035E"/>
    <w:rsid w:val="002F0E5B"/>
    <w:rsid w:val="002F513B"/>
    <w:rsid w:val="002F589A"/>
    <w:rsid w:val="002F7BD1"/>
    <w:rsid w:val="00300634"/>
    <w:rsid w:val="00303468"/>
    <w:rsid w:val="00303706"/>
    <w:rsid w:val="00303948"/>
    <w:rsid w:val="003040E1"/>
    <w:rsid w:val="00305F16"/>
    <w:rsid w:val="00306C77"/>
    <w:rsid w:val="00307394"/>
    <w:rsid w:val="003113DC"/>
    <w:rsid w:val="00312216"/>
    <w:rsid w:val="00315236"/>
    <w:rsid w:val="00315FF9"/>
    <w:rsid w:val="003211B6"/>
    <w:rsid w:val="003236E4"/>
    <w:rsid w:val="003237BD"/>
    <w:rsid w:val="00327500"/>
    <w:rsid w:val="003312E1"/>
    <w:rsid w:val="00331E71"/>
    <w:rsid w:val="0033318D"/>
    <w:rsid w:val="00333A21"/>
    <w:rsid w:val="00336509"/>
    <w:rsid w:val="00340B74"/>
    <w:rsid w:val="003414C2"/>
    <w:rsid w:val="003423CA"/>
    <w:rsid w:val="00344507"/>
    <w:rsid w:val="00346CC2"/>
    <w:rsid w:val="003542FC"/>
    <w:rsid w:val="00356A75"/>
    <w:rsid w:val="0035778C"/>
    <w:rsid w:val="0036302F"/>
    <w:rsid w:val="00363B58"/>
    <w:rsid w:val="00363D09"/>
    <w:rsid w:val="003644DB"/>
    <w:rsid w:val="003654E1"/>
    <w:rsid w:val="00365D80"/>
    <w:rsid w:val="003716F2"/>
    <w:rsid w:val="0037243C"/>
    <w:rsid w:val="00375A64"/>
    <w:rsid w:val="00376937"/>
    <w:rsid w:val="00381D0A"/>
    <w:rsid w:val="00390C00"/>
    <w:rsid w:val="00392C09"/>
    <w:rsid w:val="00392C79"/>
    <w:rsid w:val="0039407F"/>
    <w:rsid w:val="003A2B99"/>
    <w:rsid w:val="003A389B"/>
    <w:rsid w:val="003A40C0"/>
    <w:rsid w:val="003A5285"/>
    <w:rsid w:val="003B0BFF"/>
    <w:rsid w:val="003B515D"/>
    <w:rsid w:val="003B5C32"/>
    <w:rsid w:val="003B6804"/>
    <w:rsid w:val="003B6FD2"/>
    <w:rsid w:val="003B7E66"/>
    <w:rsid w:val="003D0734"/>
    <w:rsid w:val="003D26B2"/>
    <w:rsid w:val="003D500F"/>
    <w:rsid w:val="003E67D6"/>
    <w:rsid w:val="003E7E3E"/>
    <w:rsid w:val="003F1405"/>
    <w:rsid w:val="003F4DEE"/>
    <w:rsid w:val="003F5BF2"/>
    <w:rsid w:val="003F7BB8"/>
    <w:rsid w:val="004045A4"/>
    <w:rsid w:val="004058E2"/>
    <w:rsid w:val="00411803"/>
    <w:rsid w:val="00414F56"/>
    <w:rsid w:val="00415904"/>
    <w:rsid w:val="00415D8C"/>
    <w:rsid w:val="0041619F"/>
    <w:rsid w:val="00417DDE"/>
    <w:rsid w:val="00420660"/>
    <w:rsid w:val="00421087"/>
    <w:rsid w:val="00421499"/>
    <w:rsid w:val="00421764"/>
    <w:rsid w:val="00422E7B"/>
    <w:rsid w:val="00424966"/>
    <w:rsid w:val="00424F76"/>
    <w:rsid w:val="0042572F"/>
    <w:rsid w:val="0042669C"/>
    <w:rsid w:val="004269A3"/>
    <w:rsid w:val="004275A7"/>
    <w:rsid w:val="00432C43"/>
    <w:rsid w:val="00434C6E"/>
    <w:rsid w:val="00435B39"/>
    <w:rsid w:val="00435FD8"/>
    <w:rsid w:val="0043683F"/>
    <w:rsid w:val="00441832"/>
    <w:rsid w:val="004430AD"/>
    <w:rsid w:val="00443B28"/>
    <w:rsid w:val="0044581A"/>
    <w:rsid w:val="00452473"/>
    <w:rsid w:val="00452BFA"/>
    <w:rsid w:val="0045580B"/>
    <w:rsid w:val="00457D72"/>
    <w:rsid w:val="00462E24"/>
    <w:rsid w:val="00465D13"/>
    <w:rsid w:val="0047129F"/>
    <w:rsid w:val="0047415A"/>
    <w:rsid w:val="00474DE3"/>
    <w:rsid w:val="00476D2F"/>
    <w:rsid w:val="0048156B"/>
    <w:rsid w:val="00481922"/>
    <w:rsid w:val="0048567C"/>
    <w:rsid w:val="00485D16"/>
    <w:rsid w:val="00486B86"/>
    <w:rsid w:val="0049041F"/>
    <w:rsid w:val="00495A2B"/>
    <w:rsid w:val="004975F5"/>
    <w:rsid w:val="004979D4"/>
    <w:rsid w:val="004A39B1"/>
    <w:rsid w:val="004A57F9"/>
    <w:rsid w:val="004A713A"/>
    <w:rsid w:val="004B0E0C"/>
    <w:rsid w:val="004B1329"/>
    <w:rsid w:val="004B1C70"/>
    <w:rsid w:val="004B3F89"/>
    <w:rsid w:val="004B6170"/>
    <w:rsid w:val="004B6A6D"/>
    <w:rsid w:val="004C0442"/>
    <w:rsid w:val="004C19D2"/>
    <w:rsid w:val="004C1E47"/>
    <w:rsid w:val="004C4B0A"/>
    <w:rsid w:val="004C52B1"/>
    <w:rsid w:val="004C54F8"/>
    <w:rsid w:val="004C60A9"/>
    <w:rsid w:val="004C66FE"/>
    <w:rsid w:val="004C696D"/>
    <w:rsid w:val="004C74AC"/>
    <w:rsid w:val="004D0A58"/>
    <w:rsid w:val="004D0CB4"/>
    <w:rsid w:val="004D1B69"/>
    <w:rsid w:val="004D46A1"/>
    <w:rsid w:val="004D608F"/>
    <w:rsid w:val="004D61B4"/>
    <w:rsid w:val="004D7637"/>
    <w:rsid w:val="004E0BD4"/>
    <w:rsid w:val="004E0D72"/>
    <w:rsid w:val="004E18A0"/>
    <w:rsid w:val="004E21D6"/>
    <w:rsid w:val="004E2444"/>
    <w:rsid w:val="004E46E3"/>
    <w:rsid w:val="004E664E"/>
    <w:rsid w:val="004F02BF"/>
    <w:rsid w:val="004F208C"/>
    <w:rsid w:val="004F2F8C"/>
    <w:rsid w:val="004F301A"/>
    <w:rsid w:val="004F31D5"/>
    <w:rsid w:val="004F3998"/>
    <w:rsid w:val="004F61D4"/>
    <w:rsid w:val="004F64CE"/>
    <w:rsid w:val="005001F7"/>
    <w:rsid w:val="00501E32"/>
    <w:rsid w:val="00504823"/>
    <w:rsid w:val="00505A73"/>
    <w:rsid w:val="005071AE"/>
    <w:rsid w:val="005078DA"/>
    <w:rsid w:val="00507F4A"/>
    <w:rsid w:val="0051325D"/>
    <w:rsid w:val="00522B63"/>
    <w:rsid w:val="00525C9C"/>
    <w:rsid w:val="00526316"/>
    <w:rsid w:val="00532A5F"/>
    <w:rsid w:val="00532CDC"/>
    <w:rsid w:val="00532F94"/>
    <w:rsid w:val="005350FD"/>
    <w:rsid w:val="00535B6F"/>
    <w:rsid w:val="00536B29"/>
    <w:rsid w:val="00537E66"/>
    <w:rsid w:val="00540491"/>
    <w:rsid w:val="00540DA2"/>
    <w:rsid w:val="00543987"/>
    <w:rsid w:val="0055020A"/>
    <w:rsid w:val="00550524"/>
    <w:rsid w:val="00550963"/>
    <w:rsid w:val="00551E7F"/>
    <w:rsid w:val="00553636"/>
    <w:rsid w:val="005541A5"/>
    <w:rsid w:val="00555C39"/>
    <w:rsid w:val="005561E6"/>
    <w:rsid w:val="0056063A"/>
    <w:rsid w:val="0056267C"/>
    <w:rsid w:val="00562DEB"/>
    <w:rsid w:val="0056333F"/>
    <w:rsid w:val="00565555"/>
    <w:rsid w:val="005668E3"/>
    <w:rsid w:val="00566C48"/>
    <w:rsid w:val="00567DD9"/>
    <w:rsid w:val="00567EDB"/>
    <w:rsid w:val="005707D1"/>
    <w:rsid w:val="00570DA2"/>
    <w:rsid w:val="0057164B"/>
    <w:rsid w:val="005722C3"/>
    <w:rsid w:val="00572896"/>
    <w:rsid w:val="00573102"/>
    <w:rsid w:val="0057683B"/>
    <w:rsid w:val="00576C24"/>
    <w:rsid w:val="00577CF6"/>
    <w:rsid w:val="00582D28"/>
    <w:rsid w:val="005859EB"/>
    <w:rsid w:val="005863BF"/>
    <w:rsid w:val="00586879"/>
    <w:rsid w:val="005913B4"/>
    <w:rsid w:val="005916D8"/>
    <w:rsid w:val="00591955"/>
    <w:rsid w:val="00593D68"/>
    <w:rsid w:val="00594DF7"/>
    <w:rsid w:val="005953F9"/>
    <w:rsid w:val="00597F95"/>
    <w:rsid w:val="005A235A"/>
    <w:rsid w:val="005A2DA9"/>
    <w:rsid w:val="005A41F0"/>
    <w:rsid w:val="005B0A0D"/>
    <w:rsid w:val="005B1898"/>
    <w:rsid w:val="005B272A"/>
    <w:rsid w:val="005B33AE"/>
    <w:rsid w:val="005C09F4"/>
    <w:rsid w:val="005C266D"/>
    <w:rsid w:val="005C2EC6"/>
    <w:rsid w:val="005C4A87"/>
    <w:rsid w:val="005D3445"/>
    <w:rsid w:val="005D51BB"/>
    <w:rsid w:val="005D71EC"/>
    <w:rsid w:val="005E1941"/>
    <w:rsid w:val="005E33FA"/>
    <w:rsid w:val="005E5696"/>
    <w:rsid w:val="005E5ACD"/>
    <w:rsid w:val="005E5FB9"/>
    <w:rsid w:val="005E7713"/>
    <w:rsid w:val="005E7AEB"/>
    <w:rsid w:val="005E7EE6"/>
    <w:rsid w:val="005F00EC"/>
    <w:rsid w:val="005F03EB"/>
    <w:rsid w:val="005F2290"/>
    <w:rsid w:val="005F3508"/>
    <w:rsid w:val="005F3C4F"/>
    <w:rsid w:val="005F4E94"/>
    <w:rsid w:val="00601413"/>
    <w:rsid w:val="00603DD2"/>
    <w:rsid w:val="006052A9"/>
    <w:rsid w:val="00605EE7"/>
    <w:rsid w:val="00606A38"/>
    <w:rsid w:val="006070B1"/>
    <w:rsid w:val="006073C0"/>
    <w:rsid w:val="00607442"/>
    <w:rsid w:val="006101F0"/>
    <w:rsid w:val="006120EF"/>
    <w:rsid w:val="006175C9"/>
    <w:rsid w:val="006207F1"/>
    <w:rsid w:val="006209C2"/>
    <w:rsid w:val="00624DDF"/>
    <w:rsid w:val="0062598D"/>
    <w:rsid w:val="00632F15"/>
    <w:rsid w:val="00633023"/>
    <w:rsid w:val="0064232F"/>
    <w:rsid w:val="00643EF5"/>
    <w:rsid w:val="00645024"/>
    <w:rsid w:val="00646811"/>
    <w:rsid w:val="006526F8"/>
    <w:rsid w:val="00654FF5"/>
    <w:rsid w:val="00663238"/>
    <w:rsid w:val="006634F0"/>
    <w:rsid w:val="00664337"/>
    <w:rsid w:val="0066630D"/>
    <w:rsid w:val="006667FD"/>
    <w:rsid w:val="006669AF"/>
    <w:rsid w:val="0067182E"/>
    <w:rsid w:val="00671F28"/>
    <w:rsid w:val="00675DC9"/>
    <w:rsid w:val="00684189"/>
    <w:rsid w:val="0068566A"/>
    <w:rsid w:val="00692C6A"/>
    <w:rsid w:val="0069446F"/>
    <w:rsid w:val="00696DCD"/>
    <w:rsid w:val="006A044E"/>
    <w:rsid w:val="006A1572"/>
    <w:rsid w:val="006A2A73"/>
    <w:rsid w:val="006A40A2"/>
    <w:rsid w:val="006A634E"/>
    <w:rsid w:val="006A6F59"/>
    <w:rsid w:val="006B341B"/>
    <w:rsid w:val="006B394C"/>
    <w:rsid w:val="006B3B37"/>
    <w:rsid w:val="006B44B2"/>
    <w:rsid w:val="006B77D1"/>
    <w:rsid w:val="006C02F2"/>
    <w:rsid w:val="006C221E"/>
    <w:rsid w:val="006C38FB"/>
    <w:rsid w:val="006C7D8F"/>
    <w:rsid w:val="006D3E01"/>
    <w:rsid w:val="006D4F53"/>
    <w:rsid w:val="006D5B3E"/>
    <w:rsid w:val="006E0E2D"/>
    <w:rsid w:val="006E1A8A"/>
    <w:rsid w:val="006E5616"/>
    <w:rsid w:val="006E6AB2"/>
    <w:rsid w:val="006E7443"/>
    <w:rsid w:val="006F140C"/>
    <w:rsid w:val="006F22BC"/>
    <w:rsid w:val="006F2E44"/>
    <w:rsid w:val="006F308E"/>
    <w:rsid w:val="006F6203"/>
    <w:rsid w:val="00702F36"/>
    <w:rsid w:val="0070403C"/>
    <w:rsid w:val="0070622B"/>
    <w:rsid w:val="00706AF0"/>
    <w:rsid w:val="00707020"/>
    <w:rsid w:val="0070703E"/>
    <w:rsid w:val="00707616"/>
    <w:rsid w:val="0071071D"/>
    <w:rsid w:val="00711560"/>
    <w:rsid w:val="00712021"/>
    <w:rsid w:val="00712E9D"/>
    <w:rsid w:val="00713749"/>
    <w:rsid w:val="0071397F"/>
    <w:rsid w:val="00714124"/>
    <w:rsid w:val="00716A50"/>
    <w:rsid w:val="007178AA"/>
    <w:rsid w:val="00717A92"/>
    <w:rsid w:val="00717F46"/>
    <w:rsid w:val="00723693"/>
    <w:rsid w:val="0072532A"/>
    <w:rsid w:val="007257A0"/>
    <w:rsid w:val="00726BB5"/>
    <w:rsid w:val="00727C27"/>
    <w:rsid w:val="00730B80"/>
    <w:rsid w:val="00737C03"/>
    <w:rsid w:val="00741AE8"/>
    <w:rsid w:val="0074258A"/>
    <w:rsid w:val="00744D53"/>
    <w:rsid w:val="007453EE"/>
    <w:rsid w:val="0074592A"/>
    <w:rsid w:val="00752504"/>
    <w:rsid w:val="00753FF3"/>
    <w:rsid w:val="00754650"/>
    <w:rsid w:val="007600D9"/>
    <w:rsid w:val="007618FE"/>
    <w:rsid w:val="00761D05"/>
    <w:rsid w:val="007639ED"/>
    <w:rsid w:val="00765B1E"/>
    <w:rsid w:val="00766E81"/>
    <w:rsid w:val="00770580"/>
    <w:rsid w:val="00771B53"/>
    <w:rsid w:val="007721E4"/>
    <w:rsid w:val="00776871"/>
    <w:rsid w:val="00785A79"/>
    <w:rsid w:val="007907B2"/>
    <w:rsid w:val="007907DC"/>
    <w:rsid w:val="0079095D"/>
    <w:rsid w:val="007924D2"/>
    <w:rsid w:val="00792D52"/>
    <w:rsid w:val="007936C1"/>
    <w:rsid w:val="007941A1"/>
    <w:rsid w:val="00796658"/>
    <w:rsid w:val="007A371B"/>
    <w:rsid w:val="007A4095"/>
    <w:rsid w:val="007A51F9"/>
    <w:rsid w:val="007A5597"/>
    <w:rsid w:val="007A581F"/>
    <w:rsid w:val="007A64B3"/>
    <w:rsid w:val="007B1A61"/>
    <w:rsid w:val="007B2CD5"/>
    <w:rsid w:val="007B335F"/>
    <w:rsid w:val="007B39A5"/>
    <w:rsid w:val="007B6030"/>
    <w:rsid w:val="007B722C"/>
    <w:rsid w:val="007C0220"/>
    <w:rsid w:val="007C0854"/>
    <w:rsid w:val="007C1F7C"/>
    <w:rsid w:val="007C254A"/>
    <w:rsid w:val="007C4A57"/>
    <w:rsid w:val="007C70DE"/>
    <w:rsid w:val="007C7213"/>
    <w:rsid w:val="007C7C08"/>
    <w:rsid w:val="007D254C"/>
    <w:rsid w:val="007D3F4F"/>
    <w:rsid w:val="007D5393"/>
    <w:rsid w:val="007D5D81"/>
    <w:rsid w:val="007E04E1"/>
    <w:rsid w:val="007E35C4"/>
    <w:rsid w:val="007E41C9"/>
    <w:rsid w:val="007E4A8C"/>
    <w:rsid w:val="007E4D51"/>
    <w:rsid w:val="007E56C2"/>
    <w:rsid w:val="007F30DE"/>
    <w:rsid w:val="007F4D6E"/>
    <w:rsid w:val="007F59C5"/>
    <w:rsid w:val="008033A1"/>
    <w:rsid w:val="00805CCC"/>
    <w:rsid w:val="008065C8"/>
    <w:rsid w:val="0080666F"/>
    <w:rsid w:val="00807533"/>
    <w:rsid w:val="00813303"/>
    <w:rsid w:val="00813ADF"/>
    <w:rsid w:val="008146B7"/>
    <w:rsid w:val="0081564A"/>
    <w:rsid w:val="008170AC"/>
    <w:rsid w:val="0082225E"/>
    <w:rsid w:val="0082252E"/>
    <w:rsid w:val="0082357B"/>
    <w:rsid w:val="00826A84"/>
    <w:rsid w:val="00827744"/>
    <w:rsid w:val="008304A5"/>
    <w:rsid w:val="00830647"/>
    <w:rsid w:val="00832074"/>
    <w:rsid w:val="0083310C"/>
    <w:rsid w:val="008359FA"/>
    <w:rsid w:val="00837198"/>
    <w:rsid w:val="00842513"/>
    <w:rsid w:val="008467EF"/>
    <w:rsid w:val="00850179"/>
    <w:rsid w:val="00850E6F"/>
    <w:rsid w:val="00852D76"/>
    <w:rsid w:val="008537DE"/>
    <w:rsid w:val="00855AF3"/>
    <w:rsid w:val="0085741A"/>
    <w:rsid w:val="008606D3"/>
    <w:rsid w:val="00862B36"/>
    <w:rsid w:val="0086471C"/>
    <w:rsid w:val="008716DA"/>
    <w:rsid w:val="008723E3"/>
    <w:rsid w:val="008740C4"/>
    <w:rsid w:val="008744E3"/>
    <w:rsid w:val="00874596"/>
    <w:rsid w:val="00880978"/>
    <w:rsid w:val="00880B40"/>
    <w:rsid w:val="00886801"/>
    <w:rsid w:val="00887DE2"/>
    <w:rsid w:val="0089016C"/>
    <w:rsid w:val="00890852"/>
    <w:rsid w:val="00890BB1"/>
    <w:rsid w:val="008925E4"/>
    <w:rsid w:val="00895AF2"/>
    <w:rsid w:val="00896924"/>
    <w:rsid w:val="008A1423"/>
    <w:rsid w:val="008A19D2"/>
    <w:rsid w:val="008A3D7F"/>
    <w:rsid w:val="008A4BAD"/>
    <w:rsid w:val="008A5FA4"/>
    <w:rsid w:val="008A69CA"/>
    <w:rsid w:val="008A7158"/>
    <w:rsid w:val="008B1323"/>
    <w:rsid w:val="008B15CF"/>
    <w:rsid w:val="008B1690"/>
    <w:rsid w:val="008B5814"/>
    <w:rsid w:val="008B5B2F"/>
    <w:rsid w:val="008B5CF8"/>
    <w:rsid w:val="008B6D5A"/>
    <w:rsid w:val="008B7AC8"/>
    <w:rsid w:val="008B7F34"/>
    <w:rsid w:val="008C0014"/>
    <w:rsid w:val="008C1D08"/>
    <w:rsid w:val="008D10CE"/>
    <w:rsid w:val="008D3AFE"/>
    <w:rsid w:val="008D6686"/>
    <w:rsid w:val="008D6906"/>
    <w:rsid w:val="008D6D0D"/>
    <w:rsid w:val="008E54D9"/>
    <w:rsid w:val="008E64B6"/>
    <w:rsid w:val="008E65BC"/>
    <w:rsid w:val="00903917"/>
    <w:rsid w:val="00903B89"/>
    <w:rsid w:val="00904905"/>
    <w:rsid w:val="00910AC7"/>
    <w:rsid w:val="0091172D"/>
    <w:rsid w:val="00911879"/>
    <w:rsid w:val="0091504D"/>
    <w:rsid w:val="009163E2"/>
    <w:rsid w:val="00917B6C"/>
    <w:rsid w:val="00917DD8"/>
    <w:rsid w:val="00917FFE"/>
    <w:rsid w:val="0092038A"/>
    <w:rsid w:val="00920A1C"/>
    <w:rsid w:val="00922134"/>
    <w:rsid w:val="009264EF"/>
    <w:rsid w:val="009341F3"/>
    <w:rsid w:val="009362EC"/>
    <w:rsid w:val="00941002"/>
    <w:rsid w:val="00947D9D"/>
    <w:rsid w:val="00954446"/>
    <w:rsid w:val="00962FA7"/>
    <w:rsid w:val="009650A6"/>
    <w:rsid w:val="00971445"/>
    <w:rsid w:val="00972771"/>
    <w:rsid w:val="009751A1"/>
    <w:rsid w:val="00975938"/>
    <w:rsid w:val="00976198"/>
    <w:rsid w:val="00980BE6"/>
    <w:rsid w:val="00983C55"/>
    <w:rsid w:val="00983E8D"/>
    <w:rsid w:val="009855B4"/>
    <w:rsid w:val="009867C7"/>
    <w:rsid w:val="00986CB4"/>
    <w:rsid w:val="009912EF"/>
    <w:rsid w:val="009938BB"/>
    <w:rsid w:val="00994BFD"/>
    <w:rsid w:val="00995249"/>
    <w:rsid w:val="00996C07"/>
    <w:rsid w:val="009A0A30"/>
    <w:rsid w:val="009A1085"/>
    <w:rsid w:val="009A1E91"/>
    <w:rsid w:val="009A21BB"/>
    <w:rsid w:val="009A3FBF"/>
    <w:rsid w:val="009A78D9"/>
    <w:rsid w:val="009B2285"/>
    <w:rsid w:val="009B293A"/>
    <w:rsid w:val="009B2EA8"/>
    <w:rsid w:val="009B437D"/>
    <w:rsid w:val="009B5616"/>
    <w:rsid w:val="009B58AC"/>
    <w:rsid w:val="009B712C"/>
    <w:rsid w:val="009B7835"/>
    <w:rsid w:val="009B79FE"/>
    <w:rsid w:val="009B7ECE"/>
    <w:rsid w:val="009C2130"/>
    <w:rsid w:val="009C4595"/>
    <w:rsid w:val="009C59D5"/>
    <w:rsid w:val="009C5C5D"/>
    <w:rsid w:val="009C648E"/>
    <w:rsid w:val="009D25AD"/>
    <w:rsid w:val="009D2F53"/>
    <w:rsid w:val="009D35AD"/>
    <w:rsid w:val="009D3997"/>
    <w:rsid w:val="009D3A29"/>
    <w:rsid w:val="009E0031"/>
    <w:rsid w:val="009E283B"/>
    <w:rsid w:val="009E5E2B"/>
    <w:rsid w:val="009E630F"/>
    <w:rsid w:val="009F1A3F"/>
    <w:rsid w:val="009F259A"/>
    <w:rsid w:val="009F3B42"/>
    <w:rsid w:val="009F4ADD"/>
    <w:rsid w:val="009F61A3"/>
    <w:rsid w:val="00A0045E"/>
    <w:rsid w:val="00A02A84"/>
    <w:rsid w:val="00A0435E"/>
    <w:rsid w:val="00A060AD"/>
    <w:rsid w:val="00A11446"/>
    <w:rsid w:val="00A11CAF"/>
    <w:rsid w:val="00A1497A"/>
    <w:rsid w:val="00A2631D"/>
    <w:rsid w:val="00A265A7"/>
    <w:rsid w:val="00A2731B"/>
    <w:rsid w:val="00A274E3"/>
    <w:rsid w:val="00A32C6B"/>
    <w:rsid w:val="00A340CD"/>
    <w:rsid w:val="00A34192"/>
    <w:rsid w:val="00A34A0D"/>
    <w:rsid w:val="00A350D0"/>
    <w:rsid w:val="00A3541E"/>
    <w:rsid w:val="00A35CFB"/>
    <w:rsid w:val="00A40BDB"/>
    <w:rsid w:val="00A41385"/>
    <w:rsid w:val="00A43510"/>
    <w:rsid w:val="00A4423A"/>
    <w:rsid w:val="00A45798"/>
    <w:rsid w:val="00A5276F"/>
    <w:rsid w:val="00A551DA"/>
    <w:rsid w:val="00A56A9D"/>
    <w:rsid w:val="00A57122"/>
    <w:rsid w:val="00A618FE"/>
    <w:rsid w:val="00A61973"/>
    <w:rsid w:val="00A64196"/>
    <w:rsid w:val="00A67153"/>
    <w:rsid w:val="00A6722F"/>
    <w:rsid w:val="00A67EAB"/>
    <w:rsid w:val="00A712BA"/>
    <w:rsid w:val="00A716E0"/>
    <w:rsid w:val="00A71CA2"/>
    <w:rsid w:val="00A72563"/>
    <w:rsid w:val="00A75D37"/>
    <w:rsid w:val="00A8235C"/>
    <w:rsid w:val="00A83541"/>
    <w:rsid w:val="00A8368E"/>
    <w:rsid w:val="00A83E0E"/>
    <w:rsid w:val="00A84F6B"/>
    <w:rsid w:val="00A9338F"/>
    <w:rsid w:val="00A93580"/>
    <w:rsid w:val="00A94E10"/>
    <w:rsid w:val="00A95910"/>
    <w:rsid w:val="00A95BC2"/>
    <w:rsid w:val="00AA14E8"/>
    <w:rsid w:val="00AA1FEA"/>
    <w:rsid w:val="00AA30ED"/>
    <w:rsid w:val="00AA32F6"/>
    <w:rsid w:val="00AA7BE3"/>
    <w:rsid w:val="00AB03F6"/>
    <w:rsid w:val="00AB04E2"/>
    <w:rsid w:val="00AB086C"/>
    <w:rsid w:val="00AB3540"/>
    <w:rsid w:val="00AB3B8E"/>
    <w:rsid w:val="00AB45D7"/>
    <w:rsid w:val="00AB5E85"/>
    <w:rsid w:val="00AB64EE"/>
    <w:rsid w:val="00AB71D4"/>
    <w:rsid w:val="00AB7445"/>
    <w:rsid w:val="00AB7FC4"/>
    <w:rsid w:val="00AC2371"/>
    <w:rsid w:val="00AC34CE"/>
    <w:rsid w:val="00AC405D"/>
    <w:rsid w:val="00AC4120"/>
    <w:rsid w:val="00AD2831"/>
    <w:rsid w:val="00AD305F"/>
    <w:rsid w:val="00AD4BEC"/>
    <w:rsid w:val="00AE3404"/>
    <w:rsid w:val="00AE3C47"/>
    <w:rsid w:val="00AE6BE6"/>
    <w:rsid w:val="00AF3001"/>
    <w:rsid w:val="00AF43C8"/>
    <w:rsid w:val="00AF4F7A"/>
    <w:rsid w:val="00AF6102"/>
    <w:rsid w:val="00AF662F"/>
    <w:rsid w:val="00B01155"/>
    <w:rsid w:val="00B019A6"/>
    <w:rsid w:val="00B03325"/>
    <w:rsid w:val="00B03D31"/>
    <w:rsid w:val="00B04CAD"/>
    <w:rsid w:val="00B05878"/>
    <w:rsid w:val="00B05E88"/>
    <w:rsid w:val="00B07482"/>
    <w:rsid w:val="00B07557"/>
    <w:rsid w:val="00B076E3"/>
    <w:rsid w:val="00B15F32"/>
    <w:rsid w:val="00B213F6"/>
    <w:rsid w:val="00B21A37"/>
    <w:rsid w:val="00B31779"/>
    <w:rsid w:val="00B31B16"/>
    <w:rsid w:val="00B324E5"/>
    <w:rsid w:val="00B33FC1"/>
    <w:rsid w:val="00B34B3D"/>
    <w:rsid w:val="00B37C4D"/>
    <w:rsid w:val="00B42912"/>
    <w:rsid w:val="00B459A9"/>
    <w:rsid w:val="00B50F7D"/>
    <w:rsid w:val="00B51E9D"/>
    <w:rsid w:val="00B51FC3"/>
    <w:rsid w:val="00B52115"/>
    <w:rsid w:val="00B547C8"/>
    <w:rsid w:val="00B54C6E"/>
    <w:rsid w:val="00B614A1"/>
    <w:rsid w:val="00B664C8"/>
    <w:rsid w:val="00B70566"/>
    <w:rsid w:val="00B723BB"/>
    <w:rsid w:val="00B7301F"/>
    <w:rsid w:val="00B73BD5"/>
    <w:rsid w:val="00B73FCA"/>
    <w:rsid w:val="00B7536A"/>
    <w:rsid w:val="00B75C03"/>
    <w:rsid w:val="00B77AE8"/>
    <w:rsid w:val="00B82ADD"/>
    <w:rsid w:val="00B84EAD"/>
    <w:rsid w:val="00B859A1"/>
    <w:rsid w:val="00B8668A"/>
    <w:rsid w:val="00B90519"/>
    <w:rsid w:val="00B90785"/>
    <w:rsid w:val="00B90E84"/>
    <w:rsid w:val="00B927EB"/>
    <w:rsid w:val="00B96FA4"/>
    <w:rsid w:val="00BA050F"/>
    <w:rsid w:val="00BA0681"/>
    <w:rsid w:val="00BA311A"/>
    <w:rsid w:val="00BA4B46"/>
    <w:rsid w:val="00BB1776"/>
    <w:rsid w:val="00BB29A2"/>
    <w:rsid w:val="00BB712E"/>
    <w:rsid w:val="00BC0F08"/>
    <w:rsid w:val="00BC1AB0"/>
    <w:rsid w:val="00BC348E"/>
    <w:rsid w:val="00BC5634"/>
    <w:rsid w:val="00BC56B8"/>
    <w:rsid w:val="00BC71BE"/>
    <w:rsid w:val="00BC7509"/>
    <w:rsid w:val="00BD2543"/>
    <w:rsid w:val="00BD2BDD"/>
    <w:rsid w:val="00BD2DBB"/>
    <w:rsid w:val="00BD3304"/>
    <w:rsid w:val="00BD44D5"/>
    <w:rsid w:val="00BD5387"/>
    <w:rsid w:val="00BD61CC"/>
    <w:rsid w:val="00BE30B7"/>
    <w:rsid w:val="00BE4958"/>
    <w:rsid w:val="00BE5442"/>
    <w:rsid w:val="00BF1AE8"/>
    <w:rsid w:val="00BF2D08"/>
    <w:rsid w:val="00BF5C3B"/>
    <w:rsid w:val="00BF6764"/>
    <w:rsid w:val="00BF724D"/>
    <w:rsid w:val="00BF7F72"/>
    <w:rsid w:val="00C02221"/>
    <w:rsid w:val="00C03FC8"/>
    <w:rsid w:val="00C041CC"/>
    <w:rsid w:val="00C058D9"/>
    <w:rsid w:val="00C05C71"/>
    <w:rsid w:val="00C06401"/>
    <w:rsid w:val="00C065F2"/>
    <w:rsid w:val="00C0679C"/>
    <w:rsid w:val="00C06A14"/>
    <w:rsid w:val="00C106C1"/>
    <w:rsid w:val="00C10C47"/>
    <w:rsid w:val="00C12747"/>
    <w:rsid w:val="00C12794"/>
    <w:rsid w:val="00C15893"/>
    <w:rsid w:val="00C17976"/>
    <w:rsid w:val="00C20621"/>
    <w:rsid w:val="00C21F17"/>
    <w:rsid w:val="00C24636"/>
    <w:rsid w:val="00C251D8"/>
    <w:rsid w:val="00C26179"/>
    <w:rsid w:val="00C26994"/>
    <w:rsid w:val="00C26C19"/>
    <w:rsid w:val="00C27858"/>
    <w:rsid w:val="00C30CE3"/>
    <w:rsid w:val="00C31147"/>
    <w:rsid w:val="00C3117B"/>
    <w:rsid w:val="00C312C5"/>
    <w:rsid w:val="00C32424"/>
    <w:rsid w:val="00C3242B"/>
    <w:rsid w:val="00C37597"/>
    <w:rsid w:val="00C37D60"/>
    <w:rsid w:val="00C40B05"/>
    <w:rsid w:val="00C411FB"/>
    <w:rsid w:val="00C419BC"/>
    <w:rsid w:val="00C42C32"/>
    <w:rsid w:val="00C42E1A"/>
    <w:rsid w:val="00C43AD3"/>
    <w:rsid w:val="00C4647C"/>
    <w:rsid w:val="00C50245"/>
    <w:rsid w:val="00C50DFF"/>
    <w:rsid w:val="00C526DC"/>
    <w:rsid w:val="00C5276A"/>
    <w:rsid w:val="00C5382C"/>
    <w:rsid w:val="00C57796"/>
    <w:rsid w:val="00C61AB0"/>
    <w:rsid w:val="00C64619"/>
    <w:rsid w:val="00C67F38"/>
    <w:rsid w:val="00C70E3C"/>
    <w:rsid w:val="00C71401"/>
    <w:rsid w:val="00C71F28"/>
    <w:rsid w:val="00C75C1A"/>
    <w:rsid w:val="00C81D7E"/>
    <w:rsid w:val="00C90C9A"/>
    <w:rsid w:val="00C91050"/>
    <w:rsid w:val="00C9315D"/>
    <w:rsid w:val="00C94321"/>
    <w:rsid w:val="00CA0170"/>
    <w:rsid w:val="00CA3EE2"/>
    <w:rsid w:val="00CA69DA"/>
    <w:rsid w:val="00CB08B5"/>
    <w:rsid w:val="00CB0ED4"/>
    <w:rsid w:val="00CB11FA"/>
    <w:rsid w:val="00CB239D"/>
    <w:rsid w:val="00CB2D6F"/>
    <w:rsid w:val="00CB3B31"/>
    <w:rsid w:val="00CB3EAE"/>
    <w:rsid w:val="00CC15B9"/>
    <w:rsid w:val="00CC2DEB"/>
    <w:rsid w:val="00CC5463"/>
    <w:rsid w:val="00CC7AE1"/>
    <w:rsid w:val="00CD7588"/>
    <w:rsid w:val="00CD787C"/>
    <w:rsid w:val="00CE2D72"/>
    <w:rsid w:val="00CE43A8"/>
    <w:rsid w:val="00CE4AEC"/>
    <w:rsid w:val="00CE53D6"/>
    <w:rsid w:val="00CE77B5"/>
    <w:rsid w:val="00CE7972"/>
    <w:rsid w:val="00CE7F0C"/>
    <w:rsid w:val="00CF2AEC"/>
    <w:rsid w:val="00CF617B"/>
    <w:rsid w:val="00D01AF6"/>
    <w:rsid w:val="00D03CBA"/>
    <w:rsid w:val="00D1157A"/>
    <w:rsid w:val="00D12AD7"/>
    <w:rsid w:val="00D14229"/>
    <w:rsid w:val="00D1518F"/>
    <w:rsid w:val="00D15B25"/>
    <w:rsid w:val="00D23B98"/>
    <w:rsid w:val="00D265FF"/>
    <w:rsid w:val="00D26E1C"/>
    <w:rsid w:val="00D27619"/>
    <w:rsid w:val="00D35D6D"/>
    <w:rsid w:val="00D374A4"/>
    <w:rsid w:val="00D40199"/>
    <w:rsid w:val="00D428FB"/>
    <w:rsid w:val="00D4303F"/>
    <w:rsid w:val="00D436E8"/>
    <w:rsid w:val="00D44A73"/>
    <w:rsid w:val="00D52906"/>
    <w:rsid w:val="00D545F0"/>
    <w:rsid w:val="00D56563"/>
    <w:rsid w:val="00D568D7"/>
    <w:rsid w:val="00D57A8F"/>
    <w:rsid w:val="00D6036A"/>
    <w:rsid w:val="00D627F5"/>
    <w:rsid w:val="00D62A5E"/>
    <w:rsid w:val="00D62E60"/>
    <w:rsid w:val="00D633D3"/>
    <w:rsid w:val="00D646A2"/>
    <w:rsid w:val="00D67964"/>
    <w:rsid w:val="00D70DDB"/>
    <w:rsid w:val="00D730CD"/>
    <w:rsid w:val="00D76F2A"/>
    <w:rsid w:val="00D77CF2"/>
    <w:rsid w:val="00D839C3"/>
    <w:rsid w:val="00D907C6"/>
    <w:rsid w:val="00D9263C"/>
    <w:rsid w:val="00D93CA9"/>
    <w:rsid w:val="00D95A28"/>
    <w:rsid w:val="00D968B1"/>
    <w:rsid w:val="00D978B1"/>
    <w:rsid w:val="00DA298D"/>
    <w:rsid w:val="00DA3312"/>
    <w:rsid w:val="00DA4164"/>
    <w:rsid w:val="00DA5AF6"/>
    <w:rsid w:val="00DB0255"/>
    <w:rsid w:val="00DB08F5"/>
    <w:rsid w:val="00DB1D84"/>
    <w:rsid w:val="00DB41CE"/>
    <w:rsid w:val="00DB4E0D"/>
    <w:rsid w:val="00DB606C"/>
    <w:rsid w:val="00DB6277"/>
    <w:rsid w:val="00DC0C57"/>
    <w:rsid w:val="00DC3007"/>
    <w:rsid w:val="00DC4EA3"/>
    <w:rsid w:val="00DC6FD3"/>
    <w:rsid w:val="00DD0647"/>
    <w:rsid w:val="00DD1268"/>
    <w:rsid w:val="00DD1513"/>
    <w:rsid w:val="00DD5B96"/>
    <w:rsid w:val="00DD6BB9"/>
    <w:rsid w:val="00DD72D0"/>
    <w:rsid w:val="00DD7D55"/>
    <w:rsid w:val="00DE08C1"/>
    <w:rsid w:val="00DE2C5B"/>
    <w:rsid w:val="00DE344A"/>
    <w:rsid w:val="00DE549E"/>
    <w:rsid w:val="00DE5745"/>
    <w:rsid w:val="00DF0EB1"/>
    <w:rsid w:val="00DF17B4"/>
    <w:rsid w:val="00DF24EA"/>
    <w:rsid w:val="00DF3F13"/>
    <w:rsid w:val="00DF65CE"/>
    <w:rsid w:val="00E01DA9"/>
    <w:rsid w:val="00E04AE5"/>
    <w:rsid w:val="00E10C55"/>
    <w:rsid w:val="00E12231"/>
    <w:rsid w:val="00E1245C"/>
    <w:rsid w:val="00E175EA"/>
    <w:rsid w:val="00E17FD4"/>
    <w:rsid w:val="00E17FFE"/>
    <w:rsid w:val="00E20FD3"/>
    <w:rsid w:val="00E23E98"/>
    <w:rsid w:val="00E2413E"/>
    <w:rsid w:val="00E25684"/>
    <w:rsid w:val="00E26FA0"/>
    <w:rsid w:val="00E307AB"/>
    <w:rsid w:val="00E32D99"/>
    <w:rsid w:val="00E40F80"/>
    <w:rsid w:val="00E4169F"/>
    <w:rsid w:val="00E42567"/>
    <w:rsid w:val="00E450CD"/>
    <w:rsid w:val="00E45BFD"/>
    <w:rsid w:val="00E4628C"/>
    <w:rsid w:val="00E55242"/>
    <w:rsid w:val="00E55373"/>
    <w:rsid w:val="00E56B74"/>
    <w:rsid w:val="00E60259"/>
    <w:rsid w:val="00E64BC6"/>
    <w:rsid w:val="00E6513D"/>
    <w:rsid w:val="00E674BB"/>
    <w:rsid w:val="00E70BD6"/>
    <w:rsid w:val="00E71DFF"/>
    <w:rsid w:val="00E74F4D"/>
    <w:rsid w:val="00E80DB7"/>
    <w:rsid w:val="00E8257A"/>
    <w:rsid w:val="00E833F3"/>
    <w:rsid w:val="00E83D16"/>
    <w:rsid w:val="00E84191"/>
    <w:rsid w:val="00E85411"/>
    <w:rsid w:val="00E914FB"/>
    <w:rsid w:val="00E92978"/>
    <w:rsid w:val="00E92B8C"/>
    <w:rsid w:val="00E948BF"/>
    <w:rsid w:val="00EA1A3C"/>
    <w:rsid w:val="00EA4C03"/>
    <w:rsid w:val="00EA7FD9"/>
    <w:rsid w:val="00EB11E6"/>
    <w:rsid w:val="00EB2876"/>
    <w:rsid w:val="00EB464C"/>
    <w:rsid w:val="00EB4747"/>
    <w:rsid w:val="00EC44FF"/>
    <w:rsid w:val="00EC4DB4"/>
    <w:rsid w:val="00EC53A7"/>
    <w:rsid w:val="00EC73A5"/>
    <w:rsid w:val="00ED4F9F"/>
    <w:rsid w:val="00ED66FB"/>
    <w:rsid w:val="00EE2CA1"/>
    <w:rsid w:val="00EE79A7"/>
    <w:rsid w:val="00EF0F52"/>
    <w:rsid w:val="00EF48A4"/>
    <w:rsid w:val="00F005CB"/>
    <w:rsid w:val="00F03330"/>
    <w:rsid w:val="00F04A1E"/>
    <w:rsid w:val="00F05AF9"/>
    <w:rsid w:val="00F0794E"/>
    <w:rsid w:val="00F100BC"/>
    <w:rsid w:val="00F1024A"/>
    <w:rsid w:val="00F10E09"/>
    <w:rsid w:val="00F138E6"/>
    <w:rsid w:val="00F146A9"/>
    <w:rsid w:val="00F206FA"/>
    <w:rsid w:val="00F21176"/>
    <w:rsid w:val="00F21833"/>
    <w:rsid w:val="00F221A4"/>
    <w:rsid w:val="00F23CED"/>
    <w:rsid w:val="00F250A5"/>
    <w:rsid w:val="00F25B83"/>
    <w:rsid w:val="00F263B8"/>
    <w:rsid w:val="00F267F5"/>
    <w:rsid w:val="00F271C6"/>
    <w:rsid w:val="00F31ED1"/>
    <w:rsid w:val="00F32641"/>
    <w:rsid w:val="00F3290F"/>
    <w:rsid w:val="00F33E4B"/>
    <w:rsid w:val="00F370D1"/>
    <w:rsid w:val="00F377D0"/>
    <w:rsid w:val="00F37A04"/>
    <w:rsid w:val="00F37B82"/>
    <w:rsid w:val="00F37DCD"/>
    <w:rsid w:val="00F41C05"/>
    <w:rsid w:val="00F41DA5"/>
    <w:rsid w:val="00F4423F"/>
    <w:rsid w:val="00F45985"/>
    <w:rsid w:val="00F46B19"/>
    <w:rsid w:val="00F47FD4"/>
    <w:rsid w:val="00F50C4B"/>
    <w:rsid w:val="00F51A0C"/>
    <w:rsid w:val="00F53227"/>
    <w:rsid w:val="00F53D2D"/>
    <w:rsid w:val="00F55F19"/>
    <w:rsid w:val="00F63948"/>
    <w:rsid w:val="00F64128"/>
    <w:rsid w:val="00F6480D"/>
    <w:rsid w:val="00F65451"/>
    <w:rsid w:val="00F65EE1"/>
    <w:rsid w:val="00F719D0"/>
    <w:rsid w:val="00F72051"/>
    <w:rsid w:val="00F73179"/>
    <w:rsid w:val="00F732A6"/>
    <w:rsid w:val="00F73431"/>
    <w:rsid w:val="00F801CB"/>
    <w:rsid w:val="00F808D2"/>
    <w:rsid w:val="00F809FB"/>
    <w:rsid w:val="00F81C19"/>
    <w:rsid w:val="00F82991"/>
    <w:rsid w:val="00F83043"/>
    <w:rsid w:val="00F86F69"/>
    <w:rsid w:val="00F87637"/>
    <w:rsid w:val="00F934C7"/>
    <w:rsid w:val="00F94BE2"/>
    <w:rsid w:val="00F9646F"/>
    <w:rsid w:val="00FA0934"/>
    <w:rsid w:val="00FA0BE8"/>
    <w:rsid w:val="00FA0C42"/>
    <w:rsid w:val="00FA21A5"/>
    <w:rsid w:val="00FA4660"/>
    <w:rsid w:val="00FA5602"/>
    <w:rsid w:val="00FA6086"/>
    <w:rsid w:val="00FA74F1"/>
    <w:rsid w:val="00FA7868"/>
    <w:rsid w:val="00FB05CD"/>
    <w:rsid w:val="00FB0AEE"/>
    <w:rsid w:val="00FB0C7A"/>
    <w:rsid w:val="00FB15C4"/>
    <w:rsid w:val="00FB1893"/>
    <w:rsid w:val="00FB2700"/>
    <w:rsid w:val="00FB677E"/>
    <w:rsid w:val="00FB767F"/>
    <w:rsid w:val="00FC049F"/>
    <w:rsid w:val="00FC069B"/>
    <w:rsid w:val="00FC2FC5"/>
    <w:rsid w:val="00FC31FB"/>
    <w:rsid w:val="00FC54B7"/>
    <w:rsid w:val="00FC6E5C"/>
    <w:rsid w:val="00FE0523"/>
    <w:rsid w:val="00FE0E74"/>
    <w:rsid w:val="00FE11F8"/>
    <w:rsid w:val="00FE23F8"/>
    <w:rsid w:val="00FE5710"/>
    <w:rsid w:val="00FE6546"/>
    <w:rsid w:val="00FF1017"/>
    <w:rsid w:val="00FF19D6"/>
    <w:rsid w:val="00FF2F2F"/>
    <w:rsid w:val="00FF65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4D1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15512D"/>
    <w:pPr>
      <w:spacing w:before="100" w:beforeAutospacing="1" w:after="100" w:afterAutospacing="1"/>
      <w:outlineLvl w:val="2"/>
    </w:pPr>
    <w:rPr>
      <w:rFonts w:eastAsia="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F03F7"/>
    <w:rPr>
      <w:rFonts w:ascii="Tahoma" w:hAnsi="Tahoma" w:cs="Tahoma"/>
      <w:sz w:val="16"/>
      <w:szCs w:val="16"/>
    </w:rPr>
  </w:style>
  <w:style w:type="character" w:customStyle="1" w:styleId="TextodebaloChar">
    <w:name w:val="Texto de balão Char"/>
    <w:basedOn w:val="Fontepargpadro"/>
    <w:link w:val="Textodebalo"/>
    <w:uiPriority w:val="99"/>
    <w:semiHidden/>
    <w:rsid w:val="000F03F7"/>
    <w:rPr>
      <w:rFonts w:ascii="Tahoma" w:hAnsi="Tahoma" w:cs="Tahoma"/>
      <w:sz w:val="16"/>
      <w:szCs w:val="16"/>
    </w:rPr>
  </w:style>
  <w:style w:type="character" w:styleId="TextodoEspaoReservado">
    <w:name w:val="Placeholder Text"/>
    <w:basedOn w:val="Fontepargpadro"/>
    <w:uiPriority w:val="99"/>
    <w:semiHidden/>
    <w:rsid w:val="000F03F7"/>
    <w:rPr>
      <w:color w:val="808080"/>
    </w:rPr>
  </w:style>
  <w:style w:type="table" w:styleId="Tabelacomgrade">
    <w:name w:val="Table Grid"/>
    <w:basedOn w:val="Tabelanormal"/>
    <w:uiPriority w:val="59"/>
    <w:rsid w:val="002336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167F61"/>
    <w:pPr>
      <w:ind w:left="720"/>
      <w:contextualSpacing/>
    </w:pPr>
  </w:style>
  <w:style w:type="paragraph" w:styleId="NormalWeb">
    <w:name w:val="Normal (Web)"/>
    <w:basedOn w:val="Normal"/>
    <w:uiPriority w:val="99"/>
    <w:unhideWhenUsed/>
    <w:rsid w:val="00CE4AEC"/>
    <w:pPr>
      <w:spacing w:before="100" w:beforeAutospacing="1" w:after="100" w:afterAutospacing="1"/>
    </w:pPr>
    <w:rPr>
      <w:rFonts w:eastAsiaTheme="minorEastAsia" w:cs="Times New Roman"/>
      <w:szCs w:val="24"/>
      <w:lang w:eastAsia="pt-BR"/>
    </w:rPr>
  </w:style>
  <w:style w:type="paragraph" w:customStyle="1" w:styleId="Default">
    <w:name w:val="Default"/>
    <w:rsid w:val="00FA0934"/>
    <w:pPr>
      <w:autoSpaceDE w:val="0"/>
      <w:autoSpaceDN w:val="0"/>
      <w:adjustRightInd w:val="0"/>
    </w:pPr>
    <w:rPr>
      <w:rFonts w:cs="Times New Roman"/>
      <w:color w:val="000000"/>
      <w:szCs w:val="24"/>
    </w:rPr>
  </w:style>
  <w:style w:type="character" w:customStyle="1" w:styleId="hps">
    <w:name w:val="hps"/>
    <w:basedOn w:val="Fontepargpadro"/>
    <w:rsid w:val="005071AE"/>
  </w:style>
  <w:style w:type="table" w:customStyle="1" w:styleId="TabelaSimples21">
    <w:name w:val="Tabela Simples 21"/>
    <w:basedOn w:val="Tabelanormal"/>
    <w:uiPriority w:val="42"/>
    <w:rsid w:val="00DB1D8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formataoHTML">
    <w:name w:val="HTML Preformatted"/>
    <w:basedOn w:val="Normal"/>
    <w:link w:val="Pr-formataoHTMLChar"/>
    <w:uiPriority w:val="99"/>
    <w:unhideWhenUsed/>
    <w:rsid w:val="00DB1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DB1D84"/>
    <w:rPr>
      <w:rFonts w:ascii="Courier New" w:eastAsia="Times New Roman" w:hAnsi="Courier New" w:cs="Courier New"/>
      <w:sz w:val="20"/>
      <w:szCs w:val="20"/>
      <w:lang w:eastAsia="pt-BR"/>
    </w:rPr>
  </w:style>
  <w:style w:type="table" w:customStyle="1" w:styleId="TabelaSimples11">
    <w:name w:val="Tabela Simples 11"/>
    <w:basedOn w:val="Tabelanormal"/>
    <w:uiPriority w:val="41"/>
    <w:rsid w:val="00712E9D"/>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3Char">
    <w:name w:val="Título 3 Char"/>
    <w:basedOn w:val="Fontepargpadro"/>
    <w:link w:val="Ttulo3"/>
    <w:uiPriority w:val="9"/>
    <w:rsid w:val="0015512D"/>
    <w:rPr>
      <w:rFonts w:eastAsia="Times New Roman" w:cs="Times New Roman"/>
      <w:b/>
      <w:bCs/>
      <w:sz w:val="27"/>
      <w:szCs w:val="27"/>
      <w:lang w:eastAsia="pt-BR"/>
    </w:rPr>
  </w:style>
  <w:style w:type="paragraph" w:styleId="Cabealho">
    <w:name w:val="header"/>
    <w:basedOn w:val="Normal"/>
    <w:link w:val="CabealhoChar"/>
    <w:uiPriority w:val="99"/>
    <w:unhideWhenUsed/>
    <w:rsid w:val="00B7301F"/>
    <w:pPr>
      <w:tabs>
        <w:tab w:val="center" w:pos="4252"/>
        <w:tab w:val="right" w:pos="8504"/>
      </w:tabs>
    </w:pPr>
  </w:style>
  <w:style w:type="character" w:customStyle="1" w:styleId="CabealhoChar">
    <w:name w:val="Cabeçalho Char"/>
    <w:basedOn w:val="Fontepargpadro"/>
    <w:link w:val="Cabealho"/>
    <w:uiPriority w:val="99"/>
    <w:rsid w:val="00B7301F"/>
  </w:style>
  <w:style w:type="paragraph" w:styleId="Rodap">
    <w:name w:val="footer"/>
    <w:basedOn w:val="Normal"/>
    <w:link w:val="RodapChar"/>
    <w:uiPriority w:val="99"/>
    <w:unhideWhenUsed/>
    <w:rsid w:val="00B7301F"/>
    <w:pPr>
      <w:tabs>
        <w:tab w:val="center" w:pos="4252"/>
        <w:tab w:val="right" w:pos="8504"/>
      </w:tabs>
    </w:pPr>
  </w:style>
  <w:style w:type="character" w:customStyle="1" w:styleId="RodapChar">
    <w:name w:val="Rodapé Char"/>
    <w:basedOn w:val="Fontepargpadro"/>
    <w:link w:val="Rodap"/>
    <w:uiPriority w:val="99"/>
    <w:rsid w:val="00B7301F"/>
  </w:style>
  <w:style w:type="paragraph" w:styleId="SemEspaamento">
    <w:name w:val="No Spacing"/>
    <w:uiPriority w:val="1"/>
    <w:qFormat/>
    <w:rsid w:val="00DE549E"/>
    <w:rPr>
      <w:rFonts w:asciiTheme="minorHAnsi" w:hAnsiTheme="minorHAnsi"/>
      <w:sz w:val="22"/>
    </w:rPr>
  </w:style>
  <w:style w:type="character" w:customStyle="1" w:styleId="apple-converted-space">
    <w:name w:val="apple-converted-space"/>
    <w:basedOn w:val="Fontepargpadro"/>
    <w:rsid w:val="009B437D"/>
  </w:style>
  <w:style w:type="character" w:customStyle="1" w:styleId="hithilite">
    <w:name w:val="hithilite"/>
    <w:basedOn w:val="Fontepargpadro"/>
    <w:rsid w:val="00671F28"/>
  </w:style>
  <w:style w:type="paragraph" w:customStyle="1" w:styleId="frfield">
    <w:name w:val="fr_field"/>
    <w:basedOn w:val="Normal"/>
    <w:rsid w:val="00671F28"/>
    <w:pPr>
      <w:spacing w:before="100" w:beforeAutospacing="1" w:after="100" w:afterAutospacing="1"/>
    </w:pPr>
    <w:rPr>
      <w:rFonts w:eastAsia="Times New Roman" w:cs="Times New Roman"/>
      <w:szCs w:val="24"/>
      <w:lang w:eastAsia="pt-BR"/>
    </w:rPr>
  </w:style>
  <w:style w:type="character" w:customStyle="1" w:styleId="frlabel">
    <w:name w:val="fr_label"/>
    <w:basedOn w:val="Fontepargpadro"/>
    <w:rsid w:val="00671F28"/>
  </w:style>
  <w:style w:type="character" w:styleId="Hyperlink">
    <w:name w:val="Hyperlink"/>
    <w:basedOn w:val="Fontepargpadro"/>
    <w:uiPriority w:val="99"/>
    <w:unhideWhenUsed/>
    <w:rsid w:val="00671F28"/>
    <w:rPr>
      <w:color w:val="0000FF"/>
      <w:u w:val="single"/>
    </w:rPr>
  </w:style>
  <w:style w:type="paragraph" w:customStyle="1" w:styleId="sourcetitle">
    <w:name w:val="sourcetitle"/>
    <w:basedOn w:val="Normal"/>
    <w:rsid w:val="00671F28"/>
    <w:pPr>
      <w:spacing w:before="100" w:beforeAutospacing="1" w:after="100" w:afterAutospacing="1"/>
    </w:pPr>
    <w:rPr>
      <w:rFonts w:eastAsia="Times New Roman" w:cs="Times New Roman"/>
      <w:szCs w:val="24"/>
      <w:lang w:eastAsia="pt-BR"/>
    </w:rPr>
  </w:style>
  <w:style w:type="character" w:customStyle="1" w:styleId="st">
    <w:name w:val="st"/>
    <w:basedOn w:val="Fontepargpadro"/>
    <w:rsid w:val="009751A1"/>
  </w:style>
  <w:style w:type="character" w:styleId="Forte">
    <w:name w:val="Strong"/>
    <w:uiPriority w:val="22"/>
    <w:qFormat/>
    <w:rsid w:val="00E71DFF"/>
    <w:rPr>
      <w:b/>
      <w:bCs/>
    </w:rPr>
  </w:style>
  <w:style w:type="character" w:styleId="Refdecomentrio">
    <w:name w:val="annotation reference"/>
    <w:basedOn w:val="Fontepargpadro"/>
    <w:uiPriority w:val="99"/>
    <w:semiHidden/>
    <w:unhideWhenUsed/>
    <w:rsid w:val="00306C77"/>
    <w:rPr>
      <w:sz w:val="16"/>
      <w:szCs w:val="16"/>
    </w:rPr>
  </w:style>
  <w:style w:type="paragraph" w:styleId="Textodecomentrio">
    <w:name w:val="annotation text"/>
    <w:basedOn w:val="Normal"/>
    <w:link w:val="TextodecomentrioChar"/>
    <w:uiPriority w:val="99"/>
    <w:semiHidden/>
    <w:unhideWhenUsed/>
    <w:rsid w:val="00306C77"/>
    <w:rPr>
      <w:sz w:val="20"/>
      <w:szCs w:val="20"/>
    </w:rPr>
  </w:style>
  <w:style w:type="character" w:customStyle="1" w:styleId="TextodecomentrioChar">
    <w:name w:val="Texto de comentário Char"/>
    <w:basedOn w:val="Fontepargpadro"/>
    <w:link w:val="Textodecomentrio"/>
    <w:uiPriority w:val="99"/>
    <w:semiHidden/>
    <w:rsid w:val="00306C77"/>
    <w:rPr>
      <w:sz w:val="20"/>
      <w:szCs w:val="20"/>
    </w:rPr>
  </w:style>
  <w:style w:type="paragraph" w:styleId="Assuntodocomentrio">
    <w:name w:val="annotation subject"/>
    <w:basedOn w:val="Textodecomentrio"/>
    <w:next w:val="Textodecomentrio"/>
    <w:link w:val="AssuntodocomentrioChar"/>
    <w:uiPriority w:val="99"/>
    <w:semiHidden/>
    <w:unhideWhenUsed/>
    <w:rsid w:val="00306C77"/>
    <w:rPr>
      <w:b/>
      <w:bCs/>
    </w:rPr>
  </w:style>
  <w:style w:type="character" w:customStyle="1" w:styleId="AssuntodocomentrioChar">
    <w:name w:val="Assunto do comentário Char"/>
    <w:basedOn w:val="TextodecomentrioChar"/>
    <w:link w:val="Assuntodocomentrio"/>
    <w:uiPriority w:val="99"/>
    <w:semiHidden/>
    <w:rsid w:val="00306C77"/>
    <w:rPr>
      <w:b/>
      <w:bCs/>
      <w:sz w:val="20"/>
      <w:szCs w:val="20"/>
    </w:rPr>
  </w:style>
  <w:style w:type="character" w:customStyle="1" w:styleId="Ttulo2Char">
    <w:name w:val="Título 2 Char"/>
    <w:basedOn w:val="Fontepargpadro"/>
    <w:link w:val="Ttulo2"/>
    <w:uiPriority w:val="9"/>
    <w:semiHidden/>
    <w:rsid w:val="004D1B6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4D1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15512D"/>
    <w:pPr>
      <w:spacing w:before="100" w:beforeAutospacing="1" w:after="100" w:afterAutospacing="1"/>
      <w:outlineLvl w:val="2"/>
    </w:pPr>
    <w:rPr>
      <w:rFonts w:eastAsia="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F03F7"/>
    <w:rPr>
      <w:rFonts w:ascii="Tahoma" w:hAnsi="Tahoma" w:cs="Tahoma"/>
      <w:sz w:val="16"/>
      <w:szCs w:val="16"/>
    </w:rPr>
  </w:style>
  <w:style w:type="character" w:customStyle="1" w:styleId="TextodebaloChar">
    <w:name w:val="Texto de balão Char"/>
    <w:basedOn w:val="Fontepargpadro"/>
    <w:link w:val="Textodebalo"/>
    <w:uiPriority w:val="99"/>
    <w:semiHidden/>
    <w:rsid w:val="000F03F7"/>
    <w:rPr>
      <w:rFonts w:ascii="Tahoma" w:hAnsi="Tahoma" w:cs="Tahoma"/>
      <w:sz w:val="16"/>
      <w:szCs w:val="16"/>
    </w:rPr>
  </w:style>
  <w:style w:type="character" w:styleId="TextodoEspaoReservado">
    <w:name w:val="Placeholder Text"/>
    <w:basedOn w:val="Fontepargpadro"/>
    <w:uiPriority w:val="99"/>
    <w:semiHidden/>
    <w:rsid w:val="000F03F7"/>
    <w:rPr>
      <w:color w:val="808080"/>
    </w:rPr>
  </w:style>
  <w:style w:type="table" w:styleId="Tabelacomgrade">
    <w:name w:val="Table Grid"/>
    <w:basedOn w:val="Tabelanormal"/>
    <w:uiPriority w:val="59"/>
    <w:rsid w:val="002336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167F61"/>
    <w:pPr>
      <w:ind w:left="720"/>
      <w:contextualSpacing/>
    </w:pPr>
  </w:style>
  <w:style w:type="paragraph" w:styleId="NormalWeb">
    <w:name w:val="Normal (Web)"/>
    <w:basedOn w:val="Normal"/>
    <w:uiPriority w:val="99"/>
    <w:unhideWhenUsed/>
    <w:rsid w:val="00CE4AEC"/>
    <w:pPr>
      <w:spacing w:before="100" w:beforeAutospacing="1" w:after="100" w:afterAutospacing="1"/>
    </w:pPr>
    <w:rPr>
      <w:rFonts w:eastAsiaTheme="minorEastAsia" w:cs="Times New Roman"/>
      <w:szCs w:val="24"/>
      <w:lang w:eastAsia="pt-BR"/>
    </w:rPr>
  </w:style>
  <w:style w:type="paragraph" w:customStyle="1" w:styleId="Default">
    <w:name w:val="Default"/>
    <w:rsid w:val="00FA0934"/>
    <w:pPr>
      <w:autoSpaceDE w:val="0"/>
      <w:autoSpaceDN w:val="0"/>
      <w:adjustRightInd w:val="0"/>
    </w:pPr>
    <w:rPr>
      <w:rFonts w:cs="Times New Roman"/>
      <w:color w:val="000000"/>
      <w:szCs w:val="24"/>
    </w:rPr>
  </w:style>
  <w:style w:type="character" w:customStyle="1" w:styleId="hps">
    <w:name w:val="hps"/>
    <w:basedOn w:val="Fontepargpadro"/>
    <w:rsid w:val="005071AE"/>
  </w:style>
  <w:style w:type="table" w:customStyle="1" w:styleId="TabelaSimples21">
    <w:name w:val="Tabela Simples 21"/>
    <w:basedOn w:val="Tabelanormal"/>
    <w:uiPriority w:val="42"/>
    <w:rsid w:val="00DB1D8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formataoHTML">
    <w:name w:val="HTML Preformatted"/>
    <w:basedOn w:val="Normal"/>
    <w:link w:val="Pr-formataoHTMLChar"/>
    <w:uiPriority w:val="99"/>
    <w:unhideWhenUsed/>
    <w:rsid w:val="00DB1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DB1D84"/>
    <w:rPr>
      <w:rFonts w:ascii="Courier New" w:eastAsia="Times New Roman" w:hAnsi="Courier New" w:cs="Courier New"/>
      <w:sz w:val="20"/>
      <w:szCs w:val="20"/>
      <w:lang w:eastAsia="pt-BR"/>
    </w:rPr>
  </w:style>
  <w:style w:type="table" w:customStyle="1" w:styleId="TabelaSimples11">
    <w:name w:val="Tabela Simples 11"/>
    <w:basedOn w:val="Tabelanormal"/>
    <w:uiPriority w:val="41"/>
    <w:rsid w:val="00712E9D"/>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3Char">
    <w:name w:val="Título 3 Char"/>
    <w:basedOn w:val="Fontepargpadro"/>
    <w:link w:val="Ttulo3"/>
    <w:uiPriority w:val="9"/>
    <w:rsid w:val="0015512D"/>
    <w:rPr>
      <w:rFonts w:eastAsia="Times New Roman" w:cs="Times New Roman"/>
      <w:b/>
      <w:bCs/>
      <w:sz w:val="27"/>
      <w:szCs w:val="27"/>
      <w:lang w:eastAsia="pt-BR"/>
    </w:rPr>
  </w:style>
  <w:style w:type="paragraph" w:styleId="Cabealho">
    <w:name w:val="header"/>
    <w:basedOn w:val="Normal"/>
    <w:link w:val="CabealhoChar"/>
    <w:uiPriority w:val="99"/>
    <w:unhideWhenUsed/>
    <w:rsid w:val="00B7301F"/>
    <w:pPr>
      <w:tabs>
        <w:tab w:val="center" w:pos="4252"/>
        <w:tab w:val="right" w:pos="8504"/>
      </w:tabs>
    </w:pPr>
  </w:style>
  <w:style w:type="character" w:customStyle="1" w:styleId="CabealhoChar">
    <w:name w:val="Cabeçalho Char"/>
    <w:basedOn w:val="Fontepargpadro"/>
    <w:link w:val="Cabealho"/>
    <w:uiPriority w:val="99"/>
    <w:rsid w:val="00B7301F"/>
  </w:style>
  <w:style w:type="paragraph" w:styleId="Rodap">
    <w:name w:val="footer"/>
    <w:basedOn w:val="Normal"/>
    <w:link w:val="RodapChar"/>
    <w:uiPriority w:val="99"/>
    <w:unhideWhenUsed/>
    <w:rsid w:val="00B7301F"/>
    <w:pPr>
      <w:tabs>
        <w:tab w:val="center" w:pos="4252"/>
        <w:tab w:val="right" w:pos="8504"/>
      </w:tabs>
    </w:pPr>
  </w:style>
  <w:style w:type="character" w:customStyle="1" w:styleId="RodapChar">
    <w:name w:val="Rodapé Char"/>
    <w:basedOn w:val="Fontepargpadro"/>
    <w:link w:val="Rodap"/>
    <w:uiPriority w:val="99"/>
    <w:rsid w:val="00B7301F"/>
  </w:style>
  <w:style w:type="paragraph" w:styleId="SemEspaamento">
    <w:name w:val="No Spacing"/>
    <w:uiPriority w:val="1"/>
    <w:qFormat/>
    <w:rsid w:val="00DE549E"/>
    <w:rPr>
      <w:rFonts w:asciiTheme="minorHAnsi" w:hAnsiTheme="minorHAnsi"/>
      <w:sz w:val="22"/>
    </w:rPr>
  </w:style>
  <w:style w:type="character" w:customStyle="1" w:styleId="apple-converted-space">
    <w:name w:val="apple-converted-space"/>
    <w:basedOn w:val="Fontepargpadro"/>
    <w:rsid w:val="009B437D"/>
  </w:style>
  <w:style w:type="character" w:customStyle="1" w:styleId="hithilite">
    <w:name w:val="hithilite"/>
    <w:basedOn w:val="Fontepargpadro"/>
    <w:rsid w:val="00671F28"/>
  </w:style>
  <w:style w:type="paragraph" w:customStyle="1" w:styleId="frfield">
    <w:name w:val="fr_field"/>
    <w:basedOn w:val="Normal"/>
    <w:rsid w:val="00671F28"/>
    <w:pPr>
      <w:spacing w:before="100" w:beforeAutospacing="1" w:after="100" w:afterAutospacing="1"/>
    </w:pPr>
    <w:rPr>
      <w:rFonts w:eastAsia="Times New Roman" w:cs="Times New Roman"/>
      <w:szCs w:val="24"/>
      <w:lang w:eastAsia="pt-BR"/>
    </w:rPr>
  </w:style>
  <w:style w:type="character" w:customStyle="1" w:styleId="frlabel">
    <w:name w:val="fr_label"/>
    <w:basedOn w:val="Fontepargpadro"/>
    <w:rsid w:val="00671F28"/>
  </w:style>
  <w:style w:type="character" w:styleId="Hyperlink">
    <w:name w:val="Hyperlink"/>
    <w:basedOn w:val="Fontepargpadro"/>
    <w:uiPriority w:val="99"/>
    <w:unhideWhenUsed/>
    <w:rsid w:val="00671F28"/>
    <w:rPr>
      <w:color w:val="0000FF"/>
      <w:u w:val="single"/>
    </w:rPr>
  </w:style>
  <w:style w:type="paragraph" w:customStyle="1" w:styleId="sourcetitle">
    <w:name w:val="sourcetitle"/>
    <w:basedOn w:val="Normal"/>
    <w:rsid w:val="00671F28"/>
    <w:pPr>
      <w:spacing w:before="100" w:beforeAutospacing="1" w:after="100" w:afterAutospacing="1"/>
    </w:pPr>
    <w:rPr>
      <w:rFonts w:eastAsia="Times New Roman" w:cs="Times New Roman"/>
      <w:szCs w:val="24"/>
      <w:lang w:eastAsia="pt-BR"/>
    </w:rPr>
  </w:style>
  <w:style w:type="character" w:customStyle="1" w:styleId="st">
    <w:name w:val="st"/>
    <w:basedOn w:val="Fontepargpadro"/>
    <w:rsid w:val="009751A1"/>
  </w:style>
  <w:style w:type="character" w:styleId="Forte">
    <w:name w:val="Strong"/>
    <w:uiPriority w:val="22"/>
    <w:qFormat/>
    <w:rsid w:val="00E71DFF"/>
    <w:rPr>
      <w:b/>
      <w:bCs/>
    </w:rPr>
  </w:style>
  <w:style w:type="character" w:styleId="Refdecomentrio">
    <w:name w:val="annotation reference"/>
    <w:basedOn w:val="Fontepargpadro"/>
    <w:uiPriority w:val="99"/>
    <w:semiHidden/>
    <w:unhideWhenUsed/>
    <w:rsid w:val="00306C77"/>
    <w:rPr>
      <w:sz w:val="16"/>
      <w:szCs w:val="16"/>
    </w:rPr>
  </w:style>
  <w:style w:type="paragraph" w:styleId="Textodecomentrio">
    <w:name w:val="annotation text"/>
    <w:basedOn w:val="Normal"/>
    <w:link w:val="TextodecomentrioChar"/>
    <w:uiPriority w:val="99"/>
    <w:semiHidden/>
    <w:unhideWhenUsed/>
    <w:rsid w:val="00306C77"/>
    <w:rPr>
      <w:sz w:val="20"/>
      <w:szCs w:val="20"/>
    </w:rPr>
  </w:style>
  <w:style w:type="character" w:customStyle="1" w:styleId="TextodecomentrioChar">
    <w:name w:val="Texto de comentário Char"/>
    <w:basedOn w:val="Fontepargpadro"/>
    <w:link w:val="Textodecomentrio"/>
    <w:uiPriority w:val="99"/>
    <w:semiHidden/>
    <w:rsid w:val="00306C77"/>
    <w:rPr>
      <w:sz w:val="20"/>
      <w:szCs w:val="20"/>
    </w:rPr>
  </w:style>
  <w:style w:type="paragraph" w:styleId="Assuntodocomentrio">
    <w:name w:val="annotation subject"/>
    <w:basedOn w:val="Textodecomentrio"/>
    <w:next w:val="Textodecomentrio"/>
    <w:link w:val="AssuntodocomentrioChar"/>
    <w:uiPriority w:val="99"/>
    <w:semiHidden/>
    <w:unhideWhenUsed/>
    <w:rsid w:val="00306C77"/>
    <w:rPr>
      <w:b/>
      <w:bCs/>
    </w:rPr>
  </w:style>
  <w:style w:type="character" w:customStyle="1" w:styleId="AssuntodocomentrioChar">
    <w:name w:val="Assunto do comentário Char"/>
    <w:basedOn w:val="TextodecomentrioChar"/>
    <w:link w:val="Assuntodocomentrio"/>
    <w:uiPriority w:val="99"/>
    <w:semiHidden/>
    <w:rsid w:val="00306C77"/>
    <w:rPr>
      <w:b/>
      <w:bCs/>
      <w:sz w:val="20"/>
      <w:szCs w:val="20"/>
    </w:rPr>
  </w:style>
  <w:style w:type="character" w:customStyle="1" w:styleId="Ttulo2Char">
    <w:name w:val="Título 2 Char"/>
    <w:basedOn w:val="Fontepargpadro"/>
    <w:link w:val="Ttulo2"/>
    <w:uiPriority w:val="9"/>
    <w:semiHidden/>
    <w:rsid w:val="004D1B6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2042">
      <w:bodyDiv w:val="1"/>
      <w:marLeft w:val="0"/>
      <w:marRight w:val="0"/>
      <w:marTop w:val="0"/>
      <w:marBottom w:val="0"/>
      <w:divBdr>
        <w:top w:val="none" w:sz="0" w:space="0" w:color="auto"/>
        <w:left w:val="none" w:sz="0" w:space="0" w:color="auto"/>
        <w:bottom w:val="none" w:sz="0" w:space="0" w:color="auto"/>
        <w:right w:val="none" w:sz="0" w:space="0" w:color="auto"/>
      </w:divBdr>
      <w:divsChild>
        <w:div w:id="32467061">
          <w:marLeft w:val="0"/>
          <w:marRight w:val="0"/>
          <w:marTop w:val="0"/>
          <w:marBottom w:val="0"/>
          <w:divBdr>
            <w:top w:val="none" w:sz="0" w:space="0" w:color="auto"/>
            <w:left w:val="none" w:sz="0" w:space="0" w:color="auto"/>
            <w:bottom w:val="none" w:sz="0" w:space="0" w:color="auto"/>
            <w:right w:val="none" w:sz="0" w:space="0" w:color="auto"/>
          </w:divBdr>
        </w:div>
        <w:div w:id="101077469">
          <w:marLeft w:val="0"/>
          <w:marRight w:val="0"/>
          <w:marTop w:val="0"/>
          <w:marBottom w:val="0"/>
          <w:divBdr>
            <w:top w:val="none" w:sz="0" w:space="0" w:color="auto"/>
            <w:left w:val="none" w:sz="0" w:space="0" w:color="auto"/>
            <w:bottom w:val="none" w:sz="0" w:space="0" w:color="auto"/>
            <w:right w:val="none" w:sz="0" w:space="0" w:color="auto"/>
          </w:divBdr>
        </w:div>
        <w:div w:id="309286453">
          <w:marLeft w:val="0"/>
          <w:marRight w:val="0"/>
          <w:marTop w:val="0"/>
          <w:marBottom w:val="0"/>
          <w:divBdr>
            <w:top w:val="none" w:sz="0" w:space="0" w:color="auto"/>
            <w:left w:val="none" w:sz="0" w:space="0" w:color="auto"/>
            <w:bottom w:val="none" w:sz="0" w:space="0" w:color="auto"/>
            <w:right w:val="none" w:sz="0" w:space="0" w:color="auto"/>
          </w:divBdr>
        </w:div>
        <w:div w:id="699087263">
          <w:marLeft w:val="0"/>
          <w:marRight w:val="0"/>
          <w:marTop w:val="0"/>
          <w:marBottom w:val="0"/>
          <w:divBdr>
            <w:top w:val="none" w:sz="0" w:space="0" w:color="auto"/>
            <w:left w:val="none" w:sz="0" w:space="0" w:color="auto"/>
            <w:bottom w:val="none" w:sz="0" w:space="0" w:color="auto"/>
            <w:right w:val="none" w:sz="0" w:space="0" w:color="auto"/>
          </w:divBdr>
        </w:div>
        <w:div w:id="725570299">
          <w:marLeft w:val="0"/>
          <w:marRight w:val="0"/>
          <w:marTop w:val="0"/>
          <w:marBottom w:val="0"/>
          <w:divBdr>
            <w:top w:val="none" w:sz="0" w:space="0" w:color="auto"/>
            <w:left w:val="none" w:sz="0" w:space="0" w:color="auto"/>
            <w:bottom w:val="none" w:sz="0" w:space="0" w:color="auto"/>
            <w:right w:val="none" w:sz="0" w:space="0" w:color="auto"/>
          </w:divBdr>
        </w:div>
        <w:div w:id="1372805219">
          <w:marLeft w:val="0"/>
          <w:marRight w:val="0"/>
          <w:marTop w:val="0"/>
          <w:marBottom w:val="0"/>
          <w:divBdr>
            <w:top w:val="none" w:sz="0" w:space="0" w:color="auto"/>
            <w:left w:val="none" w:sz="0" w:space="0" w:color="auto"/>
            <w:bottom w:val="none" w:sz="0" w:space="0" w:color="auto"/>
            <w:right w:val="none" w:sz="0" w:space="0" w:color="auto"/>
          </w:divBdr>
        </w:div>
        <w:div w:id="2139293590">
          <w:marLeft w:val="0"/>
          <w:marRight w:val="0"/>
          <w:marTop w:val="0"/>
          <w:marBottom w:val="0"/>
          <w:divBdr>
            <w:top w:val="none" w:sz="0" w:space="0" w:color="auto"/>
            <w:left w:val="none" w:sz="0" w:space="0" w:color="auto"/>
            <w:bottom w:val="none" w:sz="0" w:space="0" w:color="auto"/>
            <w:right w:val="none" w:sz="0" w:space="0" w:color="auto"/>
          </w:divBdr>
        </w:div>
      </w:divsChild>
    </w:div>
    <w:div w:id="79299285">
      <w:bodyDiv w:val="1"/>
      <w:marLeft w:val="0"/>
      <w:marRight w:val="0"/>
      <w:marTop w:val="0"/>
      <w:marBottom w:val="0"/>
      <w:divBdr>
        <w:top w:val="none" w:sz="0" w:space="0" w:color="auto"/>
        <w:left w:val="none" w:sz="0" w:space="0" w:color="auto"/>
        <w:bottom w:val="none" w:sz="0" w:space="0" w:color="auto"/>
        <w:right w:val="none" w:sz="0" w:space="0" w:color="auto"/>
      </w:divBdr>
    </w:div>
    <w:div w:id="108670590">
      <w:bodyDiv w:val="1"/>
      <w:marLeft w:val="0"/>
      <w:marRight w:val="0"/>
      <w:marTop w:val="0"/>
      <w:marBottom w:val="0"/>
      <w:divBdr>
        <w:top w:val="none" w:sz="0" w:space="0" w:color="auto"/>
        <w:left w:val="none" w:sz="0" w:space="0" w:color="auto"/>
        <w:bottom w:val="none" w:sz="0" w:space="0" w:color="auto"/>
        <w:right w:val="none" w:sz="0" w:space="0" w:color="auto"/>
      </w:divBdr>
    </w:div>
    <w:div w:id="146870757">
      <w:bodyDiv w:val="1"/>
      <w:marLeft w:val="0"/>
      <w:marRight w:val="0"/>
      <w:marTop w:val="0"/>
      <w:marBottom w:val="0"/>
      <w:divBdr>
        <w:top w:val="none" w:sz="0" w:space="0" w:color="auto"/>
        <w:left w:val="none" w:sz="0" w:space="0" w:color="auto"/>
        <w:bottom w:val="none" w:sz="0" w:space="0" w:color="auto"/>
        <w:right w:val="none" w:sz="0" w:space="0" w:color="auto"/>
      </w:divBdr>
      <w:divsChild>
        <w:div w:id="342978973">
          <w:marLeft w:val="0"/>
          <w:marRight w:val="0"/>
          <w:marTop w:val="0"/>
          <w:marBottom w:val="0"/>
          <w:divBdr>
            <w:top w:val="none" w:sz="0" w:space="0" w:color="auto"/>
            <w:left w:val="none" w:sz="0" w:space="0" w:color="auto"/>
            <w:bottom w:val="none" w:sz="0" w:space="0" w:color="auto"/>
            <w:right w:val="none" w:sz="0" w:space="0" w:color="auto"/>
          </w:divBdr>
        </w:div>
        <w:div w:id="989559086">
          <w:marLeft w:val="0"/>
          <w:marRight w:val="0"/>
          <w:marTop w:val="0"/>
          <w:marBottom w:val="0"/>
          <w:divBdr>
            <w:top w:val="none" w:sz="0" w:space="0" w:color="auto"/>
            <w:left w:val="none" w:sz="0" w:space="0" w:color="auto"/>
            <w:bottom w:val="none" w:sz="0" w:space="0" w:color="auto"/>
            <w:right w:val="none" w:sz="0" w:space="0" w:color="auto"/>
          </w:divBdr>
        </w:div>
        <w:div w:id="1155533561">
          <w:marLeft w:val="0"/>
          <w:marRight w:val="0"/>
          <w:marTop w:val="0"/>
          <w:marBottom w:val="0"/>
          <w:divBdr>
            <w:top w:val="none" w:sz="0" w:space="0" w:color="auto"/>
            <w:left w:val="none" w:sz="0" w:space="0" w:color="auto"/>
            <w:bottom w:val="none" w:sz="0" w:space="0" w:color="auto"/>
            <w:right w:val="none" w:sz="0" w:space="0" w:color="auto"/>
          </w:divBdr>
        </w:div>
        <w:div w:id="1873228950">
          <w:marLeft w:val="0"/>
          <w:marRight w:val="0"/>
          <w:marTop w:val="0"/>
          <w:marBottom w:val="0"/>
          <w:divBdr>
            <w:top w:val="none" w:sz="0" w:space="0" w:color="auto"/>
            <w:left w:val="none" w:sz="0" w:space="0" w:color="auto"/>
            <w:bottom w:val="none" w:sz="0" w:space="0" w:color="auto"/>
            <w:right w:val="none" w:sz="0" w:space="0" w:color="auto"/>
          </w:divBdr>
        </w:div>
      </w:divsChild>
    </w:div>
    <w:div w:id="416825980">
      <w:bodyDiv w:val="1"/>
      <w:marLeft w:val="0"/>
      <w:marRight w:val="0"/>
      <w:marTop w:val="0"/>
      <w:marBottom w:val="0"/>
      <w:divBdr>
        <w:top w:val="none" w:sz="0" w:space="0" w:color="auto"/>
        <w:left w:val="none" w:sz="0" w:space="0" w:color="auto"/>
        <w:bottom w:val="none" w:sz="0" w:space="0" w:color="auto"/>
        <w:right w:val="none" w:sz="0" w:space="0" w:color="auto"/>
      </w:divBdr>
    </w:div>
    <w:div w:id="556013843">
      <w:bodyDiv w:val="1"/>
      <w:marLeft w:val="0"/>
      <w:marRight w:val="0"/>
      <w:marTop w:val="0"/>
      <w:marBottom w:val="0"/>
      <w:divBdr>
        <w:top w:val="none" w:sz="0" w:space="0" w:color="auto"/>
        <w:left w:val="none" w:sz="0" w:space="0" w:color="auto"/>
        <w:bottom w:val="none" w:sz="0" w:space="0" w:color="auto"/>
        <w:right w:val="none" w:sz="0" w:space="0" w:color="auto"/>
      </w:divBdr>
      <w:divsChild>
        <w:div w:id="720134518">
          <w:marLeft w:val="1166"/>
          <w:marRight w:val="0"/>
          <w:marTop w:val="120"/>
          <w:marBottom w:val="0"/>
          <w:divBdr>
            <w:top w:val="none" w:sz="0" w:space="0" w:color="auto"/>
            <w:left w:val="none" w:sz="0" w:space="0" w:color="auto"/>
            <w:bottom w:val="none" w:sz="0" w:space="0" w:color="auto"/>
            <w:right w:val="none" w:sz="0" w:space="0" w:color="auto"/>
          </w:divBdr>
        </w:div>
      </w:divsChild>
    </w:div>
    <w:div w:id="663167966">
      <w:bodyDiv w:val="1"/>
      <w:marLeft w:val="0"/>
      <w:marRight w:val="0"/>
      <w:marTop w:val="0"/>
      <w:marBottom w:val="0"/>
      <w:divBdr>
        <w:top w:val="none" w:sz="0" w:space="0" w:color="auto"/>
        <w:left w:val="none" w:sz="0" w:space="0" w:color="auto"/>
        <w:bottom w:val="none" w:sz="0" w:space="0" w:color="auto"/>
        <w:right w:val="none" w:sz="0" w:space="0" w:color="auto"/>
      </w:divBdr>
    </w:div>
    <w:div w:id="923730275">
      <w:bodyDiv w:val="1"/>
      <w:marLeft w:val="0"/>
      <w:marRight w:val="0"/>
      <w:marTop w:val="0"/>
      <w:marBottom w:val="0"/>
      <w:divBdr>
        <w:top w:val="none" w:sz="0" w:space="0" w:color="auto"/>
        <w:left w:val="none" w:sz="0" w:space="0" w:color="auto"/>
        <w:bottom w:val="none" w:sz="0" w:space="0" w:color="auto"/>
        <w:right w:val="none" w:sz="0" w:space="0" w:color="auto"/>
      </w:divBdr>
      <w:divsChild>
        <w:div w:id="1306817649">
          <w:marLeft w:val="0"/>
          <w:marRight w:val="0"/>
          <w:marTop w:val="0"/>
          <w:marBottom w:val="0"/>
          <w:divBdr>
            <w:top w:val="none" w:sz="0" w:space="0" w:color="auto"/>
            <w:left w:val="none" w:sz="0" w:space="0" w:color="auto"/>
            <w:bottom w:val="none" w:sz="0" w:space="0" w:color="auto"/>
            <w:right w:val="none" w:sz="0" w:space="0" w:color="auto"/>
          </w:divBdr>
          <w:divsChild>
            <w:div w:id="1547722086">
              <w:marLeft w:val="0"/>
              <w:marRight w:val="0"/>
              <w:marTop w:val="0"/>
              <w:marBottom w:val="0"/>
              <w:divBdr>
                <w:top w:val="none" w:sz="0" w:space="0" w:color="auto"/>
                <w:left w:val="none" w:sz="0" w:space="0" w:color="auto"/>
                <w:bottom w:val="none" w:sz="0" w:space="0" w:color="auto"/>
                <w:right w:val="none" w:sz="0" w:space="0" w:color="auto"/>
              </w:divBdr>
              <w:divsChild>
                <w:div w:id="2131361830">
                  <w:marLeft w:val="0"/>
                  <w:marRight w:val="0"/>
                  <w:marTop w:val="0"/>
                  <w:marBottom w:val="0"/>
                  <w:divBdr>
                    <w:top w:val="none" w:sz="0" w:space="0" w:color="auto"/>
                    <w:left w:val="none" w:sz="0" w:space="0" w:color="auto"/>
                    <w:bottom w:val="none" w:sz="0" w:space="0" w:color="auto"/>
                    <w:right w:val="none" w:sz="0" w:space="0" w:color="auto"/>
                  </w:divBdr>
                  <w:divsChild>
                    <w:div w:id="801928128">
                      <w:marLeft w:val="0"/>
                      <w:marRight w:val="0"/>
                      <w:marTop w:val="0"/>
                      <w:marBottom w:val="0"/>
                      <w:divBdr>
                        <w:top w:val="none" w:sz="0" w:space="0" w:color="auto"/>
                        <w:left w:val="none" w:sz="0" w:space="0" w:color="auto"/>
                        <w:bottom w:val="none" w:sz="0" w:space="0" w:color="auto"/>
                        <w:right w:val="none" w:sz="0" w:space="0" w:color="auto"/>
                      </w:divBdr>
                      <w:divsChild>
                        <w:div w:id="1101679173">
                          <w:marLeft w:val="0"/>
                          <w:marRight w:val="0"/>
                          <w:marTop w:val="0"/>
                          <w:marBottom w:val="0"/>
                          <w:divBdr>
                            <w:top w:val="none" w:sz="0" w:space="0" w:color="auto"/>
                            <w:left w:val="none" w:sz="0" w:space="0" w:color="auto"/>
                            <w:bottom w:val="none" w:sz="0" w:space="0" w:color="auto"/>
                            <w:right w:val="none" w:sz="0" w:space="0" w:color="auto"/>
                          </w:divBdr>
                          <w:divsChild>
                            <w:div w:id="1715693329">
                              <w:marLeft w:val="0"/>
                              <w:marRight w:val="0"/>
                              <w:marTop w:val="0"/>
                              <w:marBottom w:val="0"/>
                              <w:divBdr>
                                <w:top w:val="none" w:sz="0" w:space="0" w:color="auto"/>
                                <w:left w:val="none" w:sz="0" w:space="0" w:color="auto"/>
                                <w:bottom w:val="none" w:sz="0" w:space="0" w:color="auto"/>
                                <w:right w:val="none" w:sz="0" w:space="0" w:color="auto"/>
                              </w:divBdr>
                              <w:divsChild>
                                <w:div w:id="793712061">
                                  <w:marLeft w:val="0"/>
                                  <w:marRight w:val="0"/>
                                  <w:marTop w:val="0"/>
                                  <w:marBottom w:val="0"/>
                                  <w:divBdr>
                                    <w:top w:val="none" w:sz="0" w:space="0" w:color="auto"/>
                                    <w:left w:val="none" w:sz="0" w:space="0" w:color="auto"/>
                                    <w:bottom w:val="none" w:sz="0" w:space="0" w:color="auto"/>
                                    <w:right w:val="none" w:sz="0" w:space="0" w:color="auto"/>
                                  </w:divBdr>
                                  <w:divsChild>
                                    <w:div w:id="766199454">
                                      <w:marLeft w:val="0"/>
                                      <w:marRight w:val="0"/>
                                      <w:marTop w:val="0"/>
                                      <w:marBottom w:val="0"/>
                                      <w:divBdr>
                                        <w:top w:val="none" w:sz="0" w:space="0" w:color="auto"/>
                                        <w:left w:val="none" w:sz="0" w:space="0" w:color="auto"/>
                                        <w:bottom w:val="none" w:sz="0" w:space="0" w:color="auto"/>
                                        <w:right w:val="none" w:sz="0" w:space="0" w:color="auto"/>
                                      </w:divBdr>
                                      <w:divsChild>
                                        <w:div w:id="179970343">
                                          <w:marLeft w:val="0"/>
                                          <w:marRight w:val="0"/>
                                          <w:marTop w:val="0"/>
                                          <w:marBottom w:val="0"/>
                                          <w:divBdr>
                                            <w:top w:val="none" w:sz="0" w:space="0" w:color="auto"/>
                                            <w:left w:val="none" w:sz="0" w:space="0" w:color="auto"/>
                                            <w:bottom w:val="none" w:sz="0" w:space="0" w:color="auto"/>
                                            <w:right w:val="none" w:sz="0" w:space="0" w:color="auto"/>
                                          </w:divBdr>
                                          <w:divsChild>
                                            <w:div w:id="975993930">
                                              <w:marLeft w:val="0"/>
                                              <w:marRight w:val="0"/>
                                              <w:marTop w:val="0"/>
                                              <w:marBottom w:val="0"/>
                                              <w:divBdr>
                                                <w:top w:val="none" w:sz="0" w:space="0" w:color="auto"/>
                                                <w:left w:val="none" w:sz="0" w:space="0" w:color="auto"/>
                                                <w:bottom w:val="none" w:sz="0" w:space="0" w:color="auto"/>
                                                <w:right w:val="none" w:sz="0" w:space="0" w:color="auto"/>
                                              </w:divBdr>
                                              <w:divsChild>
                                                <w:div w:id="176046356">
                                                  <w:marLeft w:val="0"/>
                                                  <w:marRight w:val="0"/>
                                                  <w:marTop w:val="0"/>
                                                  <w:marBottom w:val="0"/>
                                                  <w:divBdr>
                                                    <w:top w:val="none" w:sz="0" w:space="0" w:color="auto"/>
                                                    <w:left w:val="none" w:sz="0" w:space="0" w:color="auto"/>
                                                    <w:bottom w:val="none" w:sz="0" w:space="0" w:color="auto"/>
                                                    <w:right w:val="none" w:sz="0" w:space="0" w:color="auto"/>
                                                  </w:divBdr>
                                                  <w:divsChild>
                                                    <w:div w:id="1135875903">
                                                      <w:marLeft w:val="0"/>
                                                      <w:marRight w:val="0"/>
                                                      <w:marTop w:val="0"/>
                                                      <w:marBottom w:val="0"/>
                                                      <w:divBdr>
                                                        <w:top w:val="none" w:sz="0" w:space="0" w:color="auto"/>
                                                        <w:left w:val="none" w:sz="0" w:space="0" w:color="auto"/>
                                                        <w:bottom w:val="none" w:sz="0" w:space="0" w:color="auto"/>
                                                        <w:right w:val="none" w:sz="0" w:space="0" w:color="auto"/>
                                                      </w:divBdr>
                                                      <w:divsChild>
                                                        <w:div w:id="1740056331">
                                                          <w:marLeft w:val="0"/>
                                                          <w:marRight w:val="0"/>
                                                          <w:marTop w:val="0"/>
                                                          <w:marBottom w:val="0"/>
                                                          <w:divBdr>
                                                            <w:top w:val="none" w:sz="0" w:space="0" w:color="auto"/>
                                                            <w:left w:val="none" w:sz="0" w:space="0" w:color="auto"/>
                                                            <w:bottom w:val="none" w:sz="0" w:space="0" w:color="auto"/>
                                                            <w:right w:val="none" w:sz="0" w:space="0" w:color="auto"/>
                                                          </w:divBdr>
                                                          <w:divsChild>
                                                            <w:div w:id="41565432">
                                                              <w:marLeft w:val="0"/>
                                                              <w:marRight w:val="0"/>
                                                              <w:marTop w:val="0"/>
                                                              <w:marBottom w:val="0"/>
                                                              <w:divBdr>
                                                                <w:top w:val="none" w:sz="0" w:space="0" w:color="auto"/>
                                                                <w:left w:val="none" w:sz="0" w:space="0" w:color="auto"/>
                                                                <w:bottom w:val="none" w:sz="0" w:space="0" w:color="auto"/>
                                                                <w:right w:val="none" w:sz="0" w:space="0" w:color="auto"/>
                                                              </w:divBdr>
                                                              <w:divsChild>
                                                                <w:div w:id="1570967184">
                                                                  <w:marLeft w:val="0"/>
                                                                  <w:marRight w:val="0"/>
                                                                  <w:marTop w:val="0"/>
                                                                  <w:marBottom w:val="0"/>
                                                                  <w:divBdr>
                                                                    <w:top w:val="none" w:sz="0" w:space="0" w:color="auto"/>
                                                                    <w:left w:val="none" w:sz="0" w:space="0" w:color="auto"/>
                                                                    <w:bottom w:val="none" w:sz="0" w:space="0" w:color="auto"/>
                                                                    <w:right w:val="none" w:sz="0" w:space="0" w:color="auto"/>
                                                                  </w:divBdr>
                                                                  <w:divsChild>
                                                                    <w:div w:id="1209564398">
                                                                      <w:marLeft w:val="0"/>
                                                                      <w:marRight w:val="0"/>
                                                                      <w:marTop w:val="0"/>
                                                                      <w:marBottom w:val="0"/>
                                                                      <w:divBdr>
                                                                        <w:top w:val="none" w:sz="0" w:space="0" w:color="auto"/>
                                                                        <w:left w:val="none" w:sz="0" w:space="0" w:color="auto"/>
                                                                        <w:bottom w:val="none" w:sz="0" w:space="0" w:color="auto"/>
                                                                        <w:right w:val="none" w:sz="0" w:space="0" w:color="auto"/>
                                                                      </w:divBdr>
                                                                      <w:divsChild>
                                                                        <w:div w:id="608777754">
                                                                          <w:marLeft w:val="0"/>
                                                                          <w:marRight w:val="0"/>
                                                                          <w:marTop w:val="0"/>
                                                                          <w:marBottom w:val="0"/>
                                                                          <w:divBdr>
                                                                            <w:top w:val="none" w:sz="0" w:space="0" w:color="auto"/>
                                                                            <w:left w:val="none" w:sz="0" w:space="0" w:color="auto"/>
                                                                            <w:bottom w:val="none" w:sz="0" w:space="0" w:color="auto"/>
                                                                            <w:right w:val="none" w:sz="0" w:space="0" w:color="auto"/>
                                                                          </w:divBdr>
                                                                          <w:divsChild>
                                                                            <w:div w:id="1921602919">
                                                                              <w:marLeft w:val="0"/>
                                                                              <w:marRight w:val="0"/>
                                                                              <w:marTop w:val="0"/>
                                                                              <w:marBottom w:val="0"/>
                                                                              <w:divBdr>
                                                                                <w:top w:val="none" w:sz="0" w:space="0" w:color="auto"/>
                                                                                <w:left w:val="none" w:sz="0" w:space="0" w:color="auto"/>
                                                                                <w:bottom w:val="none" w:sz="0" w:space="0" w:color="auto"/>
                                                                                <w:right w:val="none" w:sz="0" w:space="0" w:color="auto"/>
                                                                              </w:divBdr>
                                                                              <w:divsChild>
                                                                                <w:div w:id="338822199">
                                                                                  <w:marLeft w:val="0"/>
                                                                                  <w:marRight w:val="0"/>
                                                                                  <w:marTop w:val="0"/>
                                                                                  <w:marBottom w:val="0"/>
                                                                                  <w:divBdr>
                                                                                    <w:top w:val="none" w:sz="0" w:space="0" w:color="auto"/>
                                                                                    <w:left w:val="none" w:sz="0" w:space="0" w:color="auto"/>
                                                                                    <w:bottom w:val="none" w:sz="0" w:space="0" w:color="auto"/>
                                                                                    <w:right w:val="none" w:sz="0" w:space="0" w:color="auto"/>
                                                                                  </w:divBdr>
                                                                                  <w:divsChild>
                                                                                    <w:div w:id="1172640800">
                                                                                      <w:marLeft w:val="0"/>
                                                                                      <w:marRight w:val="0"/>
                                                                                      <w:marTop w:val="0"/>
                                                                                      <w:marBottom w:val="0"/>
                                                                                      <w:divBdr>
                                                                                        <w:top w:val="none" w:sz="0" w:space="0" w:color="auto"/>
                                                                                        <w:left w:val="none" w:sz="0" w:space="0" w:color="auto"/>
                                                                                        <w:bottom w:val="none" w:sz="0" w:space="0" w:color="auto"/>
                                                                                        <w:right w:val="none" w:sz="0" w:space="0" w:color="auto"/>
                                                                                      </w:divBdr>
                                                                                      <w:divsChild>
                                                                                        <w:div w:id="717634100">
                                                                                          <w:marLeft w:val="0"/>
                                                                                          <w:marRight w:val="0"/>
                                                                                          <w:marTop w:val="0"/>
                                                                                          <w:marBottom w:val="0"/>
                                                                                          <w:divBdr>
                                                                                            <w:top w:val="none" w:sz="0" w:space="0" w:color="auto"/>
                                                                                            <w:left w:val="none" w:sz="0" w:space="0" w:color="auto"/>
                                                                                            <w:bottom w:val="none" w:sz="0" w:space="0" w:color="auto"/>
                                                                                            <w:right w:val="none" w:sz="0" w:space="0" w:color="auto"/>
                                                                                          </w:divBdr>
                                                                                          <w:divsChild>
                                                                                            <w:div w:id="1308314425">
                                                                                              <w:marLeft w:val="0"/>
                                                                                              <w:marRight w:val="0"/>
                                                                                              <w:marTop w:val="0"/>
                                                                                              <w:marBottom w:val="0"/>
                                                                                              <w:divBdr>
                                                                                                <w:top w:val="none" w:sz="0" w:space="0" w:color="auto"/>
                                                                                                <w:left w:val="none" w:sz="0" w:space="0" w:color="auto"/>
                                                                                                <w:bottom w:val="none" w:sz="0" w:space="0" w:color="auto"/>
                                                                                                <w:right w:val="none" w:sz="0" w:space="0" w:color="auto"/>
                                                                                              </w:divBdr>
                                                                                              <w:divsChild>
                                                                                                <w:div w:id="1903514585">
                                                                                                  <w:marLeft w:val="0"/>
                                                                                                  <w:marRight w:val="0"/>
                                                                                                  <w:marTop w:val="0"/>
                                                                                                  <w:marBottom w:val="0"/>
                                                                                                  <w:divBdr>
                                                                                                    <w:top w:val="none" w:sz="0" w:space="0" w:color="auto"/>
                                                                                                    <w:left w:val="none" w:sz="0" w:space="0" w:color="auto"/>
                                                                                                    <w:bottom w:val="none" w:sz="0" w:space="0" w:color="auto"/>
                                                                                                    <w:right w:val="none" w:sz="0" w:space="0" w:color="auto"/>
                                                                                                  </w:divBdr>
                                                                                                  <w:divsChild>
                                                                                                    <w:div w:id="2102406365">
                                                                                                      <w:marLeft w:val="0"/>
                                                                                                      <w:marRight w:val="0"/>
                                                                                                      <w:marTop w:val="0"/>
                                                                                                      <w:marBottom w:val="0"/>
                                                                                                      <w:divBdr>
                                                                                                        <w:top w:val="none" w:sz="0" w:space="0" w:color="auto"/>
                                                                                                        <w:left w:val="none" w:sz="0" w:space="0" w:color="auto"/>
                                                                                                        <w:bottom w:val="none" w:sz="0" w:space="0" w:color="auto"/>
                                                                                                        <w:right w:val="none" w:sz="0" w:space="0" w:color="auto"/>
                                                                                                      </w:divBdr>
                                                                                                      <w:divsChild>
                                                                                                        <w:div w:id="455950521">
                                                                                                          <w:marLeft w:val="0"/>
                                                                                                          <w:marRight w:val="0"/>
                                                                                                          <w:marTop w:val="0"/>
                                                                                                          <w:marBottom w:val="0"/>
                                                                                                          <w:divBdr>
                                                                                                            <w:top w:val="none" w:sz="0" w:space="0" w:color="auto"/>
                                                                                                            <w:left w:val="none" w:sz="0" w:space="0" w:color="auto"/>
                                                                                                            <w:bottom w:val="none" w:sz="0" w:space="0" w:color="auto"/>
                                                                                                            <w:right w:val="none" w:sz="0" w:space="0" w:color="auto"/>
                                                                                                          </w:divBdr>
                                                                                                          <w:divsChild>
                                                                                                            <w:div w:id="516847627">
                                                                                                              <w:marLeft w:val="0"/>
                                                                                                              <w:marRight w:val="0"/>
                                                                                                              <w:marTop w:val="0"/>
                                                                                                              <w:marBottom w:val="0"/>
                                                                                                              <w:divBdr>
                                                                                                                <w:top w:val="none" w:sz="0" w:space="0" w:color="auto"/>
                                                                                                                <w:left w:val="none" w:sz="0" w:space="0" w:color="auto"/>
                                                                                                                <w:bottom w:val="none" w:sz="0" w:space="0" w:color="auto"/>
                                                                                                                <w:right w:val="none" w:sz="0" w:space="0" w:color="auto"/>
                                                                                                              </w:divBdr>
                                                                                                              <w:divsChild>
                                                                                                                <w:div w:id="1449011301">
                                                                                                                  <w:marLeft w:val="0"/>
                                                                                                                  <w:marRight w:val="0"/>
                                                                                                                  <w:marTop w:val="0"/>
                                                                                                                  <w:marBottom w:val="0"/>
                                                                                                                  <w:divBdr>
                                                                                                                    <w:top w:val="none" w:sz="0" w:space="0" w:color="auto"/>
                                                                                                                    <w:left w:val="none" w:sz="0" w:space="0" w:color="auto"/>
                                                                                                                    <w:bottom w:val="none" w:sz="0" w:space="0" w:color="auto"/>
                                                                                                                    <w:right w:val="none" w:sz="0" w:space="0" w:color="auto"/>
                                                                                                                  </w:divBdr>
                                                                                                                  <w:divsChild>
                                                                                                                    <w:div w:id="1748571557">
                                                                                                                      <w:marLeft w:val="0"/>
                                                                                                                      <w:marRight w:val="0"/>
                                                                                                                      <w:marTop w:val="0"/>
                                                                                                                      <w:marBottom w:val="0"/>
                                                                                                                      <w:divBdr>
                                                                                                                        <w:top w:val="none" w:sz="0" w:space="0" w:color="auto"/>
                                                                                                                        <w:left w:val="none" w:sz="0" w:space="0" w:color="auto"/>
                                                                                                                        <w:bottom w:val="none" w:sz="0" w:space="0" w:color="auto"/>
                                                                                                                        <w:right w:val="none" w:sz="0" w:space="0" w:color="auto"/>
                                                                                                                      </w:divBdr>
                                                                                                                      <w:divsChild>
                                                                                                                        <w:div w:id="2022662726">
                                                                                                                          <w:marLeft w:val="0"/>
                                                                                                                          <w:marRight w:val="0"/>
                                                                                                                          <w:marTop w:val="0"/>
                                                                                                                          <w:marBottom w:val="0"/>
                                                                                                                          <w:divBdr>
                                                                                                                            <w:top w:val="none" w:sz="0" w:space="0" w:color="auto"/>
                                                                                                                            <w:left w:val="none" w:sz="0" w:space="0" w:color="auto"/>
                                                                                                                            <w:bottom w:val="none" w:sz="0" w:space="0" w:color="auto"/>
                                                                                                                            <w:right w:val="none" w:sz="0" w:space="0" w:color="auto"/>
                                                                                                                          </w:divBdr>
                                                                                                                          <w:divsChild>
                                                                                                                            <w:div w:id="630213497">
                                                                                                                              <w:marLeft w:val="0"/>
                                                                                                                              <w:marRight w:val="0"/>
                                                                                                                              <w:marTop w:val="0"/>
                                                                                                                              <w:marBottom w:val="0"/>
                                                                                                                              <w:divBdr>
                                                                                                                                <w:top w:val="none" w:sz="0" w:space="0" w:color="auto"/>
                                                                                                                                <w:left w:val="none" w:sz="0" w:space="0" w:color="auto"/>
                                                                                                                                <w:bottom w:val="none" w:sz="0" w:space="0" w:color="auto"/>
                                                                                                                                <w:right w:val="none" w:sz="0" w:space="0" w:color="auto"/>
                                                                                                                              </w:divBdr>
                                                                                                                              <w:divsChild>
                                                                                                                                <w:div w:id="73362023">
                                                                                                                                  <w:marLeft w:val="0"/>
                                                                                                                                  <w:marRight w:val="0"/>
                                                                                                                                  <w:marTop w:val="0"/>
                                                                                                                                  <w:marBottom w:val="0"/>
                                                                                                                                  <w:divBdr>
                                                                                                                                    <w:top w:val="none" w:sz="0" w:space="0" w:color="auto"/>
                                                                                                                                    <w:left w:val="none" w:sz="0" w:space="0" w:color="auto"/>
                                                                                                                                    <w:bottom w:val="none" w:sz="0" w:space="0" w:color="auto"/>
                                                                                                                                    <w:right w:val="none" w:sz="0" w:space="0" w:color="auto"/>
                                                                                                                                  </w:divBdr>
                                                                                                                                  <w:divsChild>
                                                                                                                                    <w:div w:id="1700161290">
                                                                                                                                      <w:marLeft w:val="0"/>
                                                                                                                                      <w:marRight w:val="0"/>
                                                                                                                                      <w:marTop w:val="0"/>
                                                                                                                                      <w:marBottom w:val="0"/>
                                                                                                                                      <w:divBdr>
                                                                                                                                        <w:top w:val="none" w:sz="0" w:space="0" w:color="auto"/>
                                                                                                                                        <w:left w:val="none" w:sz="0" w:space="0" w:color="auto"/>
                                                                                                                                        <w:bottom w:val="none" w:sz="0" w:space="0" w:color="auto"/>
                                                                                                                                        <w:right w:val="none" w:sz="0" w:space="0" w:color="auto"/>
                                                                                                                                      </w:divBdr>
                                                                                                                                      <w:divsChild>
                                                                                                                                        <w:div w:id="1530416977">
                                                                                                                                          <w:marLeft w:val="0"/>
                                                                                                                                          <w:marRight w:val="0"/>
                                                                                                                                          <w:marTop w:val="0"/>
                                                                                                                                          <w:marBottom w:val="0"/>
                                                                                                                                          <w:divBdr>
                                                                                                                                            <w:top w:val="none" w:sz="0" w:space="0" w:color="auto"/>
                                                                                                                                            <w:left w:val="none" w:sz="0" w:space="0" w:color="auto"/>
                                                                                                                                            <w:bottom w:val="none" w:sz="0" w:space="0" w:color="auto"/>
                                                                                                                                            <w:right w:val="none" w:sz="0" w:space="0" w:color="auto"/>
                                                                                                                                          </w:divBdr>
                                                                                                                                          <w:divsChild>
                                                                                                                                            <w:div w:id="881870280">
                                                                                                                                              <w:marLeft w:val="0"/>
                                                                                                                                              <w:marRight w:val="0"/>
                                                                                                                                              <w:marTop w:val="0"/>
                                                                                                                                              <w:marBottom w:val="0"/>
                                                                                                                                              <w:divBdr>
                                                                                                                                                <w:top w:val="none" w:sz="0" w:space="0" w:color="auto"/>
                                                                                                                                                <w:left w:val="none" w:sz="0" w:space="0" w:color="auto"/>
                                                                                                                                                <w:bottom w:val="none" w:sz="0" w:space="0" w:color="auto"/>
                                                                                                                                                <w:right w:val="none" w:sz="0" w:space="0" w:color="auto"/>
                                                                                                                                              </w:divBdr>
                                                                                                                                              <w:divsChild>
                                                                                                                                                <w:div w:id="233007269">
                                                                                                                                                  <w:marLeft w:val="0"/>
                                                                                                                                                  <w:marRight w:val="0"/>
                                                                                                                                                  <w:marTop w:val="0"/>
                                                                                                                                                  <w:marBottom w:val="0"/>
                                                                                                                                                  <w:divBdr>
                                                                                                                                                    <w:top w:val="none" w:sz="0" w:space="0" w:color="auto"/>
                                                                                                                                                    <w:left w:val="none" w:sz="0" w:space="0" w:color="auto"/>
                                                                                                                                                    <w:bottom w:val="none" w:sz="0" w:space="0" w:color="auto"/>
                                                                                                                                                    <w:right w:val="none" w:sz="0" w:space="0" w:color="auto"/>
                                                                                                                                                  </w:divBdr>
                                                                                                                                                  <w:divsChild>
                                                                                                                                                    <w:div w:id="669330446">
                                                                                                                                                      <w:marLeft w:val="0"/>
                                                                                                                                                      <w:marRight w:val="0"/>
                                                                                                                                                      <w:marTop w:val="0"/>
                                                                                                                                                      <w:marBottom w:val="0"/>
                                                                                                                                                      <w:divBdr>
                                                                                                                                                        <w:top w:val="none" w:sz="0" w:space="0" w:color="auto"/>
                                                                                                                                                        <w:left w:val="none" w:sz="0" w:space="0" w:color="auto"/>
                                                                                                                                                        <w:bottom w:val="none" w:sz="0" w:space="0" w:color="auto"/>
                                                                                                                                                        <w:right w:val="none" w:sz="0" w:space="0" w:color="auto"/>
                                                                                                                                                      </w:divBdr>
                                                                                                                                                    </w:div>
                                                                                                                                                    <w:div w:id="1189760639">
                                                                                                                                                      <w:marLeft w:val="0"/>
                                                                                                                                                      <w:marRight w:val="0"/>
                                                                                                                                                      <w:marTop w:val="0"/>
                                                                                                                                                      <w:marBottom w:val="0"/>
                                                                                                                                                      <w:divBdr>
                                                                                                                                                        <w:top w:val="none" w:sz="0" w:space="0" w:color="auto"/>
                                                                                                                                                        <w:left w:val="none" w:sz="0" w:space="0" w:color="auto"/>
                                                                                                                                                        <w:bottom w:val="none" w:sz="0" w:space="0" w:color="auto"/>
                                                                                                                                                        <w:right w:val="none" w:sz="0" w:space="0" w:color="auto"/>
                                                                                                                                                      </w:divBdr>
                                                                                                                                                      <w:divsChild>
                                                                                                                                                        <w:div w:id="972563223">
                                                                                                                                                          <w:marLeft w:val="0"/>
                                                                                                                                                          <w:marRight w:val="0"/>
                                                                                                                                                          <w:marTop w:val="0"/>
                                                                                                                                                          <w:marBottom w:val="0"/>
                                                                                                                                                          <w:divBdr>
                                                                                                                                                            <w:top w:val="none" w:sz="0" w:space="0" w:color="auto"/>
                                                                                                                                                            <w:left w:val="none" w:sz="0" w:space="0" w:color="auto"/>
                                                                                                                                                            <w:bottom w:val="none" w:sz="0" w:space="0" w:color="auto"/>
                                                                                                                                                            <w:right w:val="none" w:sz="0" w:space="0" w:color="auto"/>
                                                                                                                                                          </w:divBdr>
                                                                                                                                                        </w:div>
                                                                                                                                                      </w:divsChild>
                                                                                                                                                    </w:div>
                                                                                                                                                    <w:div w:id="1417508947">
                                                                                                                                                      <w:marLeft w:val="0"/>
                                                                                                                                                      <w:marRight w:val="0"/>
                                                                                                                                                      <w:marTop w:val="0"/>
                                                                                                                                                      <w:marBottom w:val="0"/>
                                                                                                                                                      <w:divBdr>
                                                                                                                                                        <w:top w:val="none" w:sz="0" w:space="0" w:color="auto"/>
                                                                                                                                                        <w:left w:val="none" w:sz="0" w:space="0" w:color="auto"/>
                                                                                                                                                        <w:bottom w:val="none" w:sz="0" w:space="0" w:color="auto"/>
                                                                                                                                                        <w:right w:val="none" w:sz="0" w:space="0" w:color="auto"/>
                                                                                                                                                      </w:divBdr>
                                                                                                                                                    </w:div>
                                                                                                                                                  </w:divsChild>
                                                                                                                                                </w:div>
                                                                                                                                                <w:div w:id="486897857">
                                                                                                                                                  <w:marLeft w:val="0"/>
                                                                                                                                                  <w:marRight w:val="0"/>
                                                                                                                                                  <w:marTop w:val="0"/>
                                                                                                                                                  <w:marBottom w:val="0"/>
                                                                                                                                                  <w:divBdr>
                                                                                                                                                    <w:top w:val="none" w:sz="0" w:space="0" w:color="auto"/>
                                                                                                                                                    <w:left w:val="none" w:sz="0" w:space="0" w:color="auto"/>
                                                                                                                                                    <w:bottom w:val="none" w:sz="0" w:space="0" w:color="auto"/>
                                                                                                                                                    <w:right w:val="none" w:sz="0" w:space="0" w:color="auto"/>
                                                                                                                                                  </w:divBdr>
                                                                                                                                                  <w:divsChild>
                                                                                                                                                    <w:div w:id="1293173518">
                                                                                                                                                      <w:marLeft w:val="0"/>
                                                                                                                                                      <w:marRight w:val="0"/>
                                                                                                                                                      <w:marTop w:val="0"/>
                                                                                                                                                      <w:marBottom w:val="0"/>
                                                                                                                                                      <w:divBdr>
                                                                                                                                                        <w:top w:val="none" w:sz="0" w:space="0" w:color="auto"/>
                                                                                                                                                        <w:left w:val="none" w:sz="0" w:space="0" w:color="auto"/>
                                                                                                                                                        <w:bottom w:val="none" w:sz="0" w:space="0" w:color="auto"/>
                                                                                                                                                        <w:right w:val="none" w:sz="0" w:space="0" w:color="auto"/>
                                                                                                                                                      </w:divBdr>
                                                                                                                                                    </w:div>
                                                                                                                                                    <w:div w:id="1920212816">
                                                                                                                                                      <w:marLeft w:val="0"/>
                                                                                                                                                      <w:marRight w:val="0"/>
                                                                                                                                                      <w:marTop w:val="0"/>
                                                                                                                                                      <w:marBottom w:val="0"/>
                                                                                                                                                      <w:divBdr>
                                                                                                                                                        <w:top w:val="none" w:sz="0" w:space="0" w:color="auto"/>
                                                                                                                                                        <w:left w:val="none" w:sz="0" w:space="0" w:color="auto"/>
                                                                                                                                                        <w:bottom w:val="none" w:sz="0" w:space="0" w:color="auto"/>
                                                                                                                                                        <w:right w:val="none" w:sz="0" w:space="0" w:color="auto"/>
                                                                                                                                                      </w:divBdr>
                                                                                                                                                    </w:div>
                                                                                                                                                  </w:divsChild>
                                                                                                                                                </w:div>
                                                                                                                                                <w:div w:id="660154508">
                                                                                                                                                  <w:marLeft w:val="0"/>
                                                                                                                                                  <w:marRight w:val="0"/>
                                                                                                                                                  <w:marTop w:val="0"/>
                                                                                                                                                  <w:marBottom w:val="0"/>
                                                                                                                                                  <w:divBdr>
                                                                                                                                                    <w:top w:val="none" w:sz="0" w:space="0" w:color="auto"/>
                                                                                                                                                    <w:left w:val="none" w:sz="0" w:space="0" w:color="auto"/>
                                                                                                                                                    <w:bottom w:val="none" w:sz="0" w:space="0" w:color="auto"/>
                                                                                                                                                    <w:right w:val="none" w:sz="0" w:space="0" w:color="auto"/>
                                                                                                                                                  </w:divBdr>
                                                                                                                                                  <w:divsChild>
                                                                                                                                                    <w:div w:id="643042708">
                                                                                                                                                      <w:marLeft w:val="0"/>
                                                                                                                                                      <w:marRight w:val="0"/>
                                                                                                                                                      <w:marTop w:val="0"/>
                                                                                                                                                      <w:marBottom w:val="0"/>
                                                                                                                                                      <w:divBdr>
                                                                                                                                                        <w:top w:val="none" w:sz="0" w:space="0" w:color="auto"/>
                                                                                                                                                        <w:left w:val="none" w:sz="0" w:space="0" w:color="auto"/>
                                                                                                                                                        <w:bottom w:val="none" w:sz="0" w:space="0" w:color="auto"/>
                                                                                                                                                        <w:right w:val="none" w:sz="0" w:space="0" w:color="auto"/>
                                                                                                                                                      </w:divBdr>
                                                                                                                                                    </w:div>
                                                                                                                                                    <w:div w:id="2125614961">
                                                                                                                                                      <w:marLeft w:val="0"/>
                                                                                                                                                      <w:marRight w:val="0"/>
                                                                                                                                                      <w:marTop w:val="0"/>
                                                                                                                                                      <w:marBottom w:val="0"/>
                                                                                                                                                      <w:divBdr>
                                                                                                                                                        <w:top w:val="none" w:sz="0" w:space="0" w:color="auto"/>
                                                                                                                                                        <w:left w:val="none" w:sz="0" w:space="0" w:color="auto"/>
                                                                                                                                                        <w:bottom w:val="none" w:sz="0" w:space="0" w:color="auto"/>
                                                                                                                                                        <w:right w:val="none" w:sz="0" w:space="0" w:color="auto"/>
                                                                                                                                                      </w:divBdr>
                                                                                                                                                    </w:div>
                                                                                                                                                  </w:divsChild>
                                                                                                                                                </w:div>
                                                                                                                                                <w:div w:id="1121731674">
                                                                                                                                                  <w:marLeft w:val="0"/>
                                                                                                                                                  <w:marRight w:val="0"/>
                                                                                                                                                  <w:marTop w:val="0"/>
                                                                                                                                                  <w:marBottom w:val="0"/>
                                                                                                                                                  <w:divBdr>
                                                                                                                                                    <w:top w:val="none" w:sz="0" w:space="0" w:color="auto"/>
                                                                                                                                                    <w:left w:val="none" w:sz="0" w:space="0" w:color="auto"/>
                                                                                                                                                    <w:bottom w:val="none" w:sz="0" w:space="0" w:color="auto"/>
                                                                                                                                                    <w:right w:val="none" w:sz="0" w:space="0" w:color="auto"/>
                                                                                                                                                  </w:divBdr>
                                                                                                                                                  <w:divsChild>
                                                                                                                                                    <w:div w:id="346296299">
                                                                                                                                                      <w:marLeft w:val="0"/>
                                                                                                                                                      <w:marRight w:val="0"/>
                                                                                                                                                      <w:marTop w:val="0"/>
                                                                                                                                                      <w:marBottom w:val="0"/>
                                                                                                                                                      <w:divBdr>
                                                                                                                                                        <w:top w:val="none" w:sz="0" w:space="0" w:color="auto"/>
                                                                                                                                                        <w:left w:val="none" w:sz="0" w:space="0" w:color="auto"/>
                                                                                                                                                        <w:bottom w:val="none" w:sz="0" w:space="0" w:color="auto"/>
                                                                                                                                                        <w:right w:val="none" w:sz="0" w:space="0" w:color="auto"/>
                                                                                                                                                      </w:divBdr>
                                                                                                                                                    </w:div>
                                                                                                                                                    <w:div w:id="354039064">
                                                                                                                                                      <w:marLeft w:val="0"/>
                                                                                                                                                      <w:marRight w:val="0"/>
                                                                                                                                                      <w:marTop w:val="0"/>
                                                                                                                                                      <w:marBottom w:val="0"/>
                                                                                                                                                      <w:divBdr>
                                                                                                                                                        <w:top w:val="none" w:sz="0" w:space="0" w:color="auto"/>
                                                                                                                                                        <w:left w:val="none" w:sz="0" w:space="0" w:color="auto"/>
                                                                                                                                                        <w:bottom w:val="none" w:sz="0" w:space="0" w:color="auto"/>
                                                                                                                                                        <w:right w:val="none" w:sz="0" w:space="0" w:color="auto"/>
                                                                                                                                                      </w:divBdr>
                                                                                                                                                    </w:div>
                                                                                                                                                    <w:div w:id="619339609">
                                                                                                                                                      <w:marLeft w:val="0"/>
                                                                                                                                                      <w:marRight w:val="0"/>
                                                                                                                                                      <w:marTop w:val="0"/>
                                                                                                                                                      <w:marBottom w:val="0"/>
                                                                                                                                                      <w:divBdr>
                                                                                                                                                        <w:top w:val="none" w:sz="0" w:space="0" w:color="auto"/>
                                                                                                                                                        <w:left w:val="none" w:sz="0" w:space="0" w:color="auto"/>
                                                                                                                                                        <w:bottom w:val="none" w:sz="0" w:space="0" w:color="auto"/>
                                                                                                                                                        <w:right w:val="none" w:sz="0" w:space="0" w:color="auto"/>
                                                                                                                                                      </w:divBdr>
                                                                                                                                                    </w:div>
                                                                                                                                                    <w:div w:id="733283641">
                                                                                                                                                      <w:marLeft w:val="0"/>
                                                                                                                                                      <w:marRight w:val="0"/>
                                                                                                                                                      <w:marTop w:val="0"/>
                                                                                                                                                      <w:marBottom w:val="0"/>
                                                                                                                                                      <w:divBdr>
                                                                                                                                                        <w:top w:val="none" w:sz="0" w:space="0" w:color="auto"/>
                                                                                                                                                        <w:left w:val="none" w:sz="0" w:space="0" w:color="auto"/>
                                                                                                                                                        <w:bottom w:val="none" w:sz="0" w:space="0" w:color="auto"/>
                                                                                                                                                        <w:right w:val="none" w:sz="0" w:space="0" w:color="auto"/>
                                                                                                                                                      </w:divBdr>
                                                                                                                                                    </w:div>
                                                                                                                                                    <w:div w:id="766735994">
                                                                                                                                                      <w:marLeft w:val="0"/>
                                                                                                                                                      <w:marRight w:val="0"/>
                                                                                                                                                      <w:marTop w:val="0"/>
                                                                                                                                                      <w:marBottom w:val="0"/>
                                                                                                                                                      <w:divBdr>
                                                                                                                                                        <w:top w:val="none" w:sz="0" w:space="0" w:color="auto"/>
                                                                                                                                                        <w:left w:val="none" w:sz="0" w:space="0" w:color="auto"/>
                                                                                                                                                        <w:bottom w:val="none" w:sz="0" w:space="0" w:color="auto"/>
                                                                                                                                                        <w:right w:val="none" w:sz="0" w:space="0" w:color="auto"/>
                                                                                                                                                      </w:divBdr>
                                                                                                                                                    </w:div>
                                                                                                                                                    <w:div w:id="888034070">
                                                                                                                                                      <w:marLeft w:val="0"/>
                                                                                                                                                      <w:marRight w:val="0"/>
                                                                                                                                                      <w:marTop w:val="0"/>
                                                                                                                                                      <w:marBottom w:val="0"/>
                                                                                                                                                      <w:divBdr>
                                                                                                                                                        <w:top w:val="none" w:sz="0" w:space="0" w:color="auto"/>
                                                                                                                                                        <w:left w:val="none" w:sz="0" w:space="0" w:color="auto"/>
                                                                                                                                                        <w:bottom w:val="none" w:sz="0" w:space="0" w:color="auto"/>
                                                                                                                                                        <w:right w:val="none" w:sz="0" w:space="0" w:color="auto"/>
                                                                                                                                                      </w:divBdr>
                                                                                                                                                    </w:div>
                                                                                                                                                    <w:div w:id="907612776">
                                                                                                                                                      <w:marLeft w:val="0"/>
                                                                                                                                                      <w:marRight w:val="0"/>
                                                                                                                                                      <w:marTop w:val="0"/>
                                                                                                                                                      <w:marBottom w:val="0"/>
                                                                                                                                                      <w:divBdr>
                                                                                                                                                        <w:top w:val="none" w:sz="0" w:space="0" w:color="auto"/>
                                                                                                                                                        <w:left w:val="none" w:sz="0" w:space="0" w:color="auto"/>
                                                                                                                                                        <w:bottom w:val="none" w:sz="0" w:space="0" w:color="auto"/>
                                                                                                                                                        <w:right w:val="none" w:sz="0" w:space="0" w:color="auto"/>
                                                                                                                                                      </w:divBdr>
                                                                                                                                                    </w:div>
                                                                                                                                                    <w:div w:id="958294087">
                                                                                                                                                      <w:marLeft w:val="0"/>
                                                                                                                                                      <w:marRight w:val="0"/>
                                                                                                                                                      <w:marTop w:val="0"/>
                                                                                                                                                      <w:marBottom w:val="0"/>
                                                                                                                                                      <w:divBdr>
                                                                                                                                                        <w:top w:val="none" w:sz="0" w:space="0" w:color="auto"/>
                                                                                                                                                        <w:left w:val="none" w:sz="0" w:space="0" w:color="auto"/>
                                                                                                                                                        <w:bottom w:val="none" w:sz="0" w:space="0" w:color="auto"/>
                                                                                                                                                        <w:right w:val="none" w:sz="0" w:space="0" w:color="auto"/>
                                                                                                                                                      </w:divBdr>
                                                                                                                                                    </w:div>
                                                                                                                                                    <w:div w:id="1877961340">
                                                                                                                                                      <w:marLeft w:val="0"/>
                                                                                                                                                      <w:marRight w:val="0"/>
                                                                                                                                                      <w:marTop w:val="0"/>
                                                                                                                                                      <w:marBottom w:val="0"/>
                                                                                                                                                      <w:divBdr>
                                                                                                                                                        <w:top w:val="none" w:sz="0" w:space="0" w:color="auto"/>
                                                                                                                                                        <w:left w:val="none" w:sz="0" w:space="0" w:color="auto"/>
                                                                                                                                                        <w:bottom w:val="none" w:sz="0" w:space="0" w:color="auto"/>
                                                                                                                                                        <w:right w:val="none" w:sz="0" w:space="0" w:color="auto"/>
                                                                                                                                                      </w:divBdr>
                                                                                                                                                    </w:div>
                                                                                                                                                    <w:div w:id="1919435014">
                                                                                                                                                      <w:marLeft w:val="0"/>
                                                                                                                                                      <w:marRight w:val="0"/>
                                                                                                                                                      <w:marTop w:val="0"/>
                                                                                                                                                      <w:marBottom w:val="0"/>
                                                                                                                                                      <w:divBdr>
                                                                                                                                                        <w:top w:val="none" w:sz="0" w:space="0" w:color="auto"/>
                                                                                                                                                        <w:left w:val="none" w:sz="0" w:space="0" w:color="auto"/>
                                                                                                                                                        <w:bottom w:val="none" w:sz="0" w:space="0" w:color="auto"/>
                                                                                                                                                        <w:right w:val="none" w:sz="0" w:space="0" w:color="auto"/>
                                                                                                                                                      </w:divBdr>
                                                                                                                                                    </w:div>
                                                                                                                                                    <w:div w:id="203457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9778412">
      <w:bodyDiv w:val="1"/>
      <w:marLeft w:val="0"/>
      <w:marRight w:val="0"/>
      <w:marTop w:val="0"/>
      <w:marBottom w:val="0"/>
      <w:divBdr>
        <w:top w:val="none" w:sz="0" w:space="0" w:color="auto"/>
        <w:left w:val="none" w:sz="0" w:space="0" w:color="auto"/>
        <w:bottom w:val="none" w:sz="0" w:space="0" w:color="auto"/>
        <w:right w:val="none" w:sz="0" w:space="0" w:color="auto"/>
      </w:divBdr>
      <w:divsChild>
        <w:div w:id="31272176">
          <w:marLeft w:val="0"/>
          <w:marRight w:val="0"/>
          <w:marTop w:val="0"/>
          <w:marBottom w:val="0"/>
          <w:divBdr>
            <w:top w:val="none" w:sz="0" w:space="0" w:color="auto"/>
            <w:left w:val="none" w:sz="0" w:space="0" w:color="auto"/>
            <w:bottom w:val="none" w:sz="0" w:space="0" w:color="auto"/>
            <w:right w:val="none" w:sz="0" w:space="0" w:color="auto"/>
          </w:divBdr>
        </w:div>
        <w:div w:id="97217361">
          <w:marLeft w:val="0"/>
          <w:marRight w:val="0"/>
          <w:marTop w:val="0"/>
          <w:marBottom w:val="0"/>
          <w:divBdr>
            <w:top w:val="none" w:sz="0" w:space="0" w:color="auto"/>
            <w:left w:val="none" w:sz="0" w:space="0" w:color="auto"/>
            <w:bottom w:val="none" w:sz="0" w:space="0" w:color="auto"/>
            <w:right w:val="none" w:sz="0" w:space="0" w:color="auto"/>
          </w:divBdr>
        </w:div>
        <w:div w:id="1180239325">
          <w:marLeft w:val="0"/>
          <w:marRight w:val="0"/>
          <w:marTop w:val="0"/>
          <w:marBottom w:val="0"/>
          <w:divBdr>
            <w:top w:val="none" w:sz="0" w:space="0" w:color="auto"/>
            <w:left w:val="none" w:sz="0" w:space="0" w:color="auto"/>
            <w:bottom w:val="none" w:sz="0" w:space="0" w:color="auto"/>
            <w:right w:val="none" w:sz="0" w:space="0" w:color="auto"/>
          </w:divBdr>
        </w:div>
        <w:div w:id="1936666636">
          <w:marLeft w:val="0"/>
          <w:marRight w:val="0"/>
          <w:marTop w:val="0"/>
          <w:marBottom w:val="0"/>
          <w:divBdr>
            <w:top w:val="none" w:sz="0" w:space="0" w:color="auto"/>
            <w:left w:val="none" w:sz="0" w:space="0" w:color="auto"/>
            <w:bottom w:val="none" w:sz="0" w:space="0" w:color="auto"/>
            <w:right w:val="none" w:sz="0" w:space="0" w:color="auto"/>
          </w:divBdr>
        </w:div>
      </w:divsChild>
    </w:div>
    <w:div w:id="972715731">
      <w:bodyDiv w:val="1"/>
      <w:marLeft w:val="0"/>
      <w:marRight w:val="0"/>
      <w:marTop w:val="0"/>
      <w:marBottom w:val="0"/>
      <w:divBdr>
        <w:top w:val="none" w:sz="0" w:space="0" w:color="auto"/>
        <w:left w:val="none" w:sz="0" w:space="0" w:color="auto"/>
        <w:bottom w:val="none" w:sz="0" w:space="0" w:color="auto"/>
        <w:right w:val="none" w:sz="0" w:space="0" w:color="auto"/>
      </w:divBdr>
      <w:divsChild>
        <w:div w:id="118957793">
          <w:marLeft w:val="0"/>
          <w:marRight w:val="0"/>
          <w:marTop w:val="0"/>
          <w:marBottom w:val="0"/>
          <w:divBdr>
            <w:top w:val="none" w:sz="0" w:space="0" w:color="auto"/>
            <w:left w:val="none" w:sz="0" w:space="0" w:color="auto"/>
            <w:bottom w:val="none" w:sz="0" w:space="0" w:color="auto"/>
            <w:right w:val="none" w:sz="0" w:space="0" w:color="auto"/>
          </w:divBdr>
        </w:div>
        <w:div w:id="219875469">
          <w:marLeft w:val="0"/>
          <w:marRight w:val="0"/>
          <w:marTop w:val="0"/>
          <w:marBottom w:val="0"/>
          <w:divBdr>
            <w:top w:val="none" w:sz="0" w:space="0" w:color="auto"/>
            <w:left w:val="none" w:sz="0" w:space="0" w:color="auto"/>
            <w:bottom w:val="none" w:sz="0" w:space="0" w:color="auto"/>
            <w:right w:val="none" w:sz="0" w:space="0" w:color="auto"/>
          </w:divBdr>
        </w:div>
        <w:div w:id="333459824">
          <w:marLeft w:val="0"/>
          <w:marRight w:val="0"/>
          <w:marTop w:val="0"/>
          <w:marBottom w:val="0"/>
          <w:divBdr>
            <w:top w:val="none" w:sz="0" w:space="0" w:color="auto"/>
            <w:left w:val="none" w:sz="0" w:space="0" w:color="auto"/>
            <w:bottom w:val="none" w:sz="0" w:space="0" w:color="auto"/>
            <w:right w:val="none" w:sz="0" w:space="0" w:color="auto"/>
          </w:divBdr>
        </w:div>
        <w:div w:id="1239679472">
          <w:marLeft w:val="0"/>
          <w:marRight w:val="0"/>
          <w:marTop w:val="0"/>
          <w:marBottom w:val="0"/>
          <w:divBdr>
            <w:top w:val="none" w:sz="0" w:space="0" w:color="auto"/>
            <w:left w:val="none" w:sz="0" w:space="0" w:color="auto"/>
            <w:bottom w:val="none" w:sz="0" w:space="0" w:color="auto"/>
            <w:right w:val="none" w:sz="0" w:space="0" w:color="auto"/>
          </w:divBdr>
        </w:div>
        <w:div w:id="1428312265">
          <w:marLeft w:val="0"/>
          <w:marRight w:val="0"/>
          <w:marTop w:val="0"/>
          <w:marBottom w:val="0"/>
          <w:divBdr>
            <w:top w:val="none" w:sz="0" w:space="0" w:color="auto"/>
            <w:left w:val="none" w:sz="0" w:space="0" w:color="auto"/>
            <w:bottom w:val="none" w:sz="0" w:space="0" w:color="auto"/>
            <w:right w:val="none" w:sz="0" w:space="0" w:color="auto"/>
          </w:divBdr>
        </w:div>
        <w:div w:id="1484345633">
          <w:marLeft w:val="0"/>
          <w:marRight w:val="0"/>
          <w:marTop w:val="0"/>
          <w:marBottom w:val="0"/>
          <w:divBdr>
            <w:top w:val="none" w:sz="0" w:space="0" w:color="auto"/>
            <w:left w:val="none" w:sz="0" w:space="0" w:color="auto"/>
            <w:bottom w:val="none" w:sz="0" w:space="0" w:color="auto"/>
            <w:right w:val="none" w:sz="0" w:space="0" w:color="auto"/>
          </w:divBdr>
        </w:div>
        <w:div w:id="2094625850">
          <w:marLeft w:val="0"/>
          <w:marRight w:val="0"/>
          <w:marTop w:val="0"/>
          <w:marBottom w:val="0"/>
          <w:divBdr>
            <w:top w:val="none" w:sz="0" w:space="0" w:color="auto"/>
            <w:left w:val="none" w:sz="0" w:space="0" w:color="auto"/>
            <w:bottom w:val="none" w:sz="0" w:space="0" w:color="auto"/>
            <w:right w:val="none" w:sz="0" w:space="0" w:color="auto"/>
          </w:divBdr>
        </w:div>
        <w:div w:id="2117477779">
          <w:marLeft w:val="0"/>
          <w:marRight w:val="0"/>
          <w:marTop w:val="0"/>
          <w:marBottom w:val="0"/>
          <w:divBdr>
            <w:top w:val="none" w:sz="0" w:space="0" w:color="auto"/>
            <w:left w:val="none" w:sz="0" w:space="0" w:color="auto"/>
            <w:bottom w:val="none" w:sz="0" w:space="0" w:color="auto"/>
            <w:right w:val="none" w:sz="0" w:space="0" w:color="auto"/>
          </w:divBdr>
        </w:div>
      </w:divsChild>
    </w:div>
    <w:div w:id="1405227425">
      <w:bodyDiv w:val="1"/>
      <w:marLeft w:val="0"/>
      <w:marRight w:val="0"/>
      <w:marTop w:val="0"/>
      <w:marBottom w:val="0"/>
      <w:divBdr>
        <w:top w:val="none" w:sz="0" w:space="0" w:color="auto"/>
        <w:left w:val="none" w:sz="0" w:space="0" w:color="auto"/>
        <w:bottom w:val="none" w:sz="0" w:space="0" w:color="auto"/>
        <w:right w:val="none" w:sz="0" w:space="0" w:color="auto"/>
      </w:divBdr>
    </w:div>
    <w:div w:id="1761490535">
      <w:bodyDiv w:val="1"/>
      <w:marLeft w:val="0"/>
      <w:marRight w:val="0"/>
      <w:marTop w:val="0"/>
      <w:marBottom w:val="0"/>
      <w:divBdr>
        <w:top w:val="none" w:sz="0" w:space="0" w:color="auto"/>
        <w:left w:val="none" w:sz="0" w:space="0" w:color="auto"/>
        <w:bottom w:val="none" w:sz="0" w:space="0" w:color="auto"/>
        <w:right w:val="none" w:sz="0" w:space="0" w:color="auto"/>
      </w:divBdr>
    </w:div>
    <w:div w:id="1773818614">
      <w:bodyDiv w:val="1"/>
      <w:marLeft w:val="0"/>
      <w:marRight w:val="0"/>
      <w:marTop w:val="0"/>
      <w:marBottom w:val="0"/>
      <w:divBdr>
        <w:top w:val="none" w:sz="0" w:space="0" w:color="auto"/>
        <w:left w:val="none" w:sz="0" w:space="0" w:color="auto"/>
        <w:bottom w:val="none" w:sz="0" w:space="0" w:color="auto"/>
        <w:right w:val="none" w:sz="0" w:space="0" w:color="auto"/>
      </w:divBdr>
      <w:divsChild>
        <w:div w:id="777263252">
          <w:marLeft w:val="0"/>
          <w:marRight w:val="0"/>
          <w:marTop w:val="0"/>
          <w:marBottom w:val="0"/>
          <w:divBdr>
            <w:top w:val="none" w:sz="0" w:space="0" w:color="auto"/>
            <w:left w:val="none" w:sz="0" w:space="0" w:color="auto"/>
            <w:bottom w:val="none" w:sz="0" w:space="0" w:color="auto"/>
            <w:right w:val="none" w:sz="0" w:space="0" w:color="auto"/>
          </w:divBdr>
        </w:div>
      </w:divsChild>
    </w:div>
    <w:div w:id="1954283649">
      <w:bodyDiv w:val="1"/>
      <w:marLeft w:val="0"/>
      <w:marRight w:val="0"/>
      <w:marTop w:val="0"/>
      <w:marBottom w:val="0"/>
      <w:divBdr>
        <w:top w:val="none" w:sz="0" w:space="0" w:color="auto"/>
        <w:left w:val="none" w:sz="0" w:space="0" w:color="auto"/>
        <w:bottom w:val="none" w:sz="0" w:space="0" w:color="auto"/>
        <w:right w:val="none" w:sz="0" w:space="0" w:color="auto"/>
      </w:divBdr>
    </w:div>
    <w:div w:id="1972440671">
      <w:bodyDiv w:val="1"/>
      <w:marLeft w:val="0"/>
      <w:marRight w:val="0"/>
      <w:marTop w:val="0"/>
      <w:marBottom w:val="0"/>
      <w:divBdr>
        <w:top w:val="none" w:sz="0" w:space="0" w:color="auto"/>
        <w:left w:val="none" w:sz="0" w:space="0" w:color="auto"/>
        <w:bottom w:val="none" w:sz="0" w:space="0" w:color="auto"/>
        <w:right w:val="none" w:sz="0" w:space="0" w:color="auto"/>
      </w:divBdr>
      <w:divsChild>
        <w:div w:id="1626811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DEA89-4FD7-4F24-96FB-55BD8FF06119}">
  <ds:schemaRefs>
    <ds:schemaRef ds:uri="http://schemas.openxmlformats.org/officeDocument/2006/bibliography"/>
  </ds:schemaRefs>
</ds:datastoreItem>
</file>

<file path=customXml/itemProps2.xml><?xml version="1.0" encoding="utf-8"?>
<ds:datastoreItem xmlns:ds="http://schemas.openxmlformats.org/officeDocument/2006/customXml" ds:itemID="{814491C3-3614-44D9-8079-962CC9B71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2965</TotalTime>
  <Pages>23</Pages>
  <Words>14735</Words>
  <Characters>79570</Characters>
  <Application>Microsoft Office Word</Application>
  <DocSecurity>0</DocSecurity>
  <Lines>663</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Marcello Angotti</cp:lastModifiedBy>
  <cp:revision>11</cp:revision>
  <dcterms:created xsi:type="dcterms:W3CDTF">2015-08-24T21:50:00Z</dcterms:created>
  <dcterms:modified xsi:type="dcterms:W3CDTF">2016-09-13T20:39:00Z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hugocosta@ufrj.br@www.mendeley.com</vt:lpwstr>
  </property>
  <property fmtid="{D5CDD505-2E9C-101B-9397-08002B2CF9AE}" pid="4" name="Mendeley Citation Style_1">
    <vt:lpwstr>http://www.zotero.org/styles/associacao-brasileira-de-normas-tecnicas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http://www.zotero.org/styles/associacao-brasileira-de-normas-tecnicas</vt:lpwstr>
  </property>
  <property fmtid="{D5CDD505-2E9C-101B-9397-08002B2CF9AE}" pid="14" name="Mendeley Recent Style Name 4_1">
    <vt:lpwstr>Associação Brasileira de Normas Técnicas (Portuguese - Brazil)</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16th edition (author-date)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7th edition</vt:lpwstr>
  </property>
</Properties>
</file>