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F0" w:rsidRDefault="008B0045">
      <w:pPr>
        <w:rPr>
          <w:lang w:val="pt-BR"/>
        </w:rPr>
      </w:pPr>
    </w:p>
    <w:p w:rsidR="00A55BF5" w:rsidRDefault="00191865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Prezados Autores:</w:t>
      </w:r>
    </w:p>
    <w:p w:rsidR="00A55BF5" w:rsidRDefault="00191865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O Conselho Editorial da Revista Enfoque Reflexão Contábil, após apreciar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o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artigo “As Instituições Financeiras Brasileiras Usam a PCLD </w:t>
      </w:r>
      <w:proofErr w:type="spellStart"/>
      <w:proofErr w:type="gramStart"/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paraGerenciamento</w:t>
      </w:r>
      <w:proofErr w:type="spellEnd"/>
      <w:proofErr w:type="gramEnd"/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de Capital?”, de Vossas Senhorias, informa que o mesmo foi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aceito para publicação. Entretanto, solicitamos que o mesmo seja ajustado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considerando os pareceres dos avaliadores.</w:t>
      </w:r>
    </w:p>
    <w:p w:rsidR="00A55BF5" w:rsidRDefault="00191865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Após, enviar o texto ajustado para a Base SEER, no mesmo ID gerado quando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da submissão do artigo e, em “Documentos Suplementares” encaminhar os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dados completos dos Autores como: Nome, Titulação, Instituição de Ensino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a qual pertence, Programa de Pós-graduação a qual pertence, Endereço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Completo e e-mail.</w:t>
      </w:r>
    </w:p>
    <w:p w:rsidR="00A55BF5" w:rsidRDefault="00191865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Atenciosamente,</w:t>
      </w:r>
    </w:p>
    <w:p w:rsidR="00A55BF5" w:rsidRDefault="00191865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Prof. Marcelo Soncini Rodrigues</w:t>
      </w:r>
      <w:r w:rsidRPr="00191865">
        <w:rPr>
          <w:rFonts w:ascii="Arial" w:hAnsi="Arial" w:cs="Arial"/>
          <w:color w:val="222222"/>
          <w:sz w:val="19"/>
          <w:szCs w:val="19"/>
          <w:lang w:val="pt-BR"/>
        </w:rPr>
        <w:br/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Editor - Chefe</w:t>
      </w:r>
      <w:r w:rsidRPr="00191865">
        <w:rPr>
          <w:rFonts w:ascii="Arial" w:hAnsi="Arial" w:cs="Arial"/>
          <w:color w:val="222222"/>
          <w:sz w:val="19"/>
          <w:szCs w:val="19"/>
          <w:lang w:val="pt-BR"/>
        </w:rPr>
        <w:br/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UEM, Maringá, Paraná</w:t>
      </w:r>
      <w:r w:rsidRPr="00191865">
        <w:rPr>
          <w:rFonts w:ascii="Arial" w:hAnsi="Arial" w:cs="Arial"/>
          <w:color w:val="222222"/>
          <w:sz w:val="19"/>
          <w:szCs w:val="19"/>
          <w:lang w:val="pt-BR"/>
        </w:rPr>
        <w:br/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Fone:</w:t>
      </w:r>
      <w:r w:rsidRPr="00191865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 </w:t>
      </w:r>
      <w:hyperlink r:id="rId5" w:history="1">
        <w:r w:rsidRPr="00191865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  <w:lang w:val="pt-BR"/>
          </w:rPr>
          <w:t>+55(44) 3011-4910</w:t>
        </w:r>
      </w:hyperlink>
      <w:r w:rsidRPr="00191865">
        <w:rPr>
          <w:rFonts w:ascii="Arial" w:hAnsi="Arial" w:cs="Arial"/>
          <w:color w:val="222222"/>
          <w:sz w:val="19"/>
          <w:szCs w:val="19"/>
          <w:lang w:val="pt-BR"/>
        </w:rPr>
        <w:br/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E-mail:</w:t>
      </w:r>
      <w:r w:rsidRPr="00191865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 </w:t>
      </w:r>
      <w:hyperlink r:id="rId6" w:history="1">
        <w:r w:rsidRPr="00191865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  <w:lang w:val="pt-BR"/>
          </w:rPr>
          <w:t>msrodrigues@uem.br</w:t>
        </w:r>
      </w:hyperlink>
      <w:r w:rsidRPr="00191865">
        <w:rPr>
          <w:rFonts w:ascii="Arial" w:hAnsi="Arial" w:cs="Arial"/>
          <w:color w:val="222222"/>
          <w:sz w:val="19"/>
          <w:szCs w:val="19"/>
          <w:lang w:val="pt-BR"/>
        </w:rPr>
        <w:br/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             </w:t>
      </w:r>
      <w:hyperlink r:id="rId7" w:history="1">
        <w:r w:rsidRPr="00191865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  <w:lang w:val="pt-BR"/>
          </w:rPr>
          <w:t>rev-enfoque@uem.br</w:t>
        </w:r>
      </w:hyperlink>
      <w:r w:rsidRPr="00191865">
        <w:rPr>
          <w:rFonts w:ascii="Arial" w:hAnsi="Arial" w:cs="Arial"/>
          <w:color w:val="222222"/>
          <w:sz w:val="19"/>
          <w:szCs w:val="19"/>
          <w:lang w:val="pt-BR"/>
        </w:rPr>
        <w:br/>
      </w:r>
      <w:r w:rsidRPr="00191865">
        <w:rPr>
          <w:rFonts w:ascii="Arial" w:hAnsi="Arial" w:cs="Arial"/>
          <w:color w:val="222222"/>
          <w:sz w:val="19"/>
          <w:szCs w:val="19"/>
          <w:lang w:val="pt-BR"/>
        </w:rPr>
        <w:br/>
      </w:r>
      <w:r w:rsidRPr="00191865">
        <w:rPr>
          <w:rFonts w:ascii="Arial" w:hAnsi="Arial" w:cs="Arial"/>
          <w:color w:val="222222"/>
          <w:sz w:val="19"/>
          <w:szCs w:val="19"/>
          <w:lang w:val="pt-BR"/>
        </w:rPr>
        <w:br/>
      </w:r>
      <w:bookmarkStart w:id="0" w:name="_GoBack"/>
      <w:bookmarkEnd w:id="0"/>
    </w:p>
    <w:p w:rsidR="00A55BF5" w:rsidRDefault="00191865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Pontos fortes do artigo:</w:t>
      </w:r>
    </w:p>
    <w:p w:rsidR="00A55BF5" w:rsidRDefault="00191865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-Tema relevante e artigo bem escrito.</w:t>
      </w:r>
    </w:p>
    <w:p w:rsidR="00A55BF5" w:rsidRDefault="00191865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Pontos fracos do artigo:</w:t>
      </w:r>
    </w:p>
    <w:p w:rsidR="00A55BF5" w:rsidRDefault="00191865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- Não tratar do</w:t>
      </w:r>
      <w:proofErr w:type="gramStart"/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proofErr w:type="gramEnd"/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impacto de temas importantes como da Basileia III e do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IFRS 9 no artigo.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Vide sugestões de melhoria.</w:t>
      </w:r>
    </w:p>
    <w:p w:rsidR="00A55BF5" w:rsidRDefault="00A55BF5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</w:p>
    <w:p w:rsidR="00A55BF5" w:rsidRDefault="00191865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Sugestões para melhorias no artigo:</w:t>
      </w:r>
    </w:p>
    <w:p w:rsidR="0068686D" w:rsidRDefault="0068686D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- </w:t>
      </w:r>
      <w:r w:rsidR="00191865"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Esclarecer o que é gerenciamento de capital logo no resumo</w:t>
      </w:r>
    </w:p>
    <w:tbl>
      <w:tblPr>
        <w:tblStyle w:val="Tabelacomgrade"/>
        <w:tblW w:w="7938" w:type="dxa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68686D" w:rsidRPr="00605807" w:rsidTr="0068686D">
        <w:tc>
          <w:tcPr>
            <w:tcW w:w="7938" w:type="dxa"/>
            <w:shd w:val="clear" w:color="auto" w:fill="FFFF00"/>
          </w:tcPr>
          <w:p w:rsidR="0068686D" w:rsidRPr="0068686D" w:rsidRDefault="0068686D" w:rsidP="0068686D">
            <w:pPr>
              <w:spacing w:before="120" w:after="120"/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</w:pPr>
            <w:r w:rsidRPr="0068686D"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  <w:t>Ok. Ajuste providenciado</w:t>
            </w:r>
            <w:r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  <w:t xml:space="preserve"> no resumo e no abstract</w:t>
            </w:r>
            <w:r w:rsidRPr="0068686D"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  <w:t>.</w:t>
            </w:r>
          </w:p>
        </w:tc>
      </w:tr>
    </w:tbl>
    <w:p w:rsidR="0068686D" w:rsidRDefault="0068686D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</w:p>
    <w:p w:rsidR="0068686D" w:rsidRDefault="00191865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Reflexão:</w:t>
      </w:r>
      <w:r w:rsidRPr="00191865">
        <w:rPr>
          <w:rFonts w:ascii="Arial" w:hAnsi="Arial" w:cs="Arial"/>
          <w:color w:val="222222"/>
          <w:sz w:val="19"/>
          <w:szCs w:val="19"/>
          <w:lang w:val="pt-BR"/>
        </w:rPr>
        <w:br/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-O capital regulamentar não é calculado a partir dos dados contábeis?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Logo não era de se esperar que o indicador regulamentar e o índice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contábil ficassem próximos?</w:t>
      </w:r>
    </w:p>
    <w:tbl>
      <w:tblPr>
        <w:tblStyle w:val="Tabelacomgrade"/>
        <w:tblW w:w="7938" w:type="dxa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68686D" w:rsidRPr="00605807" w:rsidTr="0068686D">
        <w:tc>
          <w:tcPr>
            <w:tcW w:w="7938" w:type="dxa"/>
            <w:shd w:val="clear" w:color="auto" w:fill="FFFF00"/>
          </w:tcPr>
          <w:p w:rsidR="0068686D" w:rsidRPr="0068686D" w:rsidRDefault="009B3ADC" w:rsidP="004E142D">
            <w:pPr>
              <w:spacing w:before="120" w:after="120"/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  <w:t xml:space="preserve">Exatamente. De qualquer forma, </w:t>
            </w:r>
            <w:proofErr w:type="gramStart"/>
            <w:r w:rsidR="00E3056D"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  <w:t>foi</w:t>
            </w:r>
            <w:proofErr w:type="gramEnd"/>
            <w:r w:rsidR="00E3056D"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  <w:t xml:space="preserve"> destacado, logo após a apresentação do modelo (3.2) as diferenças básicas entre os modelos. Na Seção 4</w:t>
            </w:r>
            <w:r w:rsidR="004E142D"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  <w:t>, ao apresentar as estatísticas descritivas também é apresentada a justificativa para as diferenças entre as duas medidas.</w:t>
            </w:r>
          </w:p>
        </w:tc>
      </w:tr>
    </w:tbl>
    <w:p w:rsidR="0068686D" w:rsidRDefault="0068686D" w:rsidP="0068686D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</w:p>
    <w:p w:rsidR="00A55BF5" w:rsidRDefault="00191865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lastRenderedPageBreak/>
        <w:t>-Se levássemos em consideração os conceitos de Basiléia III, de que o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Nível do Patrimônio deve  flutuar de acordo com o ciclo da economia,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chegaríamos ao mesmo resultado em relação </w:t>
      </w:r>
      <w:proofErr w:type="gramStart"/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a</w:t>
      </w:r>
      <w:proofErr w:type="gramEnd"/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análise PIB x PLCD. Acho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oportuno citar esse avanço que </w:t>
      </w:r>
      <w:proofErr w:type="gramStart"/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o Basiléia</w:t>
      </w:r>
      <w:proofErr w:type="gramEnd"/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III trouxe em lidar com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períodos de recessão/expansão da economia.</w:t>
      </w:r>
    </w:p>
    <w:tbl>
      <w:tblPr>
        <w:tblStyle w:val="Tabelacomgrade"/>
        <w:tblW w:w="7938" w:type="dxa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4E142D" w:rsidRPr="00605807" w:rsidTr="00C454F5">
        <w:tc>
          <w:tcPr>
            <w:tcW w:w="7938" w:type="dxa"/>
            <w:shd w:val="clear" w:color="auto" w:fill="FFFF00"/>
          </w:tcPr>
          <w:p w:rsidR="004E142D" w:rsidRPr="0068686D" w:rsidRDefault="00B541B5" w:rsidP="00B541B5">
            <w:pPr>
              <w:spacing w:before="120" w:after="120"/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  <w:t xml:space="preserve">Ok. Sugestão </w:t>
            </w:r>
            <w:proofErr w:type="gramStart"/>
            <w:r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  <w:t>implementada</w:t>
            </w:r>
            <w:proofErr w:type="gramEnd"/>
            <w:r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  <w:t>,</w:t>
            </w:r>
            <w:r w:rsidR="00605807"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  <w:t xml:space="preserve"> conforme texto</w:t>
            </w:r>
            <w:r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  <w:t xml:space="preserve"> no penúltimo parágrafo da Seção 4.</w:t>
            </w:r>
          </w:p>
        </w:tc>
      </w:tr>
    </w:tbl>
    <w:p w:rsidR="004E142D" w:rsidRDefault="004E142D" w:rsidP="004E142D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</w:p>
    <w:p w:rsidR="00A55BF5" w:rsidRDefault="00191865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-Talvez fosse interessante também discutir sobre a mudança de perda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esperada para perda incorrida trazida pelo  IFRS 9/ CPC48. Qual seria o</w:t>
      </w:r>
      <w:r w:rsidR="00A55BF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 xml:space="preserve"> </w:t>
      </w:r>
      <w:r w:rsidRPr="00191865"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  <w:t>impacto dessa mudança no estudo?</w:t>
      </w:r>
    </w:p>
    <w:tbl>
      <w:tblPr>
        <w:tblStyle w:val="Tabelacomgrade"/>
        <w:tblW w:w="7938" w:type="dxa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B541B5" w:rsidRPr="00451C7A" w:rsidTr="00C454F5">
        <w:tc>
          <w:tcPr>
            <w:tcW w:w="7938" w:type="dxa"/>
            <w:shd w:val="clear" w:color="auto" w:fill="FFFF00"/>
          </w:tcPr>
          <w:p w:rsidR="00B541B5" w:rsidRPr="0068686D" w:rsidRDefault="00451C7A" w:rsidP="00C454F5">
            <w:pPr>
              <w:spacing w:before="120" w:after="120"/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  <w:t xml:space="preserve">Incorporada a discussão dos potenciais impactos da adoção dos preceitos da IFRS </w:t>
            </w:r>
            <w:proofErr w:type="gramStart"/>
            <w:r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  <w:t>9</w:t>
            </w:r>
            <w:proofErr w:type="gramEnd"/>
            <w:r>
              <w:rPr>
                <w:rFonts w:ascii="Arial" w:hAnsi="Arial" w:cs="Arial"/>
                <w:color w:val="FF0000"/>
                <w:sz w:val="19"/>
                <w:szCs w:val="19"/>
                <w:shd w:val="clear" w:color="auto" w:fill="FFFFFF"/>
                <w:lang w:val="pt-BR"/>
              </w:rPr>
              <w:t>, no final da Seção 2.2 e nas considerações finais do estudo.</w:t>
            </w:r>
          </w:p>
        </w:tc>
      </w:tr>
    </w:tbl>
    <w:p w:rsidR="00B541B5" w:rsidRDefault="00B541B5" w:rsidP="00B541B5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</w:p>
    <w:p w:rsidR="00A55BF5" w:rsidRDefault="00A55BF5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pt-BR"/>
        </w:rPr>
      </w:pPr>
    </w:p>
    <w:p w:rsidR="00191865" w:rsidRDefault="00191865">
      <w:pPr>
        <w:rPr>
          <w:lang w:val="pt-BR"/>
        </w:rPr>
      </w:pPr>
    </w:p>
    <w:p w:rsidR="00191865" w:rsidRDefault="00191865">
      <w:pPr>
        <w:rPr>
          <w:lang w:val="pt-BR"/>
        </w:rPr>
      </w:pPr>
    </w:p>
    <w:p w:rsidR="00191865" w:rsidRDefault="00191865">
      <w:pPr>
        <w:rPr>
          <w:lang w:val="pt-BR"/>
        </w:rPr>
      </w:pPr>
    </w:p>
    <w:p w:rsidR="00191865" w:rsidRPr="00191865" w:rsidRDefault="00191865">
      <w:pPr>
        <w:rPr>
          <w:lang w:val="pt-BR"/>
        </w:rPr>
      </w:pPr>
    </w:p>
    <w:sectPr w:rsidR="00191865" w:rsidRPr="001918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65"/>
    <w:rsid w:val="00191865"/>
    <w:rsid w:val="003D60CA"/>
    <w:rsid w:val="00451C7A"/>
    <w:rsid w:val="004E142D"/>
    <w:rsid w:val="00605807"/>
    <w:rsid w:val="0068686D"/>
    <w:rsid w:val="008B0045"/>
    <w:rsid w:val="00917DB2"/>
    <w:rsid w:val="009B3ADC"/>
    <w:rsid w:val="00A55BF5"/>
    <w:rsid w:val="00B541B5"/>
    <w:rsid w:val="00E3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91865"/>
  </w:style>
  <w:style w:type="character" w:styleId="Hyperlink">
    <w:name w:val="Hyperlink"/>
    <w:basedOn w:val="Fontepargpadro"/>
    <w:uiPriority w:val="99"/>
    <w:semiHidden/>
    <w:unhideWhenUsed/>
    <w:rsid w:val="0019186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8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91865"/>
  </w:style>
  <w:style w:type="character" w:styleId="Hyperlink">
    <w:name w:val="Hyperlink"/>
    <w:basedOn w:val="Fontepargpadro"/>
    <w:uiPriority w:val="99"/>
    <w:semiHidden/>
    <w:unhideWhenUsed/>
    <w:rsid w:val="0019186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8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v-enfoque@ue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rodrigues@uem.br" TargetMode="External"/><Relationship Id="rId5" Type="http://schemas.openxmlformats.org/officeDocument/2006/relationships/hyperlink" Target="tel:%2B55%2844%29%203011-49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Alves</dc:creator>
  <cp:lastModifiedBy>Alves</cp:lastModifiedBy>
  <cp:revision>7</cp:revision>
  <dcterms:created xsi:type="dcterms:W3CDTF">2017-04-23T19:54:00Z</dcterms:created>
  <dcterms:modified xsi:type="dcterms:W3CDTF">2017-04-26T02:06:00Z</dcterms:modified>
</cp:coreProperties>
</file>