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71BEA" w14:textId="3C74C548" w:rsidR="00824249" w:rsidRPr="00EF2A33" w:rsidRDefault="0022741F" w:rsidP="00592267">
      <w:pPr>
        <w:pStyle w:val="CapaTtulo"/>
        <w:rPr>
          <w:sz w:val="22"/>
          <w:szCs w:val="22"/>
        </w:rPr>
      </w:pPr>
      <w:bookmarkStart w:id="0" w:name="_GoBack"/>
      <w:bookmarkEnd w:id="0"/>
      <w:r w:rsidRPr="00EF2A33">
        <w:rPr>
          <w:sz w:val="22"/>
          <w:szCs w:val="22"/>
        </w:rPr>
        <w:t xml:space="preserve">ASSIMETRIA DE INFORMAÇÃO </w:t>
      </w:r>
      <w:r w:rsidR="006C2461" w:rsidRPr="00EF2A33">
        <w:rPr>
          <w:sz w:val="22"/>
          <w:szCs w:val="22"/>
        </w:rPr>
        <w:t xml:space="preserve">VERSUS </w:t>
      </w:r>
      <w:r w:rsidRPr="00EF2A33">
        <w:rPr>
          <w:sz w:val="22"/>
          <w:szCs w:val="22"/>
        </w:rPr>
        <w:t>ESTRUTURA DE CAPITAL</w:t>
      </w:r>
      <w:r w:rsidR="00547DC5" w:rsidRPr="00EF2A33">
        <w:rPr>
          <w:sz w:val="22"/>
          <w:szCs w:val="22"/>
        </w:rPr>
        <w:t xml:space="preserve">: um estudo </w:t>
      </w:r>
      <w:r w:rsidR="00FE7F9F" w:rsidRPr="00EF2A33">
        <w:rPr>
          <w:sz w:val="22"/>
          <w:szCs w:val="22"/>
        </w:rPr>
        <w:t>com</w:t>
      </w:r>
      <w:r w:rsidR="00C244D2" w:rsidRPr="00EF2A33">
        <w:rPr>
          <w:sz w:val="22"/>
          <w:szCs w:val="22"/>
        </w:rPr>
        <w:t>parativo entre</w:t>
      </w:r>
      <w:r w:rsidR="00FE7F9F" w:rsidRPr="00EF2A33">
        <w:rPr>
          <w:sz w:val="22"/>
          <w:szCs w:val="22"/>
        </w:rPr>
        <w:t xml:space="preserve"> </w:t>
      </w:r>
      <w:r w:rsidR="00547DC5" w:rsidRPr="00EF2A33">
        <w:rPr>
          <w:sz w:val="22"/>
          <w:szCs w:val="22"/>
        </w:rPr>
        <w:t xml:space="preserve">empresas brasileiras </w:t>
      </w:r>
      <w:r w:rsidR="00C244D2" w:rsidRPr="00EF2A33">
        <w:rPr>
          <w:sz w:val="22"/>
          <w:szCs w:val="22"/>
        </w:rPr>
        <w:t>e norte-americanas</w:t>
      </w:r>
    </w:p>
    <w:p w14:paraId="3290C0AC" w14:textId="650CD6EF" w:rsidR="00AB365A" w:rsidRPr="00EF2A33" w:rsidRDefault="00AB365A" w:rsidP="00592267">
      <w:pPr>
        <w:pStyle w:val="CapaTtulo"/>
        <w:rPr>
          <w:sz w:val="22"/>
          <w:szCs w:val="22"/>
        </w:rPr>
      </w:pPr>
    </w:p>
    <w:p w14:paraId="544ECF63" w14:textId="77777777" w:rsidR="005D0736" w:rsidRPr="00EF2A33" w:rsidRDefault="005D0736" w:rsidP="005D0736">
      <w:pPr>
        <w:pStyle w:val="CapaTtulo"/>
        <w:rPr>
          <w:sz w:val="22"/>
          <w:szCs w:val="22"/>
        </w:rPr>
      </w:pPr>
      <w:r w:rsidRPr="00EF2A33">
        <w:rPr>
          <w:sz w:val="22"/>
          <w:szCs w:val="22"/>
        </w:rPr>
        <w:t>INFORMATION ASSIMETRY VERSUS CAPITAL STRUCTURE: a comparative study between Brazilian and North American companies</w:t>
      </w:r>
    </w:p>
    <w:p w14:paraId="05AE8B5A" w14:textId="77777777" w:rsidR="005D0736" w:rsidRPr="00EF2A33" w:rsidRDefault="005D0736" w:rsidP="00592267">
      <w:pPr>
        <w:pStyle w:val="CapaTtulo"/>
        <w:rPr>
          <w:sz w:val="22"/>
          <w:szCs w:val="22"/>
        </w:rPr>
      </w:pPr>
    </w:p>
    <w:p w14:paraId="4D914A7C" w14:textId="7C8A2478" w:rsidR="00824249" w:rsidRPr="00EF2A33" w:rsidRDefault="00547DC5" w:rsidP="00592267">
      <w:pPr>
        <w:pStyle w:val="CapaTtulo"/>
        <w:rPr>
          <w:sz w:val="22"/>
          <w:szCs w:val="22"/>
        </w:rPr>
      </w:pPr>
      <w:r w:rsidRPr="00EF2A33">
        <w:rPr>
          <w:sz w:val="22"/>
          <w:szCs w:val="22"/>
        </w:rPr>
        <w:t>RESUMO</w:t>
      </w:r>
    </w:p>
    <w:p w14:paraId="7EAEBCA3" w14:textId="77777777" w:rsidR="00824249" w:rsidRPr="00EF2A33" w:rsidRDefault="00824249" w:rsidP="00592267">
      <w:pPr>
        <w:pStyle w:val="Texto0"/>
        <w:spacing w:line="360" w:lineRule="auto"/>
        <w:ind w:firstLine="0"/>
        <w:jc w:val="both"/>
        <w:rPr>
          <w:sz w:val="22"/>
          <w:szCs w:val="22"/>
        </w:rPr>
      </w:pPr>
    </w:p>
    <w:p w14:paraId="1087AD22" w14:textId="2B3AC3E9" w:rsidR="00824249" w:rsidRPr="00EF2A33" w:rsidRDefault="00553E0E" w:rsidP="00592267">
      <w:pPr>
        <w:pStyle w:val="Texto0"/>
        <w:spacing w:line="360" w:lineRule="auto"/>
        <w:ind w:firstLine="0"/>
        <w:jc w:val="both"/>
        <w:rPr>
          <w:b/>
          <w:sz w:val="22"/>
          <w:szCs w:val="22"/>
        </w:rPr>
      </w:pPr>
      <w:r w:rsidRPr="00EF2A33">
        <w:rPr>
          <w:sz w:val="22"/>
          <w:szCs w:val="22"/>
        </w:rPr>
        <w:t xml:space="preserve">A estrutura de capital vem sendo estudada desde </w:t>
      </w:r>
      <w:r w:rsidR="00F73548" w:rsidRPr="00EF2A33">
        <w:rPr>
          <w:sz w:val="22"/>
          <w:szCs w:val="22"/>
        </w:rPr>
        <w:t xml:space="preserve">meados dos anos 1950, </w:t>
      </w:r>
      <w:r w:rsidR="002626BC" w:rsidRPr="00EF2A33">
        <w:rPr>
          <w:sz w:val="22"/>
          <w:szCs w:val="22"/>
        </w:rPr>
        <w:t xml:space="preserve">e passou, ao longo das décadas, por diversas abordagens de estudo. </w:t>
      </w:r>
      <w:r w:rsidRPr="00EF2A33">
        <w:rPr>
          <w:sz w:val="22"/>
          <w:szCs w:val="22"/>
        </w:rPr>
        <w:t xml:space="preserve">Uma </w:t>
      </w:r>
      <w:r w:rsidR="002626BC" w:rsidRPr="00EF2A33">
        <w:rPr>
          <w:sz w:val="22"/>
          <w:szCs w:val="22"/>
        </w:rPr>
        <w:t xml:space="preserve">delas é a que analisa </w:t>
      </w:r>
      <w:r w:rsidRPr="00EF2A33">
        <w:rPr>
          <w:sz w:val="22"/>
          <w:szCs w:val="22"/>
        </w:rPr>
        <w:t>a influência da assimetria de informação na estrutura de capital das organizações</w:t>
      </w:r>
      <w:r w:rsidR="002626BC" w:rsidRPr="00EF2A33">
        <w:rPr>
          <w:sz w:val="22"/>
          <w:szCs w:val="22"/>
        </w:rPr>
        <w:t xml:space="preserve">, conforme discutido por Myers (1984) e Myers e Majluf (1984). </w:t>
      </w:r>
      <w:r w:rsidRPr="00EF2A33">
        <w:rPr>
          <w:sz w:val="22"/>
          <w:szCs w:val="22"/>
        </w:rPr>
        <w:t xml:space="preserve">Diante disso, </w:t>
      </w:r>
      <w:r w:rsidR="002626BC" w:rsidRPr="00EF2A33">
        <w:rPr>
          <w:sz w:val="22"/>
          <w:szCs w:val="22"/>
        </w:rPr>
        <w:t xml:space="preserve">para </w:t>
      </w:r>
      <w:r w:rsidRPr="00EF2A33">
        <w:rPr>
          <w:sz w:val="22"/>
          <w:szCs w:val="22"/>
        </w:rPr>
        <w:t xml:space="preserve">verificar a influência da assimetria na estrutura de capital das empresas brasileiras e norte-americanas de 2011 a 2015, realizou-se uma </w:t>
      </w:r>
      <w:r w:rsidR="00D1294C" w:rsidRPr="00EF2A33">
        <w:rPr>
          <w:sz w:val="22"/>
          <w:szCs w:val="22"/>
        </w:rPr>
        <w:t xml:space="preserve">análise com dados em painel, </w:t>
      </w:r>
      <w:r w:rsidR="007E10E5">
        <w:rPr>
          <w:sz w:val="22"/>
          <w:szCs w:val="22"/>
        </w:rPr>
        <w:t xml:space="preserve">com amostras segregadas, </w:t>
      </w:r>
      <w:r w:rsidR="00D1294C" w:rsidRPr="00EF2A33">
        <w:rPr>
          <w:sz w:val="22"/>
          <w:szCs w:val="22"/>
        </w:rPr>
        <w:t>modelando-se variáveis ligadas à assimetria de informação para verificação se elas influenciaram, ou não, o endividamento das empresas analisadas</w:t>
      </w:r>
      <w:r w:rsidR="002626BC" w:rsidRPr="00EF2A33">
        <w:rPr>
          <w:sz w:val="22"/>
          <w:szCs w:val="22"/>
        </w:rPr>
        <w:t xml:space="preserve">. </w:t>
      </w:r>
      <w:r w:rsidR="00D1294C" w:rsidRPr="00EF2A33">
        <w:rPr>
          <w:sz w:val="22"/>
          <w:szCs w:val="22"/>
        </w:rPr>
        <w:t xml:space="preserve">Como principais </w:t>
      </w:r>
      <w:r w:rsidR="00AD52A4" w:rsidRPr="00EF2A33">
        <w:rPr>
          <w:sz w:val="22"/>
          <w:szCs w:val="22"/>
        </w:rPr>
        <w:t>resultados</w:t>
      </w:r>
      <w:r w:rsidR="00D1294C" w:rsidRPr="00EF2A33">
        <w:rPr>
          <w:sz w:val="22"/>
          <w:szCs w:val="22"/>
        </w:rPr>
        <w:t xml:space="preserve">, verificou-se </w:t>
      </w:r>
      <w:r w:rsidR="007E10E5">
        <w:rPr>
          <w:sz w:val="22"/>
          <w:szCs w:val="22"/>
        </w:rPr>
        <w:t xml:space="preserve">inicialmente que a maior parte dos coeficientes associados às variáveis </w:t>
      </w:r>
      <w:r w:rsidR="00DC345C">
        <w:rPr>
          <w:sz w:val="22"/>
          <w:szCs w:val="22"/>
        </w:rPr>
        <w:t xml:space="preserve">modeladas </w:t>
      </w:r>
      <w:r w:rsidR="007E10E5">
        <w:rPr>
          <w:sz w:val="22"/>
          <w:szCs w:val="22"/>
        </w:rPr>
        <w:t>se mostro</w:t>
      </w:r>
      <w:r w:rsidR="00DC345C">
        <w:rPr>
          <w:sz w:val="22"/>
          <w:szCs w:val="22"/>
        </w:rPr>
        <w:t>u estatisticamente significativo</w:t>
      </w:r>
      <w:r w:rsidR="007E10E5">
        <w:rPr>
          <w:sz w:val="22"/>
          <w:szCs w:val="22"/>
        </w:rPr>
        <w:t>, porém, com baixo poder explicativo, dado o</w:t>
      </w:r>
      <w:r w:rsidR="00DC345C">
        <w:rPr>
          <w:sz w:val="22"/>
          <w:szCs w:val="22"/>
        </w:rPr>
        <w:t xml:space="preserve"> reduzido coeficiente retornado na regressão. Além disso, verificou-se que tanto para as empresas brasileiras quanto que para as norte-americanas, as variáveis ligadas à assimetria de informação mostraram-se determinantes no endividamento empresarial, porém, com sinais nem sempre de acordo com o esperado pela teoria de </w:t>
      </w:r>
      <w:r w:rsidR="00DC345C" w:rsidRPr="00DC345C">
        <w:rPr>
          <w:i/>
          <w:sz w:val="22"/>
          <w:szCs w:val="22"/>
        </w:rPr>
        <w:t>pecking-order</w:t>
      </w:r>
      <w:r w:rsidR="00DC345C">
        <w:rPr>
          <w:sz w:val="22"/>
          <w:szCs w:val="22"/>
        </w:rPr>
        <w:t>. P</w:t>
      </w:r>
      <w:r w:rsidR="002626BC" w:rsidRPr="00EF2A33">
        <w:rPr>
          <w:sz w:val="22"/>
          <w:szCs w:val="22"/>
        </w:rPr>
        <w:t>or fim, conc</w:t>
      </w:r>
      <w:r w:rsidR="00DC345C">
        <w:rPr>
          <w:sz w:val="22"/>
          <w:szCs w:val="22"/>
        </w:rPr>
        <w:t xml:space="preserve">luiu-se que a teoria de </w:t>
      </w:r>
      <w:r w:rsidR="00DC345C" w:rsidRPr="00DC345C">
        <w:rPr>
          <w:i/>
          <w:sz w:val="22"/>
          <w:szCs w:val="22"/>
        </w:rPr>
        <w:t>pecking-</w:t>
      </w:r>
      <w:r w:rsidR="002626BC" w:rsidRPr="00DC345C">
        <w:rPr>
          <w:i/>
          <w:sz w:val="22"/>
          <w:szCs w:val="22"/>
        </w:rPr>
        <w:t>order</w:t>
      </w:r>
      <w:r w:rsidR="002626BC" w:rsidRPr="00EF2A33">
        <w:rPr>
          <w:sz w:val="22"/>
          <w:szCs w:val="22"/>
        </w:rPr>
        <w:t xml:space="preserve"> é a que ofereceu o melhor conjunto explicativo para o endividamento das empresas norte-americanas, enquanto que para as empresas brasileiras, parece ser um mix da teoria de </w:t>
      </w:r>
      <w:r w:rsidR="00DC345C">
        <w:rPr>
          <w:i/>
          <w:sz w:val="22"/>
          <w:szCs w:val="22"/>
        </w:rPr>
        <w:t>pecking-</w:t>
      </w:r>
      <w:r w:rsidR="002626BC" w:rsidRPr="00EF2A33">
        <w:rPr>
          <w:i/>
          <w:sz w:val="22"/>
          <w:szCs w:val="22"/>
        </w:rPr>
        <w:t>order</w:t>
      </w:r>
      <w:r w:rsidR="002626BC" w:rsidRPr="00EF2A33">
        <w:rPr>
          <w:sz w:val="22"/>
          <w:szCs w:val="22"/>
        </w:rPr>
        <w:t xml:space="preserve"> e da </w:t>
      </w:r>
      <w:r w:rsidR="002626BC" w:rsidRPr="00EF2A33">
        <w:rPr>
          <w:i/>
          <w:sz w:val="22"/>
          <w:szCs w:val="22"/>
        </w:rPr>
        <w:t>trade-off</w:t>
      </w:r>
      <w:r w:rsidR="002626BC" w:rsidRPr="00EF2A33">
        <w:rPr>
          <w:sz w:val="22"/>
          <w:szCs w:val="22"/>
        </w:rPr>
        <w:t xml:space="preserve"> o que oferece a melhor explicação para o endividamento das companhias analisadas.</w:t>
      </w:r>
    </w:p>
    <w:p w14:paraId="4009A4D4" w14:textId="77777777" w:rsidR="00824249" w:rsidRPr="00EF2A33" w:rsidRDefault="00824249" w:rsidP="00592267">
      <w:pPr>
        <w:pStyle w:val="Texto0"/>
        <w:spacing w:line="360" w:lineRule="auto"/>
        <w:rPr>
          <w:sz w:val="22"/>
          <w:szCs w:val="22"/>
        </w:rPr>
      </w:pPr>
    </w:p>
    <w:p w14:paraId="5A437B53" w14:textId="04E91614" w:rsidR="00824249" w:rsidRPr="00EF2A33" w:rsidRDefault="00547DC5" w:rsidP="00592267">
      <w:pPr>
        <w:pStyle w:val="Texto0"/>
        <w:spacing w:line="360" w:lineRule="auto"/>
        <w:ind w:firstLine="0"/>
        <w:rPr>
          <w:sz w:val="22"/>
          <w:szCs w:val="22"/>
        </w:rPr>
      </w:pPr>
      <w:r w:rsidRPr="00EF2A33">
        <w:rPr>
          <w:b/>
          <w:sz w:val="22"/>
          <w:szCs w:val="22"/>
        </w:rPr>
        <w:t>Palavras-chave</w:t>
      </w:r>
      <w:r w:rsidRPr="00EF2A33">
        <w:rPr>
          <w:sz w:val="22"/>
          <w:szCs w:val="22"/>
        </w:rPr>
        <w:t xml:space="preserve">: </w:t>
      </w:r>
      <w:r w:rsidR="004D3511" w:rsidRPr="00EF2A33">
        <w:rPr>
          <w:sz w:val="22"/>
          <w:szCs w:val="22"/>
        </w:rPr>
        <w:t>estrutura de capital; assimetria de informação; dados em painel.</w:t>
      </w:r>
    </w:p>
    <w:p w14:paraId="62D79CD4" w14:textId="77777777" w:rsidR="00592EA6" w:rsidRPr="00EF2A33" w:rsidRDefault="00592EA6" w:rsidP="00592267">
      <w:pPr>
        <w:pStyle w:val="Texto0"/>
        <w:spacing w:line="360" w:lineRule="auto"/>
        <w:ind w:firstLine="0"/>
        <w:rPr>
          <w:sz w:val="22"/>
          <w:szCs w:val="22"/>
        </w:rPr>
      </w:pPr>
    </w:p>
    <w:p w14:paraId="69DF13BD" w14:textId="77777777" w:rsidR="00824249" w:rsidRPr="00EF2A33" w:rsidRDefault="00547DC5" w:rsidP="00592267">
      <w:pPr>
        <w:pStyle w:val="CapaTtulo"/>
        <w:rPr>
          <w:sz w:val="22"/>
          <w:szCs w:val="22"/>
        </w:rPr>
      </w:pPr>
      <w:r w:rsidRPr="00EF2A33">
        <w:rPr>
          <w:sz w:val="22"/>
          <w:szCs w:val="22"/>
        </w:rPr>
        <w:t>ABSTRACT</w:t>
      </w:r>
    </w:p>
    <w:p w14:paraId="176D3D46" w14:textId="77777777" w:rsidR="00824249" w:rsidRPr="00EF2A33" w:rsidRDefault="00824249" w:rsidP="00592267">
      <w:pPr>
        <w:pStyle w:val="Texto0"/>
        <w:spacing w:line="360" w:lineRule="auto"/>
        <w:ind w:firstLine="0"/>
        <w:jc w:val="both"/>
        <w:rPr>
          <w:sz w:val="22"/>
          <w:szCs w:val="22"/>
        </w:rPr>
      </w:pPr>
    </w:p>
    <w:p w14:paraId="5F189247" w14:textId="4C5C1377" w:rsidR="002273FE" w:rsidRDefault="00DC345C" w:rsidP="00592267">
      <w:pPr>
        <w:pStyle w:val="Texto0"/>
        <w:spacing w:line="360" w:lineRule="auto"/>
        <w:ind w:firstLine="0"/>
        <w:jc w:val="both"/>
        <w:rPr>
          <w:sz w:val="22"/>
          <w:szCs w:val="22"/>
        </w:rPr>
      </w:pPr>
      <w:r w:rsidRPr="00DC345C">
        <w:rPr>
          <w:sz w:val="22"/>
          <w:szCs w:val="22"/>
        </w:rPr>
        <w:t xml:space="preserve">The capital structure has been studied since the mid-1950s, and has gone through several decades of study approaches. One of them is the one that analyzes the influence of information asymmetry on the capital structure of organizations, as discussed by Myers (1984) and Myers and Majluf (1984). Therefore, in order to verify the influence of the asymmetry on the capital structure of the Brazilian and North American companies from 2011 to 2015, a panel data analysis was performed with segregated samples, modeling variables related to information asymmetry for verification whether or not they influenced the indebtedness of the companies analyzed. As main results, it was initially verified that most of the coefficients associated to the modeled variables were statistically significant, but with low </w:t>
      </w:r>
      <w:r w:rsidRPr="00DC345C">
        <w:rPr>
          <w:sz w:val="22"/>
          <w:szCs w:val="22"/>
        </w:rPr>
        <w:lastRenderedPageBreak/>
        <w:t>explanatory power, given the reduced coefficient returned in the regression. In addition, it was found that for both Brazilian and US firms, the variables related to information asymmetry were determinants of corporate indebtedness, however, with signs not always in line with what was expected by the pecking</w:t>
      </w:r>
      <w:r>
        <w:rPr>
          <w:sz w:val="22"/>
          <w:szCs w:val="22"/>
        </w:rPr>
        <w:t>-order theory</w:t>
      </w:r>
      <w:r w:rsidRPr="00DC345C">
        <w:rPr>
          <w:sz w:val="22"/>
          <w:szCs w:val="22"/>
        </w:rPr>
        <w:t>. Finally, it was concluded that the pecking-order theory is the one that offered the best explanatory set for the indebtedness of US companies, whereas for Brazilian companies it seems to be a</w:t>
      </w:r>
      <w:r>
        <w:rPr>
          <w:sz w:val="22"/>
          <w:szCs w:val="22"/>
        </w:rPr>
        <w:t xml:space="preserve"> mix of pecking-order and trade-</w:t>
      </w:r>
      <w:r w:rsidRPr="00DC345C">
        <w:rPr>
          <w:sz w:val="22"/>
          <w:szCs w:val="22"/>
        </w:rPr>
        <w:t xml:space="preserve">off </w:t>
      </w:r>
      <w:r>
        <w:rPr>
          <w:sz w:val="22"/>
          <w:szCs w:val="22"/>
        </w:rPr>
        <w:t xml:space="preserve">theory </w:t>
      </w:r>
      <w:r w:rsidRPr="00DC345C">
        <w:rPr>
          <w:sz w:val="22"/>
          <w:szCs w:val="22"/>
        </w:rPr>
        <w:t>which offers the best explanation for the indebtedness of the companies analyzed</w:t>
      </w:r>
      <w:r>
        <w:rPr>
          <w:sz w:val="22"/>
          <w:szCs w:val="22"/>
        </w:rPr>
        <w:t>.</w:t>
      </w:r>
    </w:p>
    <w:p w14:paraId="2239506C" w14:textId="77777777" w:rsidR="00DC345C" w:rsidRPr="00EF2A33" w:rsidRDefault="00DC345C" w:rsidP="00592267">
      <w:pPr>
        <w:pStyle w:val="Texto0"/>
        <w:spacing w:line="360" w:lineRule="auto"/>
        <w:ind w:firstLine="0"/>
        <w:jc w:val="both"/>
        <w:rPr>
          <w:b/>
          <w:sz w:val="22"/>
          <w:szCs w:val="22"/>
        </w:rPr>
      </w:pPr>
    </w:p>
    <w:p w14:paraId="1B56F9EA" w14:textId="7FEB5702" w:rsidR="002F6B1D" w:rsidRPr="00EF2A33" w:rsidRDefault="004D3511" w:rsidP="00592267">
      <w:pPr>
        <w:pStyle w:val="Texto0"/>
        <w:spacing w:line="360" w:lineRule="auto"/>
        <w:ind w:firstLine="0"/>
        <w:rPr>
          <w:sz w:val="22"/>
          <w:szCs w:val="22"/>
        </w:rPr>
      </w:pPr>
      <w:r w:rsidRPr="00EF2A33">
        <w:rPr>
          <w:b/>
          <w:sz w:val="22"/>
          <w:szCs w:val="22"/>
        </w:rPr>
        <w:t>Key words</w:t>
      </w:r>
      <w:r w:rsidRPr="00EF2A33">
        <w:rPr>
          <w:sz w:val="22"/>
          <w:szCs w:val="22"/>
        </w:rPr>
        <w:t>: capital structure; asymmetry of information;</w:t>
      </w:r>
      <w:r w:rsidR="00745D1D" w:rsidRPr="00EF2A33">
        <w:rPr>
          <w:sz w:val="22"/>
          <w:szCs w:val="22"/>
        </w:rPr>
        <w:t xml:space="preserve"> </w:t>
      </w:r>
      <w:r w:rsidRPr="00EF2A33">
        <w:rPr>
          <w:sz w:val="22"/>
          <w:szCs w:val="22"/>
        </w:rPr>
        <w:t>panel data.</w:t>
      </w:r>
    </w:p>
    <w:p w14:paraId="751626F5" w14:textId="77777777" w:rsidR="00835FD0" w:rsidRPr="00EF2A33" w:rsidRDefault="00835FD0" w:rsidP="00592267">
      <w:pPr>
        <w:pStyle w:val="Texto0"/>
        <w:spacing w:line="360" w:lineRule="auto"/>
        <w:ind w:firstLine="0"/>
        <w:rPr>
          <w:b/>
          <w:bCs/>
          <w:sz w:val="22"/>
          <w:szCs w:val="22"/>
        </w:rPr>
      </w:pPr>
    </w:p>
    <w:p w14:paraId="04B29BEE" w14:textId="77777777" w:rsidR="00824249" w:rsidRPr="00EF2A33" w:rsidRDefault="00547DC5" w:rsidP="00592267">
      <w:pPr>
        <w:pStyle w:val="Ttulo1"/>
        <w:numPr>
          <w:ilvl w:val="0"/>
          <w:numId w:val="2"/>
        </w:numPr>
        <w:spacing w:before="0" w:after="0" w:line="360" w:lineRule="auto"/>
        <w:ind w:left="431" w:hanging="431"/>
        <w:rPr>
          <w:sz w:val="22"/>
          <w:szCs w:val="22"/>
        </w:rPr>
      </w:pPr>
      <w:bookmarkStart w:id="1" w:name="_Toc20651308"/>
      <w:bookmarkStart w:id="2" w:name="_Toc75925547"/>
      <w:bookmarkStart w:id="3" w:name="_Toc209459408"/>
      <w:bookmarkStart w:id="4" w:name="_Toc75925790"/>
      <w:bookmarkStart w:id="5" w:name="_Toc494451327"/>
      <w:bookmarkEnd w:id="1"/>
      <w:bookmarkEnd w:id="2"/>
      <w:bookmarkEnd w:id="3"/>
      <w:bookmarkEnd w:id="4"/>
      <w:r w:rsidRPr="00EF2A33">
        <w:rPr>
          <w:sz w:val="22"/>
          <w:szCs w:val="22"/>
        </w:rPr>
        <w:t>introdução</w:t>
      </w:r>
      <w:bookmarkEnd w:id="5"/>
    </w:p>
    <w:p w14:paraId="10F24E45" w14:textId="77777777" w:rsidR="00835FD0" w:rsidRPr="00EF2A33" w:rsidRDefault="00835FD0" w:rsidP="00592267">
      <w:pPr>
        <w:spacing w:line="360" w:lineRule="auto"/>
        <w:ind w:firstLine="709"/>
        <w:jc w:val="both"/>
        <w:rPr>
          <w:sz w:val="22"/>
          <w:szCs w:val="22"/>
        </w:rPr>
      </w:pPr>
    </w:p>
    <w:p w14:paraId="5314A5F8" w14:textId="1613CED4" w:rsidR="00824249" w:rsidRPr="00EF2A33" w:rsidRDefault="009864B6" w:rsidP="00592267">
      <w:pPr>
        <w:spacing w:line="360" w:lineRule="auto"/>
        <w:ind w:firstLine="709"/>
        <w:jc w:val="both"/>
        <w:rPr>
          <w:sz w:val="22"/>
          <w:szCs w:val="22"/>
        </w:rPr>
      </w:pPr>
      <w:r w:rsidRPr="00EF2A33">
        <w:rPr>
          <w:sz w:val="22"/>
          <w:szCs w:val="22"/>
        </w:rPr>
        <w:t xml:space="preserve">A empresa, como célula social, possui vários objetivos. Obtenção de lucros, </w:t>
      </w:r>
      <w:r w:rsidR="00547DC5" w:rsidRPr="00EF2A33">
        <w:rPr>
          <w:sz w:val="22"/>
          <w:szCs w:val="22"/>
        </w:rPr>
        <w:t xml:space="preserve">geração de valor para seus acionistas e demais </w:t>
      </w:r>
      <w:r w:rsidR="00547DC5" w:rsidRPr="00EF2A33">
        <w:rPr>
          <w:i/>
          <w:sz w:val="22"/>
          <w:szCs w:val="22"/>
        </w:rPr>
        <w:t>stakeholders</w:t>
      </w:r>
      <w:r w:rsidRPr="00EF2A33">
        <w:rPr>
          <w:i/>
          <w:sz w:val="22"/>
          <w:szCs w:val="22"/>
        </w:rPr>
        <w:t xml:space="preserve">, </w:t>
      </w:r>
      <w:r w:rsidRPr="00EF2A33">
        <w:rPr>
          <w:sz w:val="22"/>
          <w:szCs w:val="22"/>
        </w:rPr>
        <w:t>geração e distribuição de riquezas, movimentação da economia de uma maneira geral</w:t>
      </w:r>
      <w:r w:rsidR="00547DC5" w:rsidRPr="00EF2A33">
        <w:rPr>
          <w:i/>
          <w:sz w:val="22"/>
          <w:szCs w:val="22"/>
        </w:rPr>
        <w:t>.</w:t>
      </w:r>
      <w:r w:rsidR="00547DC5" w:rsidRPr="00EF2A33">
        <w:rPr>
          <w:sz w:val="22"/>
          <w:szCs w:val="22"/>
        </w:rPr>
        <w:t xml:space="preserve"> </w:t>
      </w:r>
      <w:r w:rsidRPr="00EF2A33">
        <w:rPr>
          <w:sz w:val="22"/>
          <w:szCs w:val="22"/>
        </w:rPr>
        <w:t xml:space="preserve">Para tanto, uma adequada gestão </w:t>
      </w:r>
      <w:r w:rsidR="00FD144F" w:rsidRPr="00EF2A33">
        <w:rPr>
          <w:sz w:val="22"/>
          <w:szCs w:val="22"/>
        </w:rPr>
        <w:t>e a tomada de decisões acertadas são medidas necessárias para o atingimento de todos esses objetivos. De todas as decisões que influenciam a gestão da empresa, d</w:t>
      </w:r>
      <w:r w:rsidR="00547DC5" w:rsidRPr="00EF2A33">
        <w:rPr>
          <w:sz w:val="22"/>
          <w:szCs w:val="22"/>
        </w:rPr>
        <w:t xml:space="preserve">ois </w:t>
      </w:r>
      <w:r w:rsidR="00FD144F" w:rsidRPr="00EF2A33">
        <w:rPr>
          <w:sz w:val="22"/>
          <w:szCs w:val="22"/>
        </w:rPr>
        <w:t xml:space="preserve">grupos merecem destaque: </w:t>
      </w:r>
      <w:r w:rsidR="00547DC5" w:rsidRPr="00EF2A33">
        <w:rPr>
          <w:sz w:val="22"/>
          <w:szCs w:val="22"/>
        </w:rPr>
        <w:t xml:space="preserve">decisões ligadas ao investimento e ao financiamento da </w:t>
      </w:r>
      <w:r w:rsidR="00FD144F" w:rsidRPr="00EF2A33">
        <w:rPr>
          <w:sz w:val="22"/>
          <w:szCs w:val="22"/>
        </w:rPr>
        <w:t>entidade</w:t>
      </w:r>
      <w:r w:rsidR="00547DC5" w:rsidRPr="00EF2A33">
        <w:rPr>
          <w:sz w:val="22"/>
          <w:szCs w:val="22"/>
        </w:rPr>
        <w:t>.</w:t>
      </w:r>
    </w:p>
    <w:p w14:paraId="5A2FF0E3" w14:textId="628B2E75" w:rsidR="00824249" w:rsidRPr="00EF2A33" w:rsidRDefault="003035D5" w:rsidP="00592267">
      <w:pPr>
        <w:spacing w:line="360" w:lineRule="auto"/>
        <w:ind w:firstLine="709"/>
        <w:jc w:val="both"/>
        <w:rPr>
          <w:sz w:val="22"/>
          <w:szCs w:val="22"/>
        </w:rPr>
      </w:pPr>
      <w:r w:rsidRPr="00EF2A33">
        <w:rPr>
          <w:sz w:val="22"/>
          <w:szCs w:val="22"/>
        </w:rPr>
        <w:t xml:space="preserve">Decisões ligadas a esses dois temas influenciam muitas das </w:t>
      </w:r>
      <w:r w:rsidR="00547DC5" w:rsidRPr="00EF2A33">
        <w:rPr>
          <w:sz w:val="22"/>
          <w:szCs w:val="22"/>
        </w:rPr>
        <w:t xml:space="preserve">demais </w:t>
      </w:r>
      <w:r w:rsidRPr="00EF2A33">
        <w:rPr>
          <w:sz w:val="22"/>
          <w:szCs w:val="22"/>
        </w:rPr>
        <w:t xml:space="preserve">que serão </w:t>
      </w:r>
      <w:r w:rsidR="00547DC5" w:rsidRPr="00EF2A33">
        <w:rPr>
          <w:sz w:val="22"/>
          <w:szCs w:val="22"/>
        </w:rPr>
        <w:t>tomadas pelos gestores</w:t>
      </w:r>
      <w:r w:rsidRPr="00EF2A33">
        <w:rPr>
          <w:sz w:val="22"/>
          <w:szCs w:val="22"/>
        </w:rPr>
        <w:t xml:space="preserve"> das organizações</w:t>
      </w:r>
      <w:r w:rsidR="00547DC5" w:rsidRPr="00EF2A33">
        <w:rPr>
          <w:sz w:val="22"/>
          <w:szCs w:val="22"/>
        </w:rPr>
        <w:t xml:space="preserve">. </w:t>
      </w:r>
      <w:r w:rsidR="009B3945" w:rsidRPr="00EF2A33">
        <w:rPr>
          <w:sz w:val="22"/>
          <w:szCs w:val="22"/>
        </w:rPr>
        <w:t xml:space="preserve">Por isso, as </w:t>
      </w:r>
      <w:r w:rsidR="00547DC5" w:rsidRPr="00EF2A33">
        <w:rPr>
          <w:sz w:val="22"/>
          <w:szCs w:val="22"/>
        </w:rPr>
        <w:t>empresas estão a todo momento trabalhando com essas duas variáveis e tomando decisões que resultem na realização do melhor investimento possível, e que captem financiamentos ao menor custo existente.</w:t>
      </w:r>
    </w:p>
    <w:p w14:paraId="191269BA" w14:textId="1C5A937A" w:rsidR="00CB62DD" w:rsidRPr="00EF2A33" w:rsidRDefault="00430592" w:rsidP="00592267">
      <w:pPr>
        <w:spacing w:line="360" w:lineRule="auto"/>
        <w:ind w:firstLine="709"/>
        <w:jc w:val="both"/>
        <w:rPr>
          <w:sz w:val="22"/>
          <w:szCs w:val="22"/>
        </w:rPr>
      </w:pPr>
      <w:r w:rsidRPr="00EF2A33">
        <w:rPr>
          <w:sz w:val="22"/>
          <w:szCs w:val="22"/>
        </w:rPr>
        <w:t xml:space="preserve">A estrutura de capital refere-se ao estudo da </w:t>
      </w:r>
      <w:r w:rsidR="00716DC6" w:rsidRPr="00EF2A33">
        <w:rPr>
          <w:sz w:val="22"/>
          <w:szCs w:val="22"/>
        </w:rPr>
        <w:t>maneira</w:t>
      </w:r>
      <w:r w:rsidRPr="00EF2A33">
        <w:rPr>
          <w:sz w:val="22"/>
          <w:szCs w:val="22"/>
        </w:rPr>
        <w:t xml:space="preserve"> como as empresas utilizam capital próprio e capital de terceiros para financiar os seus ativos (BRITO; CORRAR; BATISTELLA, 2006)</w:t>
      </w:r>
      <w:r w:rsidR="00CB62DD" w:rsidRPr="00EF2A33">
        <w:rPr>
          <w:sz w:val="22"/>
          <w:szCs w:val="22"/>
        </w:rPr>
        <w:t>, e o tema possui diversas abordagens. Para fins deste estudo, interessa a análise da assimetria de informação e sua influência sobre a estrutura de capital, tema esse puxado, especialmente, por Myers (1984) e Myers e Majluf (1984), principais autores que discutem o tema interesse do estudo.</w:t>
      </w:r>
    </w:p>
    <w:p w14:paraId="2B72FD81" w14:textId="202EC5B5" w:rsidR="0066386C" w:rsidRPr="00EF2A33" w:rsidRDefault="00CB62DD" w:rsidP="00592267">
      <w:pPr>
        <w:spacing w:line="360" w:lineRule="auto"/>
        <w:ind w:firstLine="709"/>
        <w:jc w:val="both"/>
        <w:rPr>
          <w:sz w:val="22"/>
          <w:szCs w:val="22"/>
        </w:rPr>
      </w:pPr>
      <w:r w:rsidRPr="00EF2A33">
        <w:rPr>
          <w:sz w:val="22"/>
          <w:szCs w:val="22"/>
        </w:rPr>
        <w:t xml:space="preserve">Dado que a </w:t>
      </w:r>
      <w:r w:rsidR="00F26F09" w:rsidRPr="00EF2A33">
        <w:rPr>
          <w:sz w:val="22"/>
          <w:szCs w:val="22"/>
        </w:rPr>
        <w:t xml:space="preserve">assimetria de informações </w:t>
      </w:r>
      <w:r w:rsidRPr="00EF2A33">
        <w:rPr>
          <w:sz w:val="22"/>
          <w:szCs w:val="22"/>
        </w:rPr>
        <w:t xml:space="preserve">se refere a uma </w:t>
      </w:r>
      <w:r w:rsidR="00F26F09" w:rsidRPr="00EF2A33">
        <w:rPr>
          <w:sz w:val="22"/>
          <w:szCs w:val="22"/>
        </w:rPr>
        <w:t xml:space="preserve">importante falha de mercado, </w:t>
      </w:r>
      <w:r w:rsidRPr="00EF2A33">
        <w:rPr>
          <w:sz w:val="22"/>
          <w:szCs w:val="22"/>
        </w:rPr>
        <w:t xml:space="preserve">o tema desperta interesse nos estudos acerca da estrutura de capital, visto que influencia a </w:t>
      </w:r>
      <w:r w:rsidR="00F26F09" w:rsidRPr="00EF2A33">
        <w:rPr>
          <w:sz w:val="22"/>
          <w:szCs w:val="22"/>
        </w:rPr>
        <w:t>estrutura de endividamento das organizações, em especial pela incidência de custos relativos à seleção adversa.</w:t>
      </w:r>
    </w:p>
    <w:p w14:paraId="6ABB8104" w14:textId="7EADFF92" w:rsidR="0058553B" w:rsidRPr="00EF2A33" w:rsidRDefault="0058553B" w:rsidP="00592267">
      <w:pPr>
        <w:spacing w:line="360" w:lineRule="auto"/>
        <w:ind w:firstLine="709"/>
        <w:jc w:val="both"/>
        <w:rPr>
          <w:sz w:val="22"/>
          <w:szCs w:val="22"/>
        </w:rPr>
      </w:pPr>
      <w:r w:rsidRPr="00EF2A33">
        <w:rPr>
          <w:sz w:val="22"/>
          <w:szCs w:val="22"/>
        </w:rPr>
        <w:t>Diante disso, o estudo visa responder à</w:t>
      </w:r>
      <w:r w:rsidR="00716DC6" w:rsidRPr="00EF2A33">
        <w:rPr>
          <w:sz w:val="22"/>
          <w:szCs w:val="22"/>
        </w:rPr>
        <w:t xml:space="preserve"> seguinte questão de pesquisa: q</w:t>
      </w:r>
      <w:r w:rsidRPr="00EF2A33">
        <w:rPr>
          <w:sz w:val="22"/>
          <w:szCs w:val="22"/>
        </w:rPr>
        <w:t xml:space="preserve">ual a influência da assimetria de informação na determinação da estrutura de capital de empresas brasileiras e americanas de capital aberto no período de 2011 a 2015? </w:t>
      </w:r>
    </w:p>
    <w:p w14:paraId="61B51A43" w14:textId="1F784F26" w:rsidR="0058553B" w:rsidRPr="00EF2A33" w:rsidRDefault="0058553B" w:rsidP="00592267">
      <w:pPr>
        <w:spacing w:line="360" w:lineRule="auto"/>
        <w:ind w:firstLine="709"/>
        <w:jc w:val="both"/>
        <w:rPr>
          <w:sz w:val="22"/>
          <w:szCs w:val="22"/>
        </w:rPr>
      </w:pPr>
      <w:r w:rsidRPr="00EF2A33">
        <w:rPr>
          <w:sz w:val="22"/>
          <w:szCs w:val="22"/>
        </w:rPr>
        <w:t>Como objetivos a serem alcançados, tem-se como objetivo geral verificar a influência exercida pela assimetria de informação nas decisões de estrutura de capital de empresas brasileiras e americanas de capital aberto. Como objetivos específicos almeja-se</w:t>
      </w:r>
      <w:r w:rsidR="00624E96" w:rsidRPr="00EF2A33">
        <w:rPr>
          <w:sz w:val="22"/>
          <w:szCs w:val="22"/>
        </w:rPr>
        <w:t>:</w:t>
      </w:r>
      <w:r w:rsidRPr="00EF2A33">
        <w:rPr>
          <w:sz w:val="22"/>
          <w:szCs w:val="22"/>
        </w:rPr>
        <w:t xml:space="preserve"> </w:t>
      </w:r>
      <w:bookmarkStart w:id="6" w:name="_Toc20651315"/>
      <w:bookmarkStart w:id="7" w:name="_Toc75925795"/>
      <w:bookmarkStart w:id="8" w:name="_Toc498999958"/>
      <w:bookmarkStart w:id="9" w:name="_Toc75925552"/>
      <w:bookmarkStart w:id="10" w:name="_Toc209459413"/>
      <w:bookmarkStart w:id="11" w:name="_Toc20651314"/>
      <w:bookmarkEnd w:id="6"/>
      <w:bookmarkEnd w:id="7"/>
      <w:bookmarkEnd w:id="8"/>
      <w:bookmarkEnd w:id="9"/>
      <w:bookmarkEnd w:id="10"/>
      <w:bookmarkEnd w:id="11"/>
      <w:r w:rsidRPr="00EF2A33">
        <w:rPr>
          <w:sz w:val="22"/>
          <w:szCs w:val="22"/>
        </w:rPr>
        <w:t xml:space="preserve">a) verificar se a assimetria informacional constitui um determinante significativo para a estrutura de capital da empresa; b) identificar quais </w:t>
      </w:r>
      <w:r w:rsidRPr="00EF2A33">
        <w:rPr>
          <w:sz w:val="22"/>
          <w:szCs w:val="22"/>
        </w:rPr>
        <w:lastRenderedPageBreak/>
        <w:t xml:space="preserve">variáveis explicativas mostram-se significativas para a explicação do endividamento das empresas brasileiras e norte-americanas da amostra; e finalmente c) avaliar a conformidade das decisões de estrutura de capital de empresas brasileiras e americanas de capital aberto com os preceitos da teoria </w:t>
      </w:r>
      <w:r w:rsidRPr="00EF2A33">
        <w:rPr>
          <w:i/>
          <w:sz w:val="22"/>
          <w:szCs w:val="22"/>
        </w:rPr>
        <w:t>pecking order</w:t>
      </w:r>
      <w:r w:rsidRPr="00EF2A33">
        <w:rPr>
          <w:sz w:val="22"/>
          <w:szCs w:val="22"/>
        </w:rPr>
        <w:t>.</w:t>
      </w:r>
    </w:p>
    <w:p w14:paraId="7E2EB012" w14:textId="416F2F10" w:rsidR="00C644A2" w:rsidRPr="00EF2A33" w:rsidRDefault="0066386C" w:rsidP="00592267">
      <w:pPr>
        <w:spacing w:line="360" w:lineRule="auto"/>
        <w:ind w:firstLine="709"/>
        <w:jc w:val="both"/>
        <w:rPr>
          <w:sz w:val="22"/>
          <w:szCs w:val="22"/>
        </w:rPr>
      </w:pPr>
      <w:r w:rsidRPr="00EF2A33">
        <w:rPr>
          <w:sz w:val="22"/>
          <w:szCs w:val="22"/>
        </w:rPr>
        <w:t>Dada a</w:t>
      </w:r>
      <w:r w:rsidR="0058553B" w:rsidRPr="00EF2A33">
        <w:rPr>
          <w:sz w:val="22"/>
          <w:szCs w:val="22"/>
        </w:rPr>
        <w:t xml:space="preserve"> escassez de estudos que realiza</w:t>
      </w:r>
      <w:r w:rsidRPr="00EF2A33">
        <w:rPr>
          <w:sz w:val="22"/>
          <w:szCs w:val="22"/>
        </w:rPr>
        <w:t xml:space="preserve">m tal análise comparativa, e dadas as contribuições </w:t>
      </w:r>
      <w:r w:rsidR="00F56151" w:rsidRPr="00EF2A33">
        <w:rPr>
          <w:sz w:val="22"/>
          <w:szCs w:val="22"/>
        </w:rPr>
        <w:t xml:space="preserve">que os resultados podem gerar a acionistas, investidores, gestores, governo, e demais interessados nas empresas, entende-se que o trabalho </w:t>
      </w:r>
      <w:r w:rsidR="00271841" w:rsidRPr="00EF2A33">
        <w:rPr>
          <w:sz w:val="22"/>
          <w:szCs w:val="22"/>
        </w:rPr>
        <w:t xml:space="preserve">é relevante e pode oferecer sua contribuição para a melhor compreensão da influência da assimetria de informações na estrutura de capital, </w:t>
      </w:r>
      <w:r w:rsidR="0058553B" w:rsidRPr="00EF2A33">
        <w:rPr>
          <w:sz w:val="22"/>
          <w:szCs w:val="22"/>
        </w:rPr>
        <w:t>oferecendo evidências que contribuam com a tomada de decisão na seara de financiamento, bem como contribuindo para uma maior compreensão do comportamento do endividamento empresarial e dos fatores que exercem influência sobre ele.</w:t>
      </w:r>
    </w:p>
    <w:p w14:paraId="5E395E36" w14:textId="22F91634" w:rsidR="00824249" w:rsidRPr="00EF2A33" w:rsidRDefault="00547DC5" w:rsidP="00592267">
      <w:pPr>
        <w:spacing w:line="360" w:lineRule="auto"/>
        <w:ind w:firstLine="709"/>
        <w:jc w:val="both"/>
        <w:rPr>
          <w:sz w:val="22"/>
          <w:szCs w:val="22"/>
        </w:rPr>
      </w:pPr>
      <w:bookmarkStart w:id="12" w:name="_Toc209459412"/>
      <w:bookmarkStart w:id="13" w:name="_Toc75925794"/>
      <w:bookmarkStart w:id="14" w:name="_Toc75925551"/>
      <w:bookmarkStart w:id="15" w:name="_Toc20651313"/>
      <w:bookmarkStart w:id="16" w:name="_Toc498999957"/>
      <w:bookmarkEnd w:id="12"/>
      <w:bookmarkEnd w:id="13"/>
      <w:bookmarkEnd w:id="14"/>
      <w:bookmarkEnd w:id="15"/>
      <w:bookmarkEnd w:id="16"/>
      <w:r w:rsidRPr="00EF2A33">
        <w:rPr>
          <w:sz w:val="22"/>
          <w:szCs w:val="22"/>
        </w:rPr>
        <w:t xml:space="preserve">O </w:t>
      </w:r>
      <w:r w:rsidR="0058553B" w:rsidRPr="00EF2A33">
        <w:rPr>
          <w:sz w:val="22"/>
          <w:szCs w:val="22"/>
        </w:rPr>
        <w:t>artigo</w:t>
      </w:r>
      <w:r w:rsidRPr="00EF2A33">
        <w:rPr>
          <w:sz w:val="22"/>
          <w:szCs w:val="22"/>
        </w:rPr>
        <w:t xml:space="preserve"> possui a seguinte estrutura: </w:t>
      </w:r>
      <w:r w:rsidR="008F5CDB" w:rsidRPr="00EF2A33">
        <w:rPr>
          <w:sz w:val="22"/>
          <w:szCs w:val="22"/>
        </w:rPr>
        <w:t>na seção 2 apresenta-se a revisão de literatura, na seção 3 os delineamentos metodológicos do artigo, na seção 4 os resultados, e por fim na seção 5 as considerações finais.</w:t>
      </w:r>
    </w:p>
    <w:p w14:paraId="48D5917F" w14:textId="77777777" w:rsidR="00835FD0" w:rsidRPr="00EF2A33" w:rsidRDefault="00835FD0" w:rsidP="00592267">
      <w:pPr>
        <w:spacing w:line="360" w:lineRule="auto"/>
        <w:ind w:firstLine="709"/>
        <w:jc w:val="both"/>
        <w:rPr>
          <w:sz w:val="22"/>
          <w:szCs w:val="22"/>
        </w:rPr>
      </w:pPr>
    </w:p>
    <w:p w14:paraId="47D645A7" w14:textId="29ED3272" w:rsidR="00174312" w:rsidRPr="00EF2A33" w:rsidRDefault="004D1D9E" w:rsidP="00592267">
      <w:pPr>
        <w:pStyle w:val="Ttulo1"/>
        <w:numPr>
          <w:ilvl w:val="0"/>
          <w:numId w:val="2"/>
        </w:numPr>
        <w:spacing w:before="0" w:after="0" w:line="360" w:lineRule="auto"/>
        <w:rPr>
          <w:sz w:val="22"/>
          <w:szCs w:val="22"/>
        </w:rPr>
      </w:pPr>
      <w:bookmarkStart w:id="17" w:name="_Toc494451336"/>
      <w:r w:rsidRPr="00EF2A33">
        <w:rPr>
          <w:sz w:val="22"/>
          <w:szCs w:val="22"/>
        </w:rPr>
        <w:t>REVISÃO DE LITERATURA</w:t>
      </w:r>
      <w:bookmarkEnd w:id="17"/>
      <w:r w:rsidR="00174312" w:rsidRPr="00EF2A33">
        <w:rPr>
          <w:sz w:val="22"/>
          <w:szCs w:val="22"/>
        </w:rPr>
        <w:t xml:space="preserve"> </w:t>
      </w:r>
    </w:p>
    <w:p w14:paraId="0A2A2815" w14:textId="77777777" w:rsidR="00835FD0" w:rsidRPr="00EF2A33" w:rsidRDefault="00835FD0" w:rsidP="00592267">
      <w:pPr>
        <w:spacing w:line="360" w:lineRule="auto"/>
        <w:ind w:firstLine="709"/>
        <w:jc w:val="both"/>
        <w:rPr>
          <w:sz w:val="22"/>
          <w:szCs w:val="22"/>
        </w:rPr>
      </w:pPr>
      <w:bookmarkStart w:id="18" w:name="_Toc20651321"/>
    </w:p>
    <w:p w14:paraId="0FEFF7C8" w14:textId="77777777" w:rsidR="005A44A2" w:rsidRPr="00EF2A33" w:rsidRDefault="005A44A2" w:rsidP="00592267">
      <w:pPr>
        <w:spacing w:line="360" w:lineRule="auto"/>
        <w:ind w:firstLine="709"/>
        <w:jc w:val="both"/>
        <w:rPr>
          <w:sz w:val="22"/>
          <w:szCs w:val="22"/>
        </w:rPr>
      </w:pPr>
      <w:r w:rsidRPr="00EF2A33">
        <w:rPr>
          <w:sz w:val="22"/>
          <w:szCs w:val="22"/>
        </w:rPr>
        <w:t>Nesta seção apresentam-se os principais estudos, bem como os seminais, relativos à estrutura de capital e assimetria de informações, temas de interesse do trabalho.</w:t>
      </w:r>
    </w:p>
    <w:p w14:paraId="5F95AA9E" w14:textId="77777777" w:rsidR="00835FD0" w:rsidRPr="00EF2A33" w:rsidRDefault="00835FD0" w:rsidP="00592267">
      <w:pPr>
        <w:spacing w:line="360" w:lineRule="auto"/>
        <w:ind w:firstLine="709"/>
        <w:jc w:val="both"/>
        <w:rPr>
          <w:sz w:val="22"/>
          <w:szCs w:val="22"/>
        </w:rPr>
      </w:pPr>
    </w:p>
    <w:p w14:paraId="6A31734A" w14:textId="70CAE855" w:rsidR="00053A0B" w:rsidRPr="00EF2A33" w:rsidRDefault="00284D1A" w:rsidP="00592267">
      <w:pPr>
        <w:pStyle w:val="Ttulo2"/>
        <w:spacing w:before="0" w:after="0"/>
        <w:rPr>
          <w:sz w:val="22"/>
          <w:szCs w:val="22"/>
        </w:rPr>
      </w:pPr>
      <w:bookmarkStart w:id="19" w:name="_Toc494451337"/>
      <w:r w:rsidRPr="00EF2A33">
        <w:rPr>
          <w:sz w:val="22"/>
          <w:szCs w:val="22"/>
        </w:rPr>
        <w:t xml:space="preserve">Estrutura de capital: </w:t>
      </w:r>
      <w:r w:rsidR="00E330D9" w:rsidRPr="00EF2A33">
        <w:rPr>
          <w:sz w:val="22"/>
          <w:szCs w:val="22"/>
        </w:rPr>
        <w:t>AUTORES CLÁSSICOS</w:t>
      </w:r>
      <w:bookmarkEnd w:id="19"/>
    </w:p>
    <w:p w14:paraId="31200105" w14:textId="77777777" w:rsidR="00835FD0" w:rsidRPr="00EF2A33" w:rsidRDefault="00835FD0" w:rsidP="00592267">
      <w:pPr>
        <w:spacing w:line="360" w:lineRule="auto"/>
        <w:ind w:firstLine="709"/>
        <w:jc w:val="both"/>
        <w:rPr>
          <w:sz w:val="22"/>
          <w:szCs w:val="22"/>
        </w:rPr>
      </w:pPr>
    </w:p>
    <w:p w14:paraId="4D5D8C7D" w14:textId="3D973527" w:rsidR="003627C3" w:rsidRPr="00EF2A33" w:rsidRDefault="00E330D9" w:rsidP="00592267">
      <w:pPr>
        <w:spacing w:line="360" w:lineRule="auto"/>
        <w:ind w:firstLine="709"/>
        <w:jc w:val="both"/>
        <w:rPr>
          <w:sz w:val="22"/>
          <w:szCs w:val="22"/>
        </w:rPr>
      </w:pPr>
      <w:r w:rsidRPr="00EF2A33">
        <w:rPr>
          <w:sz w:val="22"/>
          <w:szCs w:val="22"/>
        </w:rPr>
        <w:t>Durand (1952) é tido como pioneiro da Escola Tradiciona</w:t>
      </w:r>
      <w:r w:rsidR="00834F28" w:rsidRPr="00EF2A33">
        <w:rPr>
          <w:sz w:val="22"/>
          <w:szCs w:val="22"/>
        </w:rPr>
        <w:t xml:space="preserve">lista da </w:t>
      </w:r>
      <w:r w:rsidR="00A502BC" w:rsidRPr="00EF2A33">
        <w:rPr>
          <w:sz w:val="22"/>
          <w:szCs w:val="22"/>
        </w:rPr>
        <w:t>estrutura de capital</w:t>
      </w:r>
      <w:r w:rsidR="00834F28" w:rsidRPr="00EF2A33">
        <w:rPr>
          <w:sz w:val="22"/>
          <w:szCs w:val="22"/>
        </w:rPr>
        <w:t xml:space="preserve">, que, em suma, defende a existência de uma estrutura ótima de capital para a empresa, em que haveria um ponto ótimo </w:t>
      </w:r>
      <w:r w:rsidR="000B41DC" w:rsidRPr="00EF2A33">
        <w:rPr>
          <w:sz w:val="22"/>
          <w:szCs w:val="22"/>
        </w:rPr>
        <w:t>no qual</w:t>
      </w:r>
      <w:r w:rsidR="00834F28" w:rsidRPr="00EF2A33">
        <w:rPr>
          <w:sz w:val="22"/>
          <w:szCs w:val="22"/>
        </w:rPr>
        <w:t xml:space="preserve"> o </w:t>
      </w:r>
      <w:r w:rsidRPr="00EF2A33">
        <w:rPr>
          <w:sz w:val="22"/>
          <w:szCs w:val="22"/>
        </w:rPr>
        <w:t>custo de capital de terceiros permanece</w:t>
      </w:r>
      <w:r w:rsidR="00834F28" w:rsidRPr="00EF2A33">
        <w:rPr>
          <w:sz w:val="22"/>
          <w:szCs w:val="22"/>
        </w:rPr>
        <w:t>ria</w:t>
      </w:r>
      <w:r w:rsidRPr="00EF2A33">
        <w:rPr>
          <w:sz w:val="22"/>
          <w:szCs w:val="22"/>
        </w:rPr>
        <w:t xml:space="preserve"> estável até </w:t>
      </w:r>
      <w:r w:rsidR="00834F28" w:rsidRPr="00EF2A33">
        <w:rPr>
          <w:sz w:val="22"/>
          <w:szCs w:val="22"/>
        </w:rPr>
        <w:t xml:space="preserve">um </w:t>
      </w:r>
      <w:r w:rsidRPr="00EF2A33">
        <w:rPr>
          <w:sz w:val="22"/>
          <w:szCs w:val="22"/>
        </w:rPr>
        <w:t>det</w:t>
      </w:r>
      <w:r w:rsidR="00834F28" w:rsidRPr="00EF2A33">
        <w:rPr>
          <w:sz w:val="22"/>
          <w:szCs w:val="22"/>
        </w:rPr>
        <w:t xml:space="preserve">erminado nível de endividamento, sendo que, </w:t>
      </w:r>
      <w:r w:rsidRPr="00EF2A33">
        <w:rPr>
          <w:sz w:val="22"/>
          <w:szCs w:val="22"/>
        </w:rPr>
        <w:t xml:space="preserve">a partir desse </w:t>
      </w:r>
      <w:r w:rsidR="00834F28" w:rsidRPr="00EF2A33">
        <w:rPr>
          <w:sz w:val="22"/>
          <w:szCs w:val="22"/>
        </w:rPr>
        <w:t>ponto, a empresa tornar-se-</w:t>
      </w:r>
      <w:r w:rsidR="00385612" w:rsidRPr="00EF2A33">
        <w:rPr>
          <w:sz w:val="22"/>
          <w:szCs w:val="22"/>
        </w:rPr>
        <w:t>ia</w:t>
      </w:r>
      <w:r w:rsidR="00834F28" w:rsidRPr="00EF2A33">
        <w:rPr>
          <w:sz w:val="22"/>
          <w:szCs w:val="22"/>
        </w:rPr>
        <w:t xml:space="preserve"> </w:t>
      </w:r>
      <w:r w:rsidRPr="00EF2A33">
        <w:rPr>
          <w:sz w:val="22"/>
          <w:szCs w:val="22"/>
        </w:rPr>
        <w:t>mais propensa ao risco de falência</w:t>
      </w:r>
      <w:r w:rsidR="00834F28" w:rsidRPr="00EF2A33">
        <w:rPr>
          <w:sz w:val="22"/>
          <w:szCs w:val="22"/>
        </w:rPr>
        <w:t xml:space="preserve">, gerando, portanto, maiores custos para </w:t>
      </w:r>
      <w:r w:rsidR="00A91C2D" w:rsidRPr="00EF2A33">
        <w:rPr>
          <w:sz w:val="22"/>
          <w:szCs w:val="22"/>
        </w:rPr>
        <w:t>fi</w:t>
      </w:r>
      <w:r w:rsidR="00E56E78" w:rsidRPr="00EF2A33">
        <w:rPr>
          <w:sz w:val="22"/>
          <w:szCs w:val="22"/>
        </w:rPr>
        <w:t>nanciamento de suas atividades.</w:t>
      </w:r>
    </w:p>
    <w:p w14:paraId="6AAA73B4" w14:textId="49401EB9" w:rsidR="007E14E0" w:rsidRPr="00EF2A33" w:rsidRDefault="00232413" w:rsidP="00592267">
      <w:pPr>
        <w:spacing w:line="360" w:lineRule="auto"/>
        <w:ind w:firstLine="709"/>
        <w:jc w:val="both"/>
        <w:rPr>
          <w:sz w:val="22"/>
          <w:szCs w:val="22"/>
        </w:rPr>
      </w:pPr>
      <w:r w:rsidRPr="00EF2A33">
        <w:rPr>
          <w:sz w:val="22"/>
          <w:szCs w:val="22"/>
        </w:rPr>
        <w:t>Contestando a abordagem tradicional de Durand</w:t>
      </w:r>
      <w:r w:rsidR="007F5E76" w:rsidRPr="00EF2A33">
        <w:rPr>
          <w:sz w:val="22"/>
          <w:szCs w:val="22"/>
        </w:rPr>
        <w:t xml:space="preserve"> (1952)</w:t>
      </w:r>
      <w:r w:rsidRPr="00EF2A33">
        <w:rPr>
          <w:sz w:val="22"/>
          <w:szCs w:val="22"/>
        </w:rPr>
        <w:t xml:space="preserve">, Modigliani e Miller (1958) </w:t>
      </w:r>
      <w:r w:rsidR="00D97E79" w:rsidRPr="00EF2A33">
        <w:rPr>
          <w:sz w:val="22"/>
          <w:szCs w:val="22"/>
        </w:rPr>
        <w:t xml:space="preserve">defendem que, sob um </w:t>
      </w:r>
      <w:r w:rsidR="00385612" w:rsidRPr="00EF2A33">
        <w:rPr>
          <w:sz w:val="22"/>
          <w:szCs w:val="22"/>
        </w:rPr>
        <w:t xml:space="preserve">conjunto </w:t>
      </w:r>
      <w:r w:rsidR="00D97E79" w:rsidRPr="00EF2A33">
        <w:rPr>
          <w:sz w:val="22"/>
          <w:szCs w:val="22"/>
        </w:rPr>
        <w:t xml:space="preserve">peculiar de circunstâncias, o </w:t>
      </w:r>
      <w:r w:rsidR="00385612" w:rsidRPr="00EF2A33">
        <w:rPr>
          <w:sz w:val="22"/>
          <w:szCs w:val="22"/>
        </w:rPr>
        <w:t xml:space="preserve">valor </w:t>
      </w:r>
      <w:r w:rsidR="00D97E79" w:rsidRPr="00EF2A33">
        <w:rPr>
          <w:sz w:val="22"/>
          <w:szCs w:val="22"/>
        </w:rPr>
        <w:t xml:space="preserve">da empresa </w:t>
      </w:r>
      <w:r w:rsidR="008925CE" w:rsidRPr="00EF2A33">
        <w:rPr>
          <w:sz w:val="22"/>
          <w:szCs w:val="22"/>
        </w:rPr>
        <w:t xml:space="preserve">não é </w:t>
      </w:r>
      <w:r w:rsidR="00385612" w:rsidRPr="00EF2A33">
        <w:rPr>
          <w:sz w:val="22"/>
          <w:szCs w:val="22"/>
        </w:rPr>
        <w:t xml:space="preserve">afetado </w:t>
      </w:r>
      <w:r w:rsidR="008925CE" w:rsidRPr="00EF2A33">
        <w:rPr>
          <w:sz w:val="22"/>
          <w:szCs w:val="22"/>
        </w:rPr>
        <w:t xml:space="preserve">pela </w:t>
      </w:r>
      <w:r w:rsidR="00385612" w:rsidRPr="00EF2A33">
        <w:rPr>
          <w:sz w:val="22"/>
          <w:szCs w:val="22"/>
        </w:rPr>
        <w:t>sua estrutura de capital</w:t>
      </w:r>
      <w:r w:rsidR="008925CE" w:rsidRPr="00EF2A33">
        <w:rPr>
          <w:sz w:val="22"/>
          <w:szCs w:val="22"/>
        </w:rPr>
        <w:t xml:space="preserve">, o que implica concluir que </w:t>
      </w:r>
      <w:r w:rsidR="00385612" w:rsidRPr="00EF2A33">
        <w:rPr>
          <w:sz w:val="22"/>
          <w:szCs w:val="22"/>
        </w:rPr>
        <w:t xml:space="preserve">a escolha </w:t>
      </w:r>
      <w:r w:rsidR="008925CE" w:rsidRPr="00EF2A33">
        <w:rPr>
          <w:sz w:val="22"/>
          <w:szCs w:val="22"/>
        </w:rPr>
        <w:t xml:space="preserve">da forma de </w:t>
      </w:r>
      <w:r w:rsidR="00385612" w:rsidRPr="00EF2A33">
        <w:rPr>
          <w:sz w:val="22"/>
          <w:szCs w:val="22"/>
        </w:rPr>
        <w:t xml:space="preserve">financiamento </w:t>
      </w:r>
      <w:r w:rsidR="008925CE" w:rsidRPr="00EF2A33">
        <w:rPr>
          <w:sz w:val="22"/>
          <w:szCs w:val="22"/>
        </w:rPr>
        <w:t xml:space="preserve">das atividades da empresa </w:t>
      </w:r>
      <w:r w:rsidR="00385612" w:rsidRPr="00EF2A33">
        <w:rPr>
          <w:sz w:val="22"/>
          <w:szCs w:val="22"/>
        </w:rPr>
        <w:t>é irrelevante</w:t>
      </w:r>
      <w:r w:rsidR="008925CE" w:rsidRPr="00EF2A33">
        <w:rPr>
          <w:sz w:val="22"/>
          <w:szCs w:val="22"/>
        </w:rPr>
        <w:t xml:space="preserve"> para a definição do seu valor.</w:t>
      </w:r>
      <w:r w:rsidR="00F85098" w:rsidRPr="00EF2A33">
        <w:rPr>
          <w:sz w:val="22"/>
          <w:szCs w:val="22"/>
        </w:rPr>
        <w:t xml:space="preserve"> Por conta disso, conforme argumentam Santos et al</w:t>
      </w:r>
      <w:r w:rsidR="00E30C44" w:rsidRPr="00EF2A33">
        <w:rPr>
          <w:sz w:val="22"/>
          <w:szCs w:val="22"/>
        </w:rPr>
        <w:t>.</w:t>
      </w:r>
      <w:r w:rsidR="00F85098" w:rsidRPr="00EF2A33">
        <w:rPr>
          <w:sz w:val="22"/>
          <w:szCs w:val="22"/>
        </w:rPr>
        <w:t xml:space="preserve"> (2014), nessa visão, as fontes de recursos das empresas eram irrelevantes para o valor das mesmas, sendo que somente o desempenho dos investimentos explicaria o valor de mercado da firma.</w:t>
      </w:r>
    </w:p>
    <w:p w14:paraId="1B5AA426" w14:textId="51360EB6" w:rsidR="00E04983" w:rsidRPr="00EF2A33" w:rsidRDefault="009C6FD5" w:rsidP="00592267">
      <w:pPr>
        <w:spacing w:line="360" w:lineRule="auto"/>
        <w:ind w:firstLine="709"/>
        <w:jc w:val="both"/>
        <w:rPr>
          <w:sz w:val="22"/>
          <w:szCs w:val="22"/>
        </w:rPr>
      </w:pPr>
      <w:r w:rsidRPr="00EF2A33">
        <w:rPr>
          <w:sz w:val="22"/>
          <w:szCs w:val="22"/>
        </w:rPr>
        <w:t>N</w:t>
      </w:r>
      <w:r w:rsidR="00E04983" w:rsidRPr="00EF2A33">
        <w:rPr>
          <w:sz w:val="22"/>
          <w:szCs w:val="22"/>
        </w:rPr>
        <w:t xml:space="preserve">a abordagem de Modigliani e Miller, </w:t>
      </w:r>
      <w:r w:rsidR="00E30C44" w:rsidRPr="00EF2A33">
        <w:rPr>
          <w:sz w:val="22"/>
          <w:szCs w:val="22"/>
        </w:rPr>
        <w:t xml:space="preserve">portanto, </w:t>
      </w:r>
      <w:r w:rsidR="00E04983" w:rsidRPr="00EF2A33">
        <w:rPr>
          <w:sz w:val="22"/>
          <w:szCs w:val="22"/>
        </w:rPr>
        <w:t xml:space="preserve">o valor da empresa independe da forma como seus ativos são financiados, estando relacionado unicamente com o retorno esperado dos projetos da firma. </w:t>
      </w:r>
      <w:r w:rsidRPr="00EF2A33">
        <w:rPr>
          <w:sz w:val="22"/>
          <w:szCs w:val="22"/>
        </w:rPr>
        <w:t xml:space="preserve">Segundo </w:t>
      </w:r>
      <w:r w:rsidR="00E30C44" w:rsidRPr="00EF2A33">
        <w:rPr>
          <w:sz w:val="22"/>
          <w:szCs w:val="22"/>
        </w:rPr>
        <w:t xml:space="preserve">Modigliani e Miller (1958), </w:t>
      </w:r>
      <w:r w:rsidRPr="00EF2A33">
        <w:rPr>
          <w:sz w:val="22"/>
          <w:szCs w:val="22"/>
        </w:rPr>
        <w:t>“</w:t>
      </w:r>
      <w:r w:rsidRPr="00EF2A33">
        <w:rPr>
          <w:i/>
          <w:sz w:val="22"/>
          <w:szCs w:val="22"/>
        </w:rPr>
        <w:t>That is, the market value of any firm is indepedent of its capital structure and is given by capitalizing its expected return at the rate Pk appropriate to its class</w:t>
      </w:r>
      <w:r w:rsidRPr="00EF2A33">
        <w:rPr>
          <w:sz w:val="22"/>
          <w:szCs w:val="22"/>
        </w:rPr>
        <w:t xml:space="preserve">”. </w:t>
      </w:r>
    </w:p>
    <w:p w14:paraId="6D53C1AA" w14:textId="77777777" w:rsidR="001C3571" w:rsidRPr="00EF2A33" w:rsidRDefault="00D8715D" w:rsidP="00592267">
      <w:pPr>
        <w:spacing w:line="360" w:lineRule="auto"/>
        <w:ind w:firstLine="709"/>
        <w:jc w:val="both"/>
        <w:rPr>
          <w:sz w:val="22"/>
          <w:szCs w:val="22"/>
        </w:rPr>
      </w:pPr>
      <w:r w:rsidRPr="00EF2A33">
        <w:rPr>
          <w:sz w:val="22"/>
          <w:szCs w:val="22"/>
        </w:rPr>
        <w:lastRenderedPageBreak/>
        <w:t xml:space="preserve">O trabalho de Modigliani e Miller (1958) está pautado em três proposições. A primeira </w:t>
      </w:r>
      <w:r w:rsidR="004B62DB" w:rsidRPr="00EF2A33">
        <w:rPr>
          <w:sz w:val="22"/>
          <w:szCs w:val="22"/>
        </w:rPr>
        <w:t>diz</w:t>
      </w:r>
      <w:r w:rsidR="00F83C0A" w:rsidRPr="00EF2A33">
        <w:rPr>
          <w:sz w:val="22"/>
          <w:szCs w:val="22"/>
        </w:rPr>
        <w:t xml:space="preserve"> que a decisão de financiar a empresa não pode afetar o seu valor. </w:t>
      </w:r>
      <w:r w:rsidR="001C3571" w:rsidRPr="00EF2A33">
        <w:rPr>
          <w:sz w:val="22"/>
          <w:szCs w:val="22"/>
        </w:rPr>
        <w:t xml:space="preserve">A segunda </w:t>
      </w:r>
      <w:r w:rsidR="00EA0C42" w:rsidRPr="00EF2A33">
        <w:rPr>
          <w:sz w:val="22"/>
          <w:szCs w:val="22"/>
        </w:rPr>
        <w:t xml:space="preserve">é que o custo do capital próprio da empresa aumenta em razão do seu grau de endividamento. </w:t>
      </w:r>
      <w:r w:rsidR="005A018F" w:rsidRPr="00EF2A33">
        <w:rPr>
          <w:sz w:val="22"/>
          <w:szCs w:val="22"/>
        </w:rPr>
        <w:t xml:space="preserve">E a terceira e última proposição é de que o </w:t>
      </w:r>
      <w:r w:rsidR="00EA0C42" w:rsidRPr="00EF2A33">
        <w:rPr>
          <w:sz w:val="22"/>
          <w:szCs w:val="22"/>
        </w:rPr>
        <w:t>valor total de mercado de uma empresa é independente da sua política de dividendos.</w:t>
      </w:r>
      <w:r w:rsidR="00DD5BB2" w:rsidRPr="00EF2A33">
        <w:rPr>
          <w:sz w:val="22"/>
          <w:szCs w:val="22"/>
        </w:rPr>
        <w:t xml:space="preserve"> </w:t>
      </w:r>
      <w:r w:rsidR="001C3571" w:rsidRPr="00EF2A33">
        <w:rPr>
          <w:sz w:val="22"/>
          <w:szCs w:val="22"/>
        </w:rPr>
        <w:t xml:space="preserve">Ocorre que o trabalho em questão sofreu diversas críticas à época da sua publicação, o que fez com que Modigliani e Miller revisitassem </w:t>
      </w:r>
      <w:r w:rsidR="00E30C44" w:rsidRPr="00EF2A33">
        <w:rPr>
          <w:sz w:val="22"/>
          <w:szCs w:val="22"/>
        </w:rPr>
        <w:t>seu trabalho original e</w:t>
      </w:r>
      <w:r w:rsidR="00095352" w:rsidRPr="00EF2A33">
        <w:rPr>
          <w:sz w:val="22"/>
          <w:szCs w:val="22"/>
        </w:rPr>
        <w:t>,</w:t>
      </w:r>
      <w:r w:rsidR="00E30C44" w:rsidRPr="00EF2A33">
        <w:rPr>
          <w:sz w:val="22"/>
          <w:szCs w:val="22"/>
        </w:rPr>
        <w:t xml:space="preserve"> em 1963</w:t>
      </w:r>
      <w:r w:rsidR="00095352" w:rsidRPr="00EF2A33">
        <w:rPr>
          <w:sz w:val="22"/>
          <w:szCs w:val="22"/>
        </w:rPr>
        <w:t>,</w:t>
      </w:r>
      <w:r w:rsidR="00E30C44" w:rsidRPr="00EF2A33">
        <w:rPr>
          <w:sz w:val="22"/>
          <w:szCs w:val="22"/>
        </w:rPr>
        <w:t xml:space="preserve"> reeditaram o escrito para reconhecer que os benefícios tributários </w:t>
      </w:r>
      <w:r w:rsidR="00095352" w:rsidRPr="00EF2A33">
        <w:rPr>
          <w:sz w:val="22"/>
          <w:szCs w:val="22"/>
        </w:rPr>
        <w:t xml:space="preserve">da dívida são sim capazes de afetar o valor da empresa. </w:t>
      </w:r>
    </w:p>
    <w:p w14:paraId="261D504F" w14:textId="72E24564" w:rsidR="00D420E8" w:rsidRPr="00EF2A33" w:rsidRDefault="00215BAA" w:rsidP="00592267">
      <w:pPr>
        <w:spacing w:line="360" w:lineRule="auto"/>
        <w:ind w:firstLine="709"/>
        <w:jc w:val="both"/>
        <w:rPr>
          <w:sz w:val="22"/>
          <w:szCs w:val="22"/>
        </w:rPr>
      </w:pPr>
      <w:r w:rsidRPr="00EF2A33">
        <w:rPr>
          <w:sz w:val="22"/>
          <w:szCs w:val="22"/>
        </w:rPr>
        <w:t>Além das abordagens clássicas, tem-se na linha de finanças as abordagens ligadas à teoria trade-of</w:t>
      </w:r>
      <w:r w:rsidR="001C3571" w:rsidRPr="00EF2A33">
        <w:rPr>
          <w:sz w:val="22"/>
          <w:szCs w:val="22"/>
        </w:rPr>
        <w:t xml:space="preserve">f, pecking order e a abordagem </w:t>
      </w:r>
      <w:r w:rsidR="001C3571" w:rsidRPr="00EF2A33">
        <w:rPr>
          <w:i/>
          <w:sz w:val="22"/>
          <w:szCs w:val="22"/>
        </w:rPr>
        <w:t>m</w:t>
      </w:r>
      <w:r w:rsidRPr="00EF2A33">
        <w:rPr>
          <w:i/>
          <w:sz w:val="22"/>
          <w:szCs w:val="22"/>
        </w:rPr>
        <w:t>arket timing</w:t>
      </w:r>
      <w:r w:rsidRPr="00EF2A33">
        <w:rPr>
          <w:sz w:val="22"/>
          <w:szCs w:val="22"/>
        </w:rPr>
        <w:t>, que serão discutidas sucintamente a seguir.</w:t>
      </w:r>
    </w:p>
    <w:p w14:paraId="14A85401" w14:textId="77777777" w:rsidR="00835FD0" w:rsidRPr="00EF2A33" w:rsidRDefault="00835FD0" w:rsidP="00592267">
      <w:pPr>
        <w:spacing w:line="360" w:lineRule="auto"/>
        <w:ind w:firstLine="709"/>
        <w:jc w:val="both"/>
        <w:rPr>
          <w:sz w:val="22"/>
          <w:szCs w:val="22"/>
        </w:rPr>
      </w:pPr>
    </w:p>
    <w:p w14:paraId="446933E5" w14:textId="3685BE7D" w:rsidR="00E07A65" w:rsidRPr="00EF2A33" w:rsidRDefault="00F47576" w:rsidP="00592267">
      <w:pPr>
        <w:pStyle w:val="Ttulo2"/>
        <w:spacing w:before="0" w:after="0"/>
        <w:rPr>
          <w:sz w:val="22"/>
          <w:szCs w:val="22"/>
        </w:rPr>
      </w:pPr>
      <w:bookmarkStart w:id="20" w:name="_Toc494451340"/>
      <w:r w:rsidRPr="00EF2A33">
        <w:rPr>
          <w:sz w:val="22"/>
          <w:szCs w:val="22"/>
        </w:rPr>
        <w:t>Trade-off</w:t>
      </w:r>
      <w:r w:rsidR="0096653C" w:rsidRPr="00EF2A33">
        <w:rPr>
          <w:sz w:val="22"/>
          <w:szCs w:val="22"/>
        </w:rPr>
        <w:t xml:space="preserve"> </w:t>
      </w:r>
      <w:r w:rsidR="0024172A" w:rsidRPr="00EF2A33">
        <w:rPr>
          <w:sz w:val="22"/>
          <w:szCs w:val="22"/>
        </w:rPr>
        <w:t>theory</w:t>
      </w:r>
      <w:bookmarkEnd w:id="20"/>
    </w:p>
    <w:p w14:paraId="357BA996" w14:textId="77777777" w:rsidR="00835FD0" w:rsidRPr="00EF2A33" w:rsidRDefault="00835FD0" w:rsidP="00592267">
      <w:pPr>
        <w:spacing w:line="360" w:lineRule="auto"/>
        <w:ind w:firstLine="709"/>
        <w:jc w:val="both"/>
        <w:rPr>
          <w:sz w:val="22"/>
          <w:szCs w:val="22"/>
        </w:rPr>
      </w:pPr>
    </w:p>
    <w:p w14:paraId="0C7D1AFE" w14:textId="606443FD" w:rsidR="0096653C" w:rsidRPr="00EF2A33" w:rsidRDefault="00166E11" w:rsidP="00592267">
      <w:pPr>
        <w:spacing w:line="360" w:lineRule="auto"/>
        <w:ind w:firstLine="709"/>
        <w:jc w:val="both"/>
        <w:rPr>
          <w:sz w:val="22"/>
          <w:szCs w:val="22"/>
        </w:rPr>
      </w:pPr>
      <w:r w:rsidRPr="00EF2A33">
        <w:rPr>
          <w:sz w:val="22"/>
          <w:szCs w:val="22"/>
        </w:rPr>
        <w:t>A</w:t>
      </w:r>
      <w:r w:rsidR="0096653C" w:rsidRPr="00EF2A33">
        <w:rPr>
          <w:sz w:val="22"/>
          <w:szCs w:val="22"/>
        </w:rPr>
        <w:t xml:space="preserve"> teoria </w:t>
      </w:r>
      <w:r w:rsidR="001C3571" w:rsidRPr="00EF2A33">
        <w:rPr>
          <w:sz w:val="22"/>
          <w:szCs w:val="22"/>
        </w:rPr>
        <w:t xml:space="preserve">de </w:t>
      </w:r>
      <w:r w:rsidR="00F47576" w:rsidRPr="00EF2A33">
        <w:rPr>
          <w:i/>
          <w:sz w:val="22"/>
          <w:szCs w:val="22"/>
        </w:rPr>
        <w:t>trade-off</w:t>
      </w:r>
      <w:r w:rsidR="0096653C" w:rsidRPr="00EF2A33">
        <w:rPr>
          <w:sz w:val="22"/>
          <w:szCs w:val="22"/>
        </w:rPr>
        <w:t xml:space="preserve"> </w:t>
      </w:r>
      <w:r w:rsidRPr="00EF2A33">
        <w:rPr>
          <w:sz w:val="22"/>
          <w:szCs w:val="22"/>
        </w:rPr>
        <w:t xml:space="preserve">não possui, objetivamente, um autor que se possa atribuir sua autoria. Trata-se de uma construção, que </w:t>
      </w:r>
      <w:r w:rsidR="0096653C" w:rsidRPr="00EF2A33">
        <w:rPr>
          <w:sz w:val="22"/>
          <w:szCs w:val="22"/>
        </w:rPr>
        <w:t xml:space="preserve">tem como </w:t>
      </w:r>
      <w:r w:rsidRPr="00EF2A33">
        <w:rPr>
          <w:sz w:val="22"/>
          <w:szCs w:val="22"/>
        </w:rPr>
        <w:t xml:space="preserve">grandes </w:t>
      </w:r>
      <w:r w:rsidR="0096653C" w:rsidRPr="00EF2A33">
        <w:rPr>
          <w:sz w:val="22"/>
          <w:szCs w:val="22"/>
        </w:rPr>
        <w:t xml:space="preserve">expoentes </w:t>
      </w:r>
      <w:r w:rsidR="00734CF8" w:rsidRPr="00EF2A33">
        <w:rPr>
          <w:sz w:val="22"/>
          <w:szCs w:val="22"/>
        </w:rPr>
        <w:t xml:space="preserve">Myers (1977), </w:t>
      </w:r>
      <w:r w:rsidR="0096653C" w:rsidRPr="00EF2A33">
        <w:rPr>
          <w:sz w:val="22"/>
          <w:szCs w:val="22"/>
        </w:rPr>
        <w:t xml:space="preserve">Myers (1984), </w:t>
      </w:r>
      <w:r w:rsidR="00C45AE6" w:rsidRPr="00EF2A33">
        <w:rPr>
          <w:sz w:val="22"/>
          <w:szCs w:val="22"/>
        </w:rPr>
        <w:t xml:space="preserve">e outros, que discutiram </w:t>
      </w:r>
      <w:r w:rsidR="0096653C" w:rsidRPr="00EF2A33">
        <w:rPr>
          <w:sz w:val="22"/>
          <w:szCs w:val="22"/>
        </w:rPr>
        <w:t xml:space="preserve">tanto a </w:t>
      </w:r>
      <w:r w:rsidR="00F47576" w:rsidRPr="00EF2A33">
        <w:rPr>
          <w:i/>
          <w:sz w:val="22"/>
          <w:szCs w:val="22"/>
        </w:rPr>
        <w:t>trade-off</w:t>
      </w:r>
      <w:r w:rsidR="0096653C" w:rsidRPr="00EF2A33">
        <w:rPr>
          <w:i/>
          <w:sz w:val="22"/>
          <w:szCs w:val="22"/>
        </w:rPr>
        <w:t xml:space="preserve"> </w:t>
      </w:r>
      <w:r w:rsidR="0024172A" w:rsidRPr="00EF2A33">
        <w:rPr>
          <w:i/>
          <w:sz w:val="22"/>
          <w:szCs w:val="22"/>
        </w:rPr>
        <w:t>theory</w:t>
      </w:r>
      <w:r w:rsidR="0096653C" w:rsidRPr="00EF2A33">
        <w:rPr>
          <w:sz w:val="22"/>
          <w:szCs w:val="22"/>
        </w:rPr>
        <w:t xml:space="preserve"> quanto a </w:t>
      </w:r>
      <w:r w:rsidR="004C5CEE" w:rsidRPr="00EF2A33">
        <w:rPr>
          <w:i/>
          <w:sz w:val="22"/>
          <w:szCs w:val="22"/>
        </w:rPr>
        <w:t>pecking order</w:t>
      </w:r>
      <w:r w:rsidR="0096653C" w:rsidRPr="00EF2A33">
        <w:rPr>
          <w:i/>
          <w:sz w:val="22"/>
          <w:szCs w:val="22"/>
        </w:rPr>
        <w:t xml:space="preserve"> </w:t>
      </w:r>
      <w:r w:rsidR="0024172A" w:rsidRPr="00EF2A33">
        <w:rPr>
          <w:i/>
          <w:sz w:val="22"/>
          <w:szCs w:val="22"/>
        </w:rPr>
        <w:t>theory</w:t>
      </w:r>
      <w:r w:rsidR="0096653C" w:rsidRPr="00EF2A33">
        <w:rPr>
          <w:sz w:val="22"/>
          <w:szCs w:val="22"/>
        </w:rPr>
        <w:t xml:space="preserve">. Segundo Myers (1984), a </w:t>
      </w:r>
      <w:r w:rsidR="00F47576" w:rsidRPr="00EF2A33">
        <w:rPr>
          <w:i/>
          <w:sz w:val="22"/>
          <w:szCs w:val="22"/>
        </w:rPr>
        <w:t>trade-off</w:t>
      </w:r>
      <w:r w:rsidR="0096653C" w:rsidRPr="00EF2A33">
        <w:rPr>
          <w:i/>
          <w:sz w:val="22"/>
          <w:szCs w:val="22"/>
        </w:rPr>
        <w:t xml:space="preserve"> </w:t>
      </w:r>
      <w:r w:rsidR="0024172A" w:rsidRPr="00EF2A33">
        <w:rPr>
          <w:i/>
          <w:sz w:val="22"/>
          <w:szCs w:val="22"/>
        </w:rPr>
        <w:t>theory</w:t>
      </w:r>
      <w:r w:rsidR="0096653C" w:rsidRPr="00EF2A33">
        <w:rPr>
          <w:sz w:val="22"/>
          <w:szCs w:val="22"/>
        </w:rPr>
        <w:t xml:space="preserve"> preconiza que as empresas devem buscar uma estrutura </w:t>
      </w:r>
      <w:r w:rsidR="001A1969" w:rsidRPr="00EF2A33">
        <w:rPr>
          <w:sz w:val="22"/>
          <w:szCs w:val="22"/>
        </w:rPr>
        <w:t xml:space="preserve">ótima </w:t>
      </w:r>
      <w:r w:rsidR="0096653C" w:rsidRPr="00EF2A33">
        <w:rPr>
          <w:sz w:val="22"/>
          <w:szCs w:val="22"/>
        </w:rPr>
        <w:t>de capital</w:t>
      </w:r>
      <w:r w:rsidR="001A1969" w:rsidRPr="00EF2A33">
        <w:rPr>
          <w:sz w:val="22"/>
          <w:szCs w:val="22"/>
        </w:rPr>
        <w:t xml:space="preserve">, </w:t>
      </w:r>
      <w:r w:rsidR="0096653C" w:rsidRPr="00EF2A33">
        <w:rPr>
          <w:sz w:val="22"/>
          <w:szCs w:val="22"/>
        </w:rPr>
        <w:t xml:space="preserve">que maximize os </w:t>
      </w:r>
      <w:r w:rsidR="001A1969" w:rsidRPr="00EF2A33">
        <w:rPr>
          <w:sz w:val="22"/>
          <w:szCs w:val="22"/>
        </w:rPr>
        <w:t xml:space="preserve">benefícios decorrentes dessa estrutura e </w:t>
      </w:r>
      <w:r w:rsidR="0096653C" w:rsidRPr="00EF2A33">
        <w:rPr>
          <w:sz w:val="22"/>
          <w:szCs w:val="22"/>
        </w:rPr>
        <w:t xml:space="preserve">minimize os custos </w:t>
      </w:r>
      <w:r w:rsidR="001A1969" w:rsidRPr="00EF2A33">
        <w:rPr>
          <w:sz w:val="22"/>
          <w:szCs w:val="22"/>
        </w:rPr>
        <w:t xml:space="preserve">decorrentes </w:t>
      </w:r>
      <w:r w:rsidR="0096653C" w:rsidRPr="00EF2A33">
        <w:rPr>
          <w:sz w:val="22"/>
          <w:szCs w:val="22"/>
        </w:rPr>
        <w:t>do endividamento.</w:t>
      </w:r>
      <w:r w:rsidRPr="00EF2A33">
        <w:rPr>
          <w:sz w:val="22"/>
          <w:szCs w:val="22"/>
        </w:rPr>
        <w:t xml:space="preserve"> </w:t>
      </w:r>
    </w:p>
    <w:p w14:paraId="64AF44E7" w14:textId="045A0156" w:rsidR="00DD5108" w:rsidRPr="00EF2A33" w:rsidRDefault="001C3571" w:rsidP="00592267">
      <w:pPr>
        <w:spacing w:line="360" w:lineRule="auto"/>
        <w:ind w:firstLine="709"/>
        <w:jc w:val="both"/>
        <w:rPr>
          <w:sz w:val="22"/>
          <w:szCs w:val="22"/>
        </w:rPr>
      </w:pPr>
      <w:r w:rsidRPr="00EF2A33">
        <w:rPr>
          <w:sz w:val="22"/>
          <w:szCs w:val="22"/>
        </w:rPr>
        <w:t xml:space="preserve">Nesse sentido, </w:t>
      </w:r>
      <w:r w:rsidR="00DD5108" w:rsidRPr="00EF2A33">
        <w:rPr>
          <w:sz w:val="22"/>
          <w:szCs w:val="22"/>
        </w:rPr>
        <w:t xml:space="preserve">Jahanzeb et al. (2014) esclarecem que a teoria </w:t>
      </w:r>
      <w:r w:rsidR="00F47576" w:rsidRPr="00EF2A33">
        <w:rPr>
          <w:i/>
          <w:sz w:val="22"/>
          <w:szCs w:val="22"/>
        </w:rPr>
        <w:t>trade-off</w:t>
      </w:r>
      <w:r w:rsidR="00DD5108" w:rsidRPr="00EF2A33">
        <w:rPr>
          <w:sz w:val="22"/>
          <w:szCs w:val="22"/>
        </w:rPr>
        <w:t xml:space="preserve"> tem como foco a análise de</w:t>
      </w:r>
      <w:r w:rsidRPr="00EF2A33">
        <w:rPr>
          <w:sz w:val="22"/>
          <w:szCs w:val="22"/>
        </w:rPr>
        <w:t xml:space="preserve"> </w:t>
      </w:r>
      <w:r w:rsidR="00DD5108" w:rsidRPr="00EF2A33">
        <w:rPr>
          <w:sz w:val="22"/>
          <w:szCs w:val="22"/>
        </w:rPr>
        <w:t>custos e dos benefícios da dívida</w:t>
      </w:r>
      <w:r w:rsidR="00457EF4" w:rsidRPr="00EF2A33">
        <w:rPr>
          <w:sz w:val="22"/>
          <w:szCs w:val="22"/>
        </w:rPr>
        <w:t>,</w:t>
      </w:r>
      <w:r w:rsidR="00DD5108" w:rsidRPr="00EF2A33">
        <w:rPr>
          <w:sz w:val="22"/>
          <w:szCs w:val="22"/>
        </w:rPr>
        <w:t xml:space="preserve"> para que a empresa identifique o ponto ótimo de</w:t>
      </w:r>
      <w:r w:rsidRPr="00EF2A33">
        <w:rPr>
          <w:sz w:val="22"/>
          <w:szCs w:val="22"/>
        </w:rPr>
        <w:t xml:space="preserve"> </w:t>
      </w:r>
      <w:r w:rsidR="00DD5108" w:rsidRPr="00EF2A33">
        <w:rPr>
          <w:sz w:val="22"/>
          <w:szCs w:val="22"/>
        </w:rPr>
        <w:t>endividamento da sua estrutura de capital, de modo que a dívida ajude</w:t>
      </w:r>
      <w:r w:rsidRPr="00EF2A33">
        <w:rPr>
          <w:sz w:val="22"/>
          <w:szCs w:val="22"/>
        </w:rPr>
        <w:t xml:space="preserve"> </w:t>
      </w:r>
      <w:r w:rsidR="00DD5108" w:rsidRPr="00EF2A33">
        <w:rPr>
          <w:sz w:val="22"/>
          <w:szCs w:val="22"/>
        </w:rPr>
        <w:t xml:space="preserve">a maximizar o valor da empresa. </w:t>
      </w:r>
      <w:r w:rsidR="00457EF4" w:rsidRPr="00EF2A33">
        <w:rPr>
          <w:sz w:val="22"/>
          <w:szCs w:val="22"/>
        </w:rPr>
        <w:t xml:space="preserve">Segundo os autores, </w:t>
      </w:r>
      <w:r w:rsidR="004157D3" w:rsidRPr="00EF2A33">
        <w:rPr>
          <w:sz w:val="22"/>
          <w:szCs w:val="22"/>
        </w:rPr>
        <w:t>faz-se necessário</w:t>
      </w:r>
      <w:r w:rsidR="00457EF4" w:rsidRPr="00EF2A33">
        <w:rPr>
          <w:sz w:val="22"/>
          <w:szCs w:val="22"/>
        </w:rPr>
        <w:t xml:space="preserve"> haver um balanceamento entre os benefícios que a dívida proporciona, como é o caso das deduções fiscais, e os custos decorrentes do incremento da dívida.</w:t>
      </w:r>
    </w:p>
    <w:p w14:paraId="393DA357" w14:textId="351C6DDB" w:rsidR="001C3571" w:rsidRPr="00EF2A33" w:rsidRDefault="001C3571" w:rsidP="00592267">
      <w:pPr>
        <w:spacing w:line="360" w:lineRule="auto"/>
        <w:ind w:firstLine="709"/>
        <w:jc w:val="both"/>
        <w:rPr>
          <w:sz w:val="22"/>
          <w:szCs w:val="22"/>
        </w:rPr>
      </w:pPr>
      <w:r w:rsidRPr="00EF2A33">
        <w:rPr>
          <w:sz w:val="22"/>
          <w:szCs w:val="22"/>
        </w:rPr>
        <w:t xml:space="preserve">No entanto, essa estrutura de capital alvo não é estática e precisa ser constantemente calibrada, pois as dinâmicas e imperfeições do mercado fazem com que haja ajustes para obtenção do nível ótimo de endividamento pelas corporações (MYERS, 2003). Com isso, tem-se a abordagem dinâmica da teoria de </w:t>
      </w:r>
      <w:r w:rsidRPr="00EF2A33">
        <w:rPr>
          <w:i/>
          <w:sz w:val="22"/>
          <w:szCs w:val="22"/>
        </w:rPr>
        <w:t>trade-off</w:t>
      </w:r>
      <w:r w:rsidR="00836D76" w:rsidRPr="00EF2A33">
        <w:rPr>
          <w:sz w:val="22"/>
          <w:szCs w:val="22"/>
        </w:rPr>
        <w:t xml:space="preserve">. </w:t>
      </w:r>
      <w:r w:rsidRPr="00EF2A33">
        <w:rPr>
          <w:sz w:val="22"/>
          <w:szCs w:val="22"/>
        </w:rPr>
        <w:t xml:space="preserve">A </w:t>
      </w:r>
      <w:r w:rsidR="0001626D" w:rsidRPr="00EF2A33">
        <w:rPr>
          <w:i/>
          <w:sz w:val="22"/>
          <w:szCs w:val="22"/>
        </w:rPr>
        <w:t>dynamic</w:t>
      </w:r>
      <w:r w:rsidR="0001626D" w:rsidRPr="00EF2A33">
        <w:rPr>
          <w:sz w:val="22"/>
          <w:szCs w:val="22"/>
        </w:rPr>
        <w:t xml:space="preserve"> </w:t>
      </w:r>
      <w:r w:rsidRPr="00EF2A33">
        <w:rPr>
          <w:i/>
          <w:sz w:val="22"/>
          <w:szCs w:val="22"/>
        </w:rPr>
        <w:t>trade-off</w:t>
      </w:r>
      <w:r w:rsidR="0001626D" w:rsidRPr="00EF2A33">
        <w:rPr>
          <w:i/>
          <w:sz w:val="22"/>
          <w:szCs w:val="22"/>
        </w:rPr>
        <w:t xml:space="preserve"> </w:t>
      </w:r>
      <w:r w:rsidRPr="00EF2A33">
        <w:rPr>
          <w:sz w:val="22"/>
          <w:szCs w:val="22"/>
        </w:rPr>
        <w:t xml:space="preserve">preconiza o balanceamento entre os custos e os benefícios do endividamento pelas corporações, que estariam a todo tempo avaliando seu endividamento e realizando os ajustes necessários para obter o melhor desempenho possível da sua estrutura de capital (ROCHA, 2014). </w:t>
      </w:r>
    </w:p>
    <w:p w14:paraId="3738516C" w14:textId="24ADC33F" w:rsidR="003A4C61" w:rsidRPr="00EF2A33" w:rsidRDefault="0001626D" w:rsidP="00592267">
      <w:pPr>
        <w:spacing w:line="360" w:lineRule="auto"/>
        <w:ind w:firstLine="709"/>
        <w:jc w:val="both"/>
        <w:rPr>
          <w:sz w:val="22"/>
          <w:szCs w:val="22"/>
        </w:rPr>
      </w:pPr>
      <w:r w:rsidRPr="00EF2A33">
        <w:rPr>
          <w:sz w:val="22"/>
          <w:szCs w:val="22"/>
        </w:rPr>
        <w:t xml:space="preserve">O oposto da </w:t>
      </w:r>
      <w:r w:rsidRPr="00EF2A33">
        <w:rPr>
          <w:i/>
          <w:sz w:val="22"/>
          <w:szCs w:val="22"/>
        </w:rPr>
        <w:t>trade-off</w:t>
      </w:r>
      <w:r w:rsidRPr="00EF2A33">
        <w:rPr>
          <w:sz w:val="22"/>
          <w:szCs w:val="22"/>
        </w:rPr>
        <w:t xml:space="preserve"> dinâmica é a abordagem estática da teoria, que aduz </w:t>
      </w:r>
      <w:r w:rsidR="00353CC3" w:rsidRPr="00EF2A33">
        <w:rPr>
          <w:sz w:val="22"/>
          <w:szCs w:val="22"/>
        </w:rPr>
        <w:t>que as empresas buscam alcançar um nível ótimo de endividamento</w:t>
      </w:r>
      <w:r w:rsidRPr="00EF2A33">
        <w:rPr>
          <w:sz w:val="22"/>
          <w:szCs w:val="22"/>
        </w:rPr>
        <w:t xml:space="preserve"> </w:t>
      </w:r>
      <w:r w:rsidR="00353CC3" w:rsidRPr="00EF2A33">
        <w:rPr>
          <w:sz w:val="22"/>
          <w:szCs w:val="22"/>
        </w:rPr>
        <w:t>que maximizaria seu valor final</w:t>
      </w:r>
      <w:r w:rsidR="00566992" w:rsidRPr="00EF2A33">
        <w:rPr>
          <w:sz w:val="22"/>
          <w:szCs w:val="22"/>
        </w:rPr>
        <w:t xml:space="preserve"> no ponto em que as empresas conseguissem balancear os benefícios da dívida com seus custos</w:t>
      </w:r>
      <w:r w:rsidRPr="00EF2A33">
        <w:rPr>
          <w:sz w:val="22"/>
          <w:szCs w:val="22"/>
        </w:rPr>
        <w:t xml:space="preserve">. No entanto, nessa abordagem, </w:t>
      </w:r>
      <w:r w:rsidR="00566992" w:rsidRPr="00EF2A33">
        <w:rPr>
          <w:sz w:val="22"/>
          <w:szCs w:val="22"/>
        </w:rPr>
        <w:t>caso houvessem desvios em relação a esse nível ótimo de endividamento, a empresa deveria fazer a devida correção, retomando-o novamente.</w:t>
      </w:r>
      <w:r w:rsidRPr="00EF2A33">
        <w:rPr>
          <w:sz w:val="22"/>
          <w:szCs w:val="22"/>
        </w:rPr>
        <w:t xml:space="preserve"> E</w:t>
      </w:r>
      <w:r w:rsidR="00A92941" w:rsidRPr="00EF2A33">
        <w:rPr>
          <w:sz w:val="22"/>
          <w:szCs w:val="22"/>
        </w:rPr>
        <w:t xml:space="preserve">ssa faceta da teoria </w:t>
      </w:r>
      <w:r w:rsidR="00A92941" w:rsidRPr="00EF2A33">
        <w:rPr>
          <w:i/>
          <w:sz w:val="22"/>
          <w:szCs w:val="22"/>
        </w:rPr>
        <w:t>trade-off</w:t>
      </w:r>
      <w:r w:rsidR="00A92941" w:rsidRPr="00EF2A33">
        <w:rPr>
          <w:sz w:val="22"/>
          <w:szCs w:val="22"/>
        </w:rPr>
        <w:t xml:space="preserve"> mostrou-se frágil, em especial por não considerar </w:t>
      </w:r>
      <w:r w:rsidR="003F559A" w:rsidRPr="00EF2A33">
        <w:rPr>
          <w:sz w:val="22"/>
          <w:szCs w:val="22"/>
        </w:rPr>
        <w:t xml:space="preserve">os custos para recolocar a empresa no caminho do endividamento alvo, que poderia ser, inclusive, maior que o benefício gerado. </w:t>
      </w:r>
    </w:p>
    <w:p w14:paraId="4F09AFD0" w14:textId="77777777" w:rsidR="00835FD0" w:rsidRPr="00EF2A33" w:rsidRDefault="00835FD0" w:rsidP="00592267">
      <w:pPr>
        <w:spacing w:line="360" w:lineRule="auto"/>
        <w:ind w:firstLine="709"/>
        <w:jc w:val="both"/>
        <w:rPr>
          <w:sz w:val="22"/>
          <w:szCs w:val="22"/>
        </w:rPr>
      </w:pPr>
    </w:p>
    <w:p w14:paraId="28AD6F3D" w14:textId="66D8CD68" w:rsidR="003A4C61" w:rsidRPr="00EF2A33" w:rsidRDefault="004C5CEE" w:rsidP="00592267">
      <w:pPr>
        <w:pStyle w:val="Ttulo2"/>
        <w:spacing w:before="0" w:after="0"/>
        <w:rPr>
          <w:sz w:val="22"/>
          <w:szCs w:val="22"/>
        </w:rPr>
      </w:pPr>
      <w:bookmarkStart w:id="21" w:name="_Toc494451341"/>
      <w:r w:rsidRPr="00EF2A33">
        <w:rPr>
          <w:sz w:val="22"/>
          <w:szCs w:val="22"/>
        </w:rPr>
        <w:lastRenderedPageBreak/>
        <w:t>Pecking order</w:t>
      </w:r>
      <w:r w:rsidR="003A4C61" w:rsidRPr="00EF2A33">
        <w:rPr>
          <w:sz w:val="22"/>
          <w:szCs w:val="22"/>
        </w:rPr>
        <w:t xml:space="preserve"> </w:t>
      </w:r>
      <w:r w:rsidR="0024172A" w:rsidRPr="00EF2A33">
        <w:rPr>
          <w:sz w:val="22"/>
          <w:szCs w:val="22"/>
        </w:rPr>
        <w:t>theory</w:t>
      </w:r>
      <w:bookmarkEnd w:id="21"/>
    </w:p>
    <w:p w14:paraId="0796BF80" w14:textId="77777777" w:rsidR="00835FD0" w:rsidRPr="00EF2A33" w:rsidRDefault="00835FD0" w:rsidP="00592267">
      <w:pPr>
        <w:spacing w:line="360" w:lineRule="auto"/>
        <w:ind w:firstLine="709"/>
        <w:jc w:val="both"/>
        <w:rPr>
          <w:sz w:val="22"/>
          <w:szCs w:val="22"/>
        </w:rPr>
      </w:pPr>
    </w:p>
    <w:p w14:paraId="4D064EE9" w14:textId="4C8DA30D" w:rsidR="00255CEB" w:rsidRPr="00EF2A33" w:rsidRDefault="003A4C61" w:rsidP="00592267">
      <w:pPr>
        <w:spacing w:line="360" w:lineRule="auto"/>
        <w:ind w:firstLine="709"/>
        <w:jc w:val="both"/>
        <w:rPr>
          <w:sz w:val="22"/>
          <w:szCs w:val="22"/>
          <w:lang w:val="pt-PT"/>
        </w:rPr>
      </w:pPr>
      <w:r w:rsidRPr="00EF2A33">
        <w:rPr>
          <w:sz w:val="22"/>
          <w:szCs w:val="22"/>
        </w:rPr>
        <w:t xml:space="preserve">A sistematização da teoria </w:t>
      </w:r>
      <w:r w:rsidR="004C5CEE" w:rsidRPr="00EF2A33">
        <w:rPr>
          <w:i/>
          <w:sz w:val="22"/>
          <w:szCs w:val="22"/>
        </w:rPr>
        <w:t>pecking order</w:t>
      </w:r>
      <w:r w:rsidRPr="00EF2A33">
        <w:rPr>
          <w:sz w:val="22"/>
          <w:szCs w:val="22"/>
        </w:rPr>
        <w:t xml:space="preserve"> é atribuída a Myers </w:t>
      </w:r>
      <w:r w:rsidR="001935DD" w:rsidRPr="00EF2A33">
        <w:rPr>
          <w:sz w:val="22"/>
          <w:szCs w:val="22"/>
        </w:rPr>
        <w:t xml:space="preserve">e Majluf </w:t>
      </w:r>
      <w:r w:rsidRPr="00EF2A33">
        <w:rPr>
          <w:sz w:val="22"/>
          <w:szCs w:val="22"/>
        </w:rPr>
        <w:t xml:space="preserve">(1984), </w:t>
      </w:r>
      <w:r w:rsidR="00C70B43" w:rsidRPr="00EF2A33">
        <w:rPr>
          <w:sz w:val="22"/>
          <w:szCs w:val="22"/>
        </w:rPr>
        <w:t>que inici</w:t>
      </w:r>
      <w:r w:rsidR="001935DD" w:rsidRPr="00EF2A33">
        <w:rPr>
          <w:sz w:val="22"/>
          <w:szCs w:val="22"/>
        </w:rPr>
        <w:t xml:space="preserve">aram </w:t>
      </w:r>
      <w:r w:rsidR="0046518D" w:rsidRPr="00EF2A33">
        <w:rPr>
          <w:sz w:val="22"/>
          <w:szCs w:val="22"/>
        </w:rPr>
        <w:t xml:space="preserve">suas </w:t>
      </w:r>
      <w:r w:rsidR="00C70B43" w:rsidRPr="00EF2A33">
        <w:rPr>
          <w:sz w:val="22"/>
          <w:szCs w:val="22"/>
        </w:rPr>
        <w:t>discussões</w:t>
      </w:r>
      <w:r w:rsidR="00836D76" w:rsidRPr="00EF2A33">
        <w:rPr>
          <w:sz w:val="22"/>
          <w:szCs w:val="22"/>
        </w:rPr>
        <w:t xml:space="preserve">. </w:t>
      </w:r>
      <w:r w:rsidR="00F57A84" w:rsidRPr="00EF2A33">
        <w:rPr>
          <w:sz w:val="22"/>
          <w:szCs w:val="22"/>
        </w:rPr>
        <w:t>Para Myers e Majluf (1984, p. 6), “</w:t>
      </w:r>
      <w:r w:rsidR="00F57A84" w:rsidRPr="00EF2A33">
        <w:rPr>
          <w:i/>
          <w:sz w:val="22"/>
          <w:szCs w:val="22"/>
        </w:rPr>
        <w:t>managers has information that investors do not have, and that both managers and investors realize this. We take this information asymmetry as given</w:t>
      </w:r>
      <w:r w:rsidR="00F55262" w:rsidRPr="00EF2A33">
        <w:rPr>
          <w:i/>
          <w:sz w:val="22"/>
          <w:szCs w:val="22"/>
        </w:rPr>
        <w:t xml:space="preserve"> - a fact of life. We side - </w:t>
      </w:r>
      <w:r w:rsidR="00F57A84" w:rsidRPr="00EF2A33">
        <w:rPr>
          <w:i/>
          <w:sz w:val="22"/>
          <w:szCs w:val="22"/>
        </w:rPr>
        <w:t>step the question of how much information managers should release, except to note the underlying assumption that transmitting information is costly</w:t>
      </w:r>
      <w:r w:rsidR="00F57A84" w:rsidRPr="00EF2A33">
        <w:rPr>
          <w:sz w:val="22"/>
          <w:szCs w:val="22"/>
        </w:rPr>
        <w:t xml:space="preserve">”. </w:t>
      </w:r>
    </w:p>
    <w:p w14:paraId="73CDE587" w14:textId="42A84906" w:rsidR="000B66A8" w:rsidRPr="00EF2A33" w:rsidRDefault="000B66A8" w:rsidP="00592267">
      <w:pPr>
        <w:spacing w:line="360" w:lineRule="auto"/>
        <w:ind w:firstLine="709"/>
        <w:jc w:val="both"/>
        <w:rPr>
          <w:sz w:val="22"/>
          <w:szCs w:val="22"/>
        </w:rPr>
      </w:pPr>
      <w:r w:rsidRPr="00EF2A33">
        <w:rPr>
          <w:sz w:val="22"/>
          <w:szCs w:val="22"/>
        </w:rPr>
        <w:t xml:space="preserve">Conforme Cotei e Farhat (2009), a teoria </w:t>
      </w:r>
      <w:r w:rsidR="004C5CEE" w:rsidRPr="00EF2A33">
        <w:rPr>
          <w:i/>
          <w:sz w:val="22"/>
          <w:szCs w:val="22"/>
        </w:rPr>
        <w:t>pecking order</w:t>
      </w:r>
      <w:r w:rsidRPr="00EF2A33">
        <w:rPr>
          <w:sz w:val="22"/>
          <w:szCs w:val="22"/>
        </w:rPr>
        <w:t xml:space="preserve"> se baseia na ideia de que existe assimetria de informações entre gestores e investidores, e que </w:t>
      </w:r>
      <w:r w:rsidR="00E3207F" w:rsidRPr="00EF2A33">
        <w:rPr>
          <w:sz w:val="22"/>
          <w:szCs w:val="22"/>
        </w:rPr>
        <w:t>os gerentes têm</w:t>
      </w:r>
      <w:r w:rsidRPr="00EF2A33">
        <w:rPr>
          <w:sz w:val="22"/>
          <w:szCs w:val="22"/>
        </w:rPr>
        <w:t xml:space="preserve"> muito mais informações sobre o verdadeiro valor da empresa e </w:t>
      </w:r>
      <w:r w:rsidR="000D1F53" w:rsidRPr="00EF2A33">
        <w:rPr>
          <w:sz w:val="22"/>
          <w:szCs w:val="22"/>
        </w:rPr>
        <w:t xml:space="preserve">o </w:t>
      </w:r>
      <w:r w:rsidRPr="00EF2A33">
        <w:rPr>
          <w:sz w:val="22"/>
          <w:szCs w:val="22"/>
        </w:rPr>
        <w:t xml:space="preserve">grau de risco a que ela está sujeita do </w:t>
      </w:r>
      <w:r w:rsidR="00A7535B" w:rsidRPr="00EF2A33">
        <w:rPr>
          <w:sz w:val="22"/>
          <w:szCs w:val="22"/>
        </w:rPr>
        <w:t>que</w:t>
      </w:r>
      <w:r w:rsidRPr="00EF2A33">
        <w:rPr>
          <w:sz w:val="22"/>
          <w:szCs w:val="22"/>
        </w:rPr>
        <w:t xml:space="preserve"> os investidores externos, menos informados nesta relação. </w:t>
      </w:r>
      <w:r w:rsidR="00E3207F" w:rsidRPr="00EF2A33">
        <w:rPr>
          <w:sz w:val="22"/>
          <w:szCs w:val="22"/>
        </w:rPr>
        <w:t xml:space="preserve">Essa assimetria encarece o custo de captação de recursos pelas empresas, visto que o mercado subavalia os títulos das empresas, fazendo com que elas busquem uma hierarquia de fontes para financiar suas atividades, que é o cerne da </w:t>
      </w:r>
      <w:r w:rsidR="004C5CEE" w:rsidRPr="00EF2A33">
        <w:rPr>
          <w:i/>
          <w:sz w:val="22"/>
          <w:szCs w:val="22"/>
        </w:rPr>
        <w:t>pecking order</w:t>
      </w:r>
      <w:r w:rsidR="00E3207F" w:rsidRPr="00EF2A33">
        <w:rPr>
          <w:sz w:val="22"/>
          <w:szCs w:val="22"/>
        </w:rPr>
        <w:t xml:space="preserve"> </w:t>
      </w:r>
      <w:r w:rsidR="0024172A" w:rsidRPr="00EF2A33">
        <w:rPr>
          <w:i/>
          <w:sz w:val="22"/>
          <w:szCs w:val="22"/>
        </w:rPr>
        <w:t>theory</w:t>
      </w:r>
      <w:r w:rsidR="00E3207F" w:rsidRPr="00EF2A33">
        <w:rPr>
          <w:sz w:val="22"/>
          <w:szCs w:val="22"/>
        </w:rPr>
        <w:t>.</w:t>
      </w:r>
    </w:p>
    <w:p w14:paraId="4327F490" w14:textId="68DBA517" w:rsidR="002E63AE" w:rsidRPr="00EF2A33" w:rsidRDefault="004F0D94" w:rsidP="00592267">
      <w:pPr>
        <w:spacing w:line="360" w:lineRule="auto"/>
        <w:ind w:firstLine="709"/>
        <w:jc w:val="both"/>
        <w:rPr>
          <w:sz w:val="22"/>
          <w:szCs w:val="22"/>
        </w:rPr>
      </w:pPr>
      <w:r w:rsidRPr="00EF2A33">
        <w:rPr>
          <w:sz w:val="22"/>
          <w:szCs w:val="22"/>
        </w:rPr>
        <w:t>Segundo Myers e Majluf (1984</w:t>
      </w:r>
      <w:r w:rsidR="0046518D" w:rsidRPr="00EF2A33">
        <w:rPr>
          <w:sz w:val="22"/>
          <w:szCs w:val="22"/>
        </w:rPr>
        <w:t xml:space="preserve">), </w:t>
      </w:r>
      <w:r w:rsidR="008B163E" w:rsidRPr="00EF2A33">
        <w:rPr>
          <w:sz w:val="22"/>
          <w:szCs w:val="22"/>
        </w:rPr>
        <w:t xml:space="preserve">a </w:t>
      </w:r>
      <w:r w:rsidR="0046518D" w:rsidRPr="00EF2A33">
        <w:rPr>
          <w:sz w:val="22"/>
          <w:szCs w:val="22"/>
        </w:rPr>
        <w:t>ordem hierárquica de fontes de financiamento</w:t>
      </w:r>
      <w:r w:rsidR="008B163E" w:rsidRPr="00EF2A33">
        <w:rPr>
          <w:sz w:val="22"/>
          <w:szCs w:val="22"/>
        </w:rPr>
        <w:t xml:space="preserve"> sugere que </w:t>
      </w:r>
      <w:r w:rsidR="0046518D" w:rsidRPr="00EF2A33">
        <w:rPr>
          <w:sz w:val="22"/>
          <w:szCs w:val="22"/>
        </w:rPr>
        <w:t xml:space="preserve">as empresas </w:t>
      </w:r>
      <w:r w:rsidR="008B163E" w:rsidRPr="00EF2A33">
        <w:rPr>
          <w:sz w:val="22"/>
          <w:szCs w:val="22"/>
        </w:rPr>
        <w:t xml:space="preserve">financiem </w:t>
      </w:r>
      <w:r w:rsidR="0046518D" w:rsidRPr="00EF2A33">
        <w:rPr>
          <w:sz w:val="22"/>
          <w:szCs w:val="22"/>
        </w:rPr>
        <w:t>suas atividades por meio dos seus lucros retidos</w:t>
      </w:r>
      <w:r w:rsidR="008B163E" w:rsidRPr="00EF2A33">
        <w:rPr>
          <w:sz w:val="22"/>
          <w:szCs w:val="22"/>
        </w:rPr>
        <w:t xml:space="preserve"> precipuamente. Como </w:t>
      </w:r>
      <w:r w:rsidR="0046518D" w:rsidRPr="00EF2A33">
        <w:rPr>
          <w:sz w:val="22"/>
          <w:szCs w:val="22"/>
        </w:rPr>
        <w:t xml:space="preserve">segunda opção </w:t>
      </w:r>
      <w:r w:rsidR="008B163E" w:rsidRPr="00EF2A33">
        <w:rPr>
          <w:sz w:val="22"/>
          <w:szCs w:val="22"/>
        </w:rPr>
        <w:t xml:space="preserve">utilizem </w:t>
      </w:r>
      <w:r w:rsidR="0046518D" w:rsidRPr="00EF2A33">
        <w:rPr>
          <w:sz w:val="22"/>
          <w:szCs w:val="22"/>
        </w:rPr>
        <w:t>a captação de recursos onerosos no mercado</w:t>
      </w:r>
      <w:r w:rsidR="008B163E" w:rsidRPr="00EF2A33">
        <w:rPr>
          <w:sz w:val="22"/>
          <w:szCs w:val="22"/>
        </w:rPr>
        <w:t xml:space="preserve"> </w:t>
      </w:r>
      <w:r w:rsidR="0046518D" w:rsidRPr="00EF2A33">
        <w:rPr>
          <w:sz w:val="22"/>
          <w:szCs w:val="22"/>
        </w:rPr>
        <w:t xml:space="preserve">pela assunção de dívidas. E como última opção </w:t>
      </w:r>
      <w:r w:rsidR="008B163E" w:rsidRPr="00EF2A33">
        <w:rPr>
          <w:sz w:val="22"/>
          <w:szCs w:val="22"/>
        </w:rPr>
        <w:t xml:space="preserve">realizem a emissão de </w:t>
      </w:r>
      <w:r w:rsidR="002E63AE" w:rsidRPr="00EF2A33">
        <w:rPr>
          <w:sz w:val="22"/>
          <w:szCs w:val="22"/>
        </w:rPr>
        <w:t>ações. Essa ordem se deve à assimetria informacional existente entre os agentes econômicos, e pelo impacto que a assimetria exerce no custo de cada uma dessas modalidades de financiamento.</w:t>
      </w:r>
    </w:p>
    <w:p w14:paraId="7DD51574" w14:textId="25544A64" w:rsidR="007E77D6" w:rsidRPr="00EF2A33" w:rsidRDefault="00612772" w:rsidP="00592267">
      <w:pPr>
        <w:spacing w:line="360" w:lineRule="auto"/>
        <w:ind w:firstLine="709"/>
        <w:jc w:val="both"/>
        <w:rPr>
          <w:sz w:val="22"/>
          <w:szCs w:val="22"/>
        </w:rPr>
      </w:pPr>
      <w:r w:rsidRPr="00EF2A33">
        <w:rPr>
          <w:sz w:val="22"/>
          <w:szCs w:val="22"/>
        </w:rPr>
        <w:t>Para Myers e Majluf (1984), existe essa ordem de preferência das empresas visto que os investidores possuem uma carga informacional muito menor sobre a empresa do que os seus gestores. Assim, dada a incidência dessa assimetria, o valor dos títulos da companhia serão, muito provavelmente, subprecificados pelos investidores, visto que não dispõem de informações sólidas sobre a empresa por conta da assimetria, o que faz com q</w:t>
      </w:r>
      <w:r w:rsidR="007E77D6" w:rsidRPr="00EF2A33">
        <w:rPr>
          <w:sz w:val="22"/>
          <w:szCs w:val="22"/>
        </w:rPr>
        <w:t xml:space="preserve">ue o mercado reaja desta </w:t>
      </w:r>
      <w:r w:rsidR="0024172A" w:rsidRPr="00EF2A33">
        <w:rPr>
          <w:sz w:val="22"/>
          <w:szCs w:val="22"/>
        </w:rPr>
        <w:t>maneira</w:t>
      </w:r>
      <w:r w:rsidR="007E77D6" w:rsidRPr="00EF2A33">
        <w:rPr>
          <w:sz w:val="22"/>
          <w:szCs w:val="22"/>
        </w:rPr>
        <w:t xml:space="preserve">, subavaliando os títulos. </w:t>
      </w:r>
    </w:p>
    <w:p w14:paraId="7B474D45" w14:textId="0F71EB0D" w:rsidR="00370479" w:rsidRPr="00EF2A33" w:rsidRDefault="00A35BB0" w:rsidP="00592267">
      <w:pPr>
        <w:spacing w:line="360" w:lineRule="auto"/>
        <w:ind w:firstLine="709"/>
        <w:jc w:val="both"/>
        <w:rPr>
          <w:sz w:val="22"/>
          <w:szCs w:val="22"/>
        </w:rPr>
      </w:pPr>
      <w:r w:rsidRPr="00EF2A33">
        <w:rPr>
          <w:sz w:val="22"/>
          <w:szCs w:val="22"/>
        </w:rPr>
        <w:t xml:space="preserve">Analisando esse contraponto entre a teoria </w:t>
      </w:r>
      <w:r w:rsidR="00F47576" w:rsidRPr="00EF2A33">
        <w:rPr>
          <w:i/>
          <w:sz w:val="22"/>
          <w:szCs w:val="22"/>
        </w:rPr>
        <w:t>trade-off</w:t>
      </w:r>
      <w:r w:rsidRPr="00EF2A33">
        <w:rPr>
          <w:sz w:val="22"/>
          <w:szCs w:val="22"/>
        </w:rPr>
        <w:t xml:space="preserve"> e a </w:t>
      </w:r>
      <w:r w:rsidR="004C5CEE" w:rsidRPr="00EF2A33">
        <w:rPr>
          <w:i/>
          <w:sz w:val="22"/>
          <w:szCs w:val="22"/>
        </w:rPr>
        <w:t>pecking order</w:t>
      </w:r>
      <w:r w:rsidRPr="00EF2A33">
        <w:rPr>
          <w:sz w:val="22"/>
          <w:szCs w:val="22"/>
        </w:rPr>
        <w:t xml:space="preserve">, Jibran et al. (2012) esclarecem que como implicações dessa comparação entre esses dois modelos, é possível concluir que a teoria </w:t>
      </w:r>
      <w:r w:rsidR="00F47576" w:rsidRPr="00EF2A33">
        <w:rPr>
          <w:i/>
          <w:sz w:val="22"/>
          <w:szCs w:val="22"/>
        </w:rPr>
        <w:t>trade-off</w:t>
      </w:r>
      <w:r w:rsidRPr="00EF2A33">
        <w:rPr>
          <w:sz w:val="22"/>
          <w:szCs w:val="22"/>
        </w:rPr>
        <w:t xml:space="preserve"> é útil para explicar </w:t>
      </w:r>
      <w:r w:rsidR="008F4C4B" w:rsidRPr="00EF2A33">
        <w:rPr>
          <w:sz w:val="22"/>
          <w:szCs w:val="22"/>
        </w:rPr>
        <w:t xml:space="preserve">os níveis da dívida </w:t>
      </w:r>
      <w:r w:rsidRPr="00EF2A33">
        <w:rPr>
          <w:sz w:val="22"/>
          <w:szCs w:val="22"/>
        </w:rPr>
        <w:t>corporativa</w:t>
      </w:r>
      <w:r w:rsidR="008F4C4B" w:rsidRPr="00EF2A33">
        <w:rPr>
          <w:sz w:val="22"/>
          <w:szCs w:val="22"/>
        </w:rPr>
        <w:t xml:space="preserve">, enquanto que a teoria </w:t>
      </w:r>
      <w:r w:rsidR="004C5CEE" w:rsidRPr="00EF2A33">
        <w:rPr>
          <w:i/>
          <w:sz w:val="22"/>
          <w:szCs w:val="22"/>
        </w:rPr>
        <w:t>pecking order</w:t>
      </w:r>
      <w:r w:rsidR="008F4C4B" w:rsidRPr="00EF2A33">
        <w:rPr>
          <w:sz w:val="22"/>
          <w:szCs w:val="22"/>
        </w:rPr>
        <w:t xml:space="preserve"> é superior para explicar as mudanças na estrutura de capital dessas entidades. </w:t>
      </w:r>
      <w:r w:rsidR="005E5CA5" w:rsidRPr="00EF2A33">
        <w:rPr>
          <w:sz w:val="22"/>
          <w:szCs w:val="22"/>
        </w:rPr>
        <w:t xml:space="preserve">Portanto, cada uma dessas abordagens teóricas possui sua finalidade, e contribui para explicar uma determinada parcela desse complexo fenômeno que é a estrutura de capital das empresas. </w:t>
      </w:r>
    </w:p>
    <w:p w14:paraId="20531D8D" w14:textId="77777777" w:rsidR="00835FD0" w:rsidRPr="00EF2A33" w:rsidRDefault="00835FD0" w:rsidP="00592267">
      <w:pPr>
        <w:spacing w:line="360" w:lineRule="auto"/>
        <w:ind w:firstLine="709"/>
        <w:jc w:val="both"/>
        <w:rPr>
          <w:sz w:val="22"/>
          <w:szCs w:val="22"/>
        </w:rPr>
      </w:pPr>
    </w:p>
    <w:p w14:paraId="6424C866" w14:textId="7EB63655" w:rsidR="00FE0E30" w:rsidRPr="00EF2A33" w:rsidRDefault="00FE0E30" w:rsidP="00592267">
      <w:pPr>
        <w:pStyle w:val="Ttulo2"/>
        <w:spacing w:before="0" w:after="0"/>
        <w:rPr>
          <w:sz w:val="22"/>
          <w:szCs w:val="22"/>
        </w:rPr>
      </w:pPr>
      <w:bookmarkStart w:id="22" w:name="_Toc494451343"/>
      <w:r w:rsidRPr="00EF2A33">
        <w:rPr>
          <w:sz w:val="22"/>
          <w:szCs w:val="22"/>
        </w:rPr>
        <w:t>Abordagem market timing</w:t>
      </w:r>
      <w:bookmarkEnd w:id="22"/>
    </w:p>
    <w:p w14:paraId="2EEC5441" w14:textId="77777777" w:rsidR="00835FD0" w:rsidRPr="00EF2A33" w:rsidRDefault="00835FD0" w:rsidP="00592267">
      <w:pPr>
        <w:spacing w:line="360" w:lineRule="auto"/>
        <w:ind w:firstLine="709"/>
        <w:jc w:val="both"/>
        <w:rPr>
          <w:sz w:val="22"/>
          <w:szCs w:val="22"/>
        </w:rPr>
      </w:pPr>
    </w:p>
    <w:p w14:paraId="3CBD2934" w14:textId="5B4D1632" w:rsidR="00D63857" w:rsidRPr="00EF2A33" w:rsidRDefault="00FE0E30" w:rsidP="00592267">
      <w:pPr>
        <w:spacing w:line="360" w:lineRule="auto"/>
        <w:ind w:firstLine="709"/>
        <w:jc w:val="both"/>
        <w:rPr>
          <w:sz w:val="22"/>
          <w:szCs w:val="22"/>
        </w:rPr>
      </w:pPr>
      <w:r w:rsidRPr="00EF2A33">
        <w:rPr>
          <w:sz w:val="22"/>
          <w:szCs w:val="22"/>
        </w:rPr>
        <w:t xml:space="preserve">Uma abordagem teórica bastante discutida em se tratando da estrutura de capital é a do market timing. Segundo Baker e </w:t>
      </w:r>
      <w:r w:rsidR="005222C2" w:rsidRPr="00EF2A33">
        <w:rPr>
          <w:sz w:val="22"/>
          <w:szCs w:val="22"/>
        </w:rPr>
        <w:t>Wurgler (2002</w:t>
      </w:r>
      <w:r w:rsidRPr="00EF2A33">
        <w:rPr>
          <w:sz w:val="22"/>
          <w:szCs w:val="22"/>
        </w:rPr>
        <w:t xml:space="preserve">), </w:t>
      </w:r>
      <w:r w:rsidRPr="00EF2A33">
        <w:rPr>
          <w:i/>
          <w:sz w:val="22"/>
          <w:szCs w:val="22"/>
        </w:rPr>
        <w:t>in corporate finance, equity market timing refers to the practice of issuing shares at high prices and repurchasing at low prices. The intention is to exploit temporary fluctuations in the cost of equity relative to the cost of other forms of capital.</w:t>
      </w:r>
      <w:r w:rsidR="00836D76" w:rsidRPr="00EF2A33">
        <w:rPr>
          <w:sz w:val="22"/>
          <w:szCs w:val="22"/>
        </w:rPr>
        <w:t xml:space="preserve"> </w:t>
      </w:r>
      <w:r w:rsidR="00D63857" w:rsidRPr="00EF2A33">
        <w:rPr>
          <w:sz w:val="22"/>
          <w:szCs w:val="22"/>
        </w:rPr>
        <w:t xml:space="preserve">Por conta disso, </w:t>
      </w:r>
      <w:r w:rsidR="00D63857" w:rsidRPr="00EF2A33">
        <w:rPr>
          <w:sz w:val="22"/>
          <w:szCs w:val="22"/>
        </w:rPr>
        <w:lastRenderedPageBreak/>
        <w:t xml:space="preserve">empresas com maior alavancagem financeira são aquelas que captam recursos quando o valor de mercado da firma está </w:t>
      </w:r>
      <w:r w:rsidR="006C2B9D" w:rsidRPr="00EF2A33">
        <w:rPr>
          <w:sz w:val="22"/>
          <w:szCs w:val="22"/>
        </w:rPr>
        <w:t>desvalorizado</w:t>
      </w:r>
      <w:r w:rsidR="00D63857" w:rsidRPr="00EF2A33">
        <w:rPr>
          <w:sz w:val="22"/>
          <w:szCs w:val="22"/>
        </w:rPr>
        <w:t xml:space="preserve">, e empresas com baixa alavancagem captam recursos externos quando o valor de mercado </w:t>
      </w:r>
      <w:r w:rsidR="006C2B9D" w:rsidRPr="00EF2A33">
        <w:rPr>
          <w:sz w:val="22"/>
          <w:szCs w:val="22"/>
        </w:rPr>
        <w:t xml:space="preserve">da entidade </w:t>
      </w:r>
      <w:r w:rsidR="00D63857" w:rsidRPr="00EF2A33">
        <w:rPr>
          <w:sz w:val="22"/>
          <w:szCs w:val="22"/>
        </w:rPr>
        <w:t xml:space="preserve">está </w:t>
      </w:r>
      <w:r w:rsidR="006C2B9D" w:rsidRPr="00EF2A33">
        <w:rPr>
          <w:sz w:val="22"/>
          <w:szCs w:val="22"/>
        </w:rPr>
        <w:t>e</w:t>
      </w:r>
      <w:r w:rsidR="00067E50" w:rsidRPr="00EF2A33">
        <w:rPr>
          <w:sz w:val="22"/>
          <w:szCs w:val="22"/>
        </w:rPr>
        <w:t>levado. Isso pode evidenciar o que a literatura classifica como “comportamento oportunista” das empresas, e que isso influencia de maneira significativa sua estrutura de capital.</w:t>
      </w:r>
    </w:p>
    <w:p w14:paraId="707FA4AC" w14:textId="2C1052DE" w:rsidR="00307E6E" w:rsidRPr="00EF2A33" w:rsidRDefault="00307E6E" w:rsidP="00592267">
      <w:pPr>
        <w:spacing w:line="360" w:lineRule="auto"/>
        <w:ind w:firstLine="709"/>
        <w:jc w:val="both"/>
        <w:rPr>
          <w:sz w:val="22"/>
          <w:szCs w:val="22"/>
        </w:rPr>
      </w:pPr>
      <w:r w:rsidRPr="00EF2A33">
        <w:rPr>
          <w:sz w:val="22"/>
          <w:szCs w:val="22"/>
        </w:rPr>
        <w:t>Para Huang e Ritter (200</w:t>
      </w:r>
      <w:r w:rsidR="002571CD" w:rsidRPr="00EF2A33">
        <w:rPr>
          <w:sz w:val="22"/>
          <w:szCs w:val="22"/>
        </w:rPr>
        <w:t>5</w:t>
      </w:r>
      <w:r w:rsidRPr="00EF2A33">
        <w:rPr>
          <w:sz w:val="22"/>
          <w:szCs w:val="22"/>
        </w:rPr>
        <w:t>), de acordo com a teoria market timing, “</w:t>
      </w:r>
      <w:r w:rsidRPr="00EF2A33">
        <w:rPr>
          <w:i/>
          <w:sz w:val="22"/>
          <w:szCs w:val="22"/>
        </w:rPr>
        <w:t>corporate executives sometimes perceive their risky securities as misvalued by the market. Conditional on having financing needs, firms issue equity when they perceive the relative cost of equity as low, and issue debt when they perceive the relative cost of equity as high</w:t>
      </w:r>
      <w:r w:rsidRPr="00EF2A33">
        <w:rPr>
          <w:sz w:val="22"/>
          <w:szCs w:val="22"/>
        </w:rPr>
        <w:t>”</w:t>
      </w:r>
      <w:r w:rsidR="00836D76" w:rsidRPr="00EF2A33">
        <w:rPr>
          <w:sz w:val="22"/>
          <w:szCs w:val="22"/>
        </w:rPr>
        <w:t>.</w:t>
      </w:r>
    </w:p>
    <w:p w14:paraId="761EE259" w14:textId="1F7C4BB2" w:rsidR="00DA6FE0" w:rsidRPr="00EF2A33" w:rsidRDefault="00CB15DA" w:rsidP="00592267">
      <w:pPr>
        <w:spacing w:line="360" w:lineRule="auto"/>
        <w:ind w:firstLine="709"/>
        <w:jc w:val="both"/>
        <w:rPr>
          <w:sz w:val="22"/>
          <w:szCs w:val="22"/>
          <w:lang w:val="pt-PT"/>
        </w:rPr>
      </w:pPr>
      <w:r w:rsidRPr="00EF2A33">
        <w:rPr>
          <w:sz w:val="22"/>
          <w:szCs w:val="22"/>
        </w:rPr>
        <w:t xml:space="preserve">Por isso, a literatura empreende estudos para analisar a influência do Market timing na estrutura de capital das organizações, concluindo, como por exemplo, em </w:t>
      </w:r>
      <w:r w:rsidR="003D2E8D" w:rsidRPr="00EF2A33">
        <w:rPr>
          <w:sz w:val="22"/>
          <w:szCs w:val="22"/>
          <w:lang w:val="pt-PT"/>
        </w:rPr>
        <w:t>Albanez (2012)</w:t>
      </w:r>
      <w:r w:rsidRPr="00EF2A33">
        <w:rPr>
          <w:sz w:val="22"/>
          <w:szCs w:val="22"/>
          <w:lang w:val="pt-PT"/>
        </w:rPr>
        <w:t xml:space="preserve">, que </w:t>
      </w:r>
      <w:r w:rsidR="003D2E8D" w:rsidRPr="00EF2A33">
        <w:rPr>
          <w:sz w:val="22"/>
          <w:szCs w:val="22"/>
          <w:lang w:val="pt-PT"/>
        </w:rPr>
        <w:t>quanto maior o custo de capital próprio</w:t>
      </w:r>
      <w:r w:rsidRPr="00EF2A33">
        <w:rPr>
          <w:sz w:val="22"/>
          <w:szCs w:val="22"/>
          <w:lang w:val="pt-PT"/>
        </w:rPr>
        <w:t xml:space="preserve"> da empresa</w:t>
      </w:r>
      <w:r w:rsidR="003D2E8D" w:rsidRPr="00EF2A33">
        <w:rPr>
          <w:sz w:val="22"/>
          <w:szCs w:val="22"/>
          <w:lang w:val="pt-PT"/>
        </w:rPr>
        <w:t xml:space="preserve">, maiores tendem a ser os níveis de endividamento, bem como quanto maior o custo do financiamento menor é o uso da dívida como fonte de recursos. </w:t>
      </w:r>
      <w:r w:rsidRPr="00EF2A33">
        <w:rPr>
          <w:sz w:val="22"/>
          <w:szCs w:val="22"/>
          <w:lang w:val="pt-PT"/>
        </w:rPr>
        <w:t xml:space="preserve">Portanto, </w:t>
      </w:r>
      <w:r w:rsidR="00DA6FE0" w:rsidRPr="00EF2A33">
        <w:rPr>
          <w:sz w:val="22"/>
          <w:szCs w:val="22"/>
          <w:lang w:val="pt-PT"/>
        </w:rPr>
        <w:t xml:space="preserve">o </w:t>
      </w:r>
      <w:r w:rsidR="00DA6FE0" w:rsidRPr="00EF2A33">
        <w:rPr>
          <w:i/>
          <w:sz w:val="22"/>
          <w:szCs w:val="22"/>
          <w:lang w:val="pt-PT"/>
        </w:rPr>
        <w:t>market timing</w:t>
      </w:r>
      <w:r w:rsidR="00DA6FE0" w:rsidRPr="00EF2A33">
        <w:rPr>
          <w:sz w:val="22"/>
          <w:szCs w:val="22"/>
          <w:lang w:val="pt-PT"/>
        </w:rPr>
        <w:t xml:space="preserve"> afeta a estrutura de capital das empresas brasileiras, que estão atentas às melhores oportunidades para captação de recursos para financiamento de suas atividades.</w:t>
      </w:r>
    </w:p>
    <w:p w14:paraId="56DDC3EF" w14:textId="77777777" w:rsidR="00835FD0" w:rsidRPr="00EF2A33" w:rsidRDefault="00835FD0" w:rsidP="00592267">
      <w:pPr>
        <w:spacing w:line="360" w:lineRule="auto"/>
        <w:ind w:firstLine="709"/>
        <w:jc w:val="both"/>
        <w:rPr>
          <w:sz w:val="22"/>
          <w:szCs w:val="22"/>
          <w:lang w:val="pt-PT"/>
        </w:rPr>
      </w:pPr>
    </w:p>
    <w:p w14:paraId="76A60153" w14:textId="77777777" w:rsidR="00592EA6" w:rsidRPr="00EF2A33" w:rsidRDefault="00592EA6" w:rsidP="00592267">
      <w:pPr>
        <w:pStyle w:val="Ttulo1"/>
        <w:keepLines/>
        <w:numPr>
          <w:ilvl w:val="0"/>
          <w:numId w:val="2"/>
        </w:numPr>
        <w:tabs>
          <w:tab w:val="left" w:pos="181"/>
        </w:tabs>
        <w:spacing w:before="0" w:after="0" w:line="360" w:lineRule="auto"/>
        <w:ind w:left="431" w:hanging="431"/>
        <w:rPr>
          <w:sz w:val="22"/>
          <w:szCs w:val="22"/>
        </w:rPr>
      </w:pPr>
      <w:bookmarkStart w:id="23" w:name="_Toc494451347"/>
      <w:r w:rsidRPr="00EF2A33">
        <w:rPr>
          <w:sz w:val="22"/>
          <w:szCs w:val="22"/>
        </w:rPr>
        <w:t>MÉTODO E PROCEDIMENTOS DA PESQUISA</w:t>
      </w:r>
    </w:p>
    <w:p w14:paraId="54DF4DC1" w14:textId="77777777" w:rsidR="00835FD0" w:rsidRPr="00EF2A33" w:rsidRDefault="00835FD0" w:rsidP="00592267">
      <w:pPr>
        <w:spacing w:line="360" w:lineRule="auto"/>
        <w:ind w:firstLine="709"/>
        <w:jc w:val="both"/>
        <w:rPr>
          <w:sz w:val="22"/>
          <w:szCs w:val="22"/>
        </w:rPr>
      </w:pPr>
    </w:p>
    <w:p w14:paraId="598DBA9F" w14:textId="0DA02CB1" w:rsidR="00592EA6" w:rsidRPr="00EF2A33" w:rsidRDefault="00592EA6" w:rsidP="00592267">
      <w:pPr>
        <w:spacing w:line="360" w:lineRule="auto"/>
        <w:ind w:firstLine="709"/>
        <w:jc w:val="both"/>
        <w:rPr>
          <w:sz w:val="22"/>
          <w:szCs w:val="22"/>
        </w:rPr>
      </w:pPr>
      <w:r w:rsidRPr="00EF2A33">
        <w:rPr>
          <w:sz w:val="22"/>
          <w:szCs w:val="22"/>
        </w:rPr>
        <w:t>A metodologia compreende o conjunto de passos a serem seguidos pelo pesquisador para atingimento dos seus objetivos. Assim, serão apresentados os principais passos da pesquisa.</w:t>
      </w:r>
    </w:p>
    <w:p w14:paraId="66E99E66" w14:textId="5F7EDD4E" w:rsidR="00592EA6" w:rsidRPr="00EF2A33" w:rsidRDefault="00592EA6" w:rsidP="00592267">
      <w:pPr>
        <w:spacing w:line="360" w:lineRule="auto"/>
        <w:ind w:firstLine="709"/>
        <w:jc w:val="both"/>
        <w:rPr>
          <w:sz w:val="22"/>
          <w:szCs w:val="22"/>
        </w:rPr>
      </w:pPr>
    </w:p>
    <w:p w14:paraId="20FCEEE7" w14:textId="38E68504" w:rsidR="00592EA6" w:rsidRPr="00EF2A33" w:rsidRDefault="00592EA6" w:rsidP="00592267">
      <w:pPr>
        <w:spacing w:line="360" w:lineRule="auto"/>
        <w:jc w:val="both"/>
        <w:rPr>
          <w:sz w:val="22"/>
          <w:szCs w:val="22"/>
        </w:rPr>
      </w:pPr>
      <w:r w:rsidRPr="00EF2A33">
        <w:rPr>
          <w:sz w:val="22"/>
          <w:szCs w:val="22"/>
        </w:rPr>
        <w:t>3.1 H</w:t>
      </w:r>
      <w:r w:rsidR="00366F3B" w:rsidRPr="00EF2A33">
        <w:rPr>
          <w:sz w:val="22"/>
          <w:szCs w:val="22"/>
        </w:rPr>
        <w:t>IPÓTESE</w:t>
      </w:r>
      <w:r w:rsidRPr="00EF2A33">
        <w:rPr>
          <w:sz w:val="22"/>
          <w:szCs w:val="22"/>
        </w:rPr>
        <w:t xml:space="preserve"> DA PESQUISA</w:t>
      </w:r>
    </w:p>
    <w:bookmarkEnd w:id="23"/>
    <w:p w14:paraId="3F49DD81" w14:textId="77777777" w:rsidR="00592EA6" w:rsidRPr="00EF2A33" w:rsidRDefault="00592EA6" w:rsidP="00592267">
      <w:pPr>
        <w:spacing w:line="360" w:lineRule="auto"/>
        <w:jc w:val="both"/>
        <w:rPr>
          <w:bCs/>
          <w:color w:val="000000"/>
          <w:sz w:val="22"/>
          <w:szCs w:val="22"/>
        </w:rPr>
      </w:pPr>
    </w:p>
    <w:p w14:paraId="56619808" w14:textId="2C48F62A" w:rsidR="00824249" w:rsidRPr="00EF2A33" w:rsidRDefault="00547DC5" w:rsidP="00592267">
      <w:pPr>
        <w:spacing w:line="360" w:lineRule="auto"/>
        <w:ind w:firstLine="709"/>
        <w:jc w:val="both"/>
        <w:rPr>
          <w:sz w:val="22"/>
          <w:szCs w:val="22"/>
        </w:rPr>
      </w:pPr>
      <w:r w:rsidRPr="00EF2A33">
        <w:rPr>
          <w:sz w:val="22"/>
          <w:szCs w:val="22"/>
        </w:rPr>
        <w:t xml:space="preserve">Com base em estudos anteriores, </w:t>
      </w:r>
      <w:r w:rsidR="002C3A66" w:rsidRPr="00EF2A33">
        <w:rPr>
          <w:sz w:val="22"/>
          <w:szCs w:val="22"/>
        </w:rPr>
        <w:t>c</w:t>
      </w:r>
      <w:r w:rsidR="00DF733F" w:rsidRPr="00EF2A33">
        <w:rPr>
          <w:sz w:val="22"/>
          <w:szCs w:val="22"/>
        </w:rPr>
        <w:t>omo Albanez (2008), Câ</w:t>
      </w:r>
      <w:r w:rsidR="00215C33" w:rsidRPr="00EF2A33">
        <w:rPr>
          <w:sz w:val="22"/>
          <w:szCs w:val="22"/>
        </w:rPr>
        <w:t xml:space="preserve">ndido (2010) e Medeiros (2013), </w:t>
      </w:r>
      <w:r w:rsidR="00184D5F" w:rsidRPr="00EF2A33">
        <w:rPr>
          <w:sz w:val="22"/>
          <w:szCs w:val="22"/>
        </w:rPr>
        <w:t>a hipótese proposta é:</w:t>
      </w:r>
    </w:p>
    <w:p w14:paraId="621D08AE" w14:textId="77777777" w:rsidR="003A6C8C" w:rsidRPr="00EF2A33" w:rsidRDefault="003A6C8C" w:rsidP="00592267">
      <w:pPr>
        <w:spacing w:line="360" w:lineRule="auto"/>
        <w:ind w:firstLine="709"/>
        <w:jc w:val="both"/>
        <w:rPr>
          <w:sz w:val="22"/>
          <w:szCs w:val="22"/>
        </w:rPr>
      </w:pPr>
    </w:p>
    <w:p w14:paraId="79123D2D" w14:textId="700EF403" w:rsidR="00824249" w:rsidRPr="00EF2A33" w:rsidRDefault="00547DC5" w:rsidP="00592267">
      <w:pPr>
        <w:spacing w:line="360" w:lineRule="auto"/>
        <w:ind w:firstLine="709"/>
        <w:jc w:val="both"/>
        <w:rPr>
          <w:i/>
          <w:sz w:val="22"/>
          <w:szCs w:val="22"/>
        </w:rPr>
      </w:pPr>
      <w:r w:rsidRPr="00EF2A33">
        <w:rPr>
          <w:i/>
          <w:sz w:val="22"/>
          <w:szCs w:val="22"/>
        </w:rPr>
        <w:t>H</w:t>
      </w:r>
      <w:r w:rsidR="00BA0459" w:rsidRPr="00EF2A33">
        <w:rPr>
          <w:i/>
          <w:sz w:val="22"/>
          <w:szCs w:val="22"/>
          <w:vertAlign w:val="subscript"/>
        </w:rPr>
        <w:t>1</w:t>
      </w:r>
      <w:r w:rsidRPr="00EF2A33">
        <w:rPr>
          <w:i/>
          <w:sz w:val="22"/>
          <w:szCs w:val="22"/>
        </w:rPr>
        <w:t xml:space="preserve">: </w:t>
      </w:r>
      <w:r w:rsidR="00613E51" w:rsidRPr="00EF2A33">
        <w:rPr>
          <w:i/>
          <w:sz w:val="22"/>
          <w:szCs w:val="22"/>
        </w:rPr>
        <w:t>a</w:t>
      </w:r>
      <w:r w:rsidRPr="00EF2A33">
        <w:rPr>
          <w:i/>
          <w:sz w:val="22"/>
          <w:szCs w:val="22"/>
        </w:rPr>
        <w:t xml:space="preserve"> assimetria</w:t>
      </w:r>
      <w:r w:rsidR="00994B32" w:rsidRPr="00EF2A33">
        <w:rPr>
          <w:i/>
          <w:sz w:val="22"/>
          <w:szCs w:val="22"/>
        </w:rPr>
        <w:t xml:space="preserve"> de informações </w:t>
      </w:r>
      <w:r w:rsidRPr="00EF2A33">
        <w:rPr>
          <w:i/>
          <w:sz w:val="22"/>
          <w:szCs w:val="22"/>
        </w:rPr>
        <w:t xml:space="preserve">constitui um determinante da estrutura de capital de empresas brasileiras </w:t>
      </w:r>
      <w:r w:rsidR="00D959AE" w:rsidRPr="00EF2A33">
        <w:rPr>
          <w:i/>
          <w:sz w:val="22"/>
          <w:szCs w:val="22"/>
        </w:rPr>
        <w:t xml:space="preserve">e americanas </w:t>
      </w:r>
      <w:r w:rsidRPr="00EF2A33">
        <w:rPr>
          <w:i/>
          <w:sz w:val="22"/>
          <w:szCs w:val="22"/>
        </w:rPr>
        <w:t xml:space="preserve">de capital aberto, </w:t>
      </w:r>
      <w:r w:rsidR="00215C33" w:rsidRPr="00EF2A33">
        <w:rPr>
          <w:i/>
          <w:sz w:val="22"/>
          <w:szCs w:val="22"/>
        </w:rPr>
        <w:t xml:space="preserve">e influencia </w:t>
      </w:r>
      <w:r w:rsidRPr="00EF2A33">
        <w:rPr>
          <w:i/>
          <w:sz w:val="22"/>
          <w:szCs w:val="22"/>
        </w:rPr>
        <w:t>as decisões de financiamento destas empresas</w:t>
      </w:r>
      <w:r w:rsidR="00E5723D" w:rsidRPr="00EF2A33">
        <w:rPr>
          <w:i/>
          <w:sz w:val="22"/>
          <w:szCs w:val="22"/>
        </w:rPr>
        <w:t>.</w:t>
      </w:r>
    </w:p>
    <w:p w14:paraId="3E41AF51" w14:textId="77777777" w:rsidR="00184D5F" w:rsidRPr="00EF2A33" w:rsidRDefault="00184D5F" w:rsidP="00592267">
      <w:pPr>
        <w:spacing w:line="360" w:lineRule="auto"/>
        <w:jc w:val="both"/>
        <w:rPr>
          <w:sz w:val="22"/>
          <w:szCs w:val="22"/>
        </w:rPr>
      </w:pPr>
    </w:p>
    <w:p w14:paraId="5F9D331F" w14:textId="648B487E" w:rsidR="00592EA6" w:rsidRPr="00EF2A33" w:rsidRDefault="00592EA6" w:rsidP="00592267">
      <w:pPr>
        <w:spacing w:line="360" w:lineRule="auto"/>
        <w:jc w:val="both"/>
        <w:rPr>
          <w:sz w:val="22"/>
          <w:szCs w:val="22"/>
        </w:rPr>
      </w:pPr>
      <w:r w:rsidRPr="00EF2A33">
        <w:rPr>
          <w:sz w:val="22"/>
          <w:szCs w:val="22"/>
        </w:rPr>
        <w:t>3.2 DELINEAMENTO DA PESQUISA</w:t>
      </w:r>
    </w:p>
    <w:p w14:paraId="78673A4F" w14:textId="77777777" w:rsidR="00592EA6" w:rsidRPr="00EF2A33" w:rsidRDefault="00592EA6" w:rsidP="00592267">
      <w:pPr>
        <w:spacing w:line="360" w:lineRule="auto"/>
        <w:ind w:firstLine="709"/>
        <w:jc w:val="both"/>
        <w:rPr>
          <w:i/>
          <w:sz w:val="22"/>
          <w:szCs w:val="22"/>
        </w:rPr>
      </w:pPr>
    </w:p>
    <w:p w14:paraId="55061526" w14:textId="3E4FF2DF" w:rsidR="00824249" w:rsidRPr="00EF2A33" w:rsidRDefault="00547DC5" w:rsidP="00592267">
      <w:pPr>
        <w:spacing w:line="360" w:lineRule="auto"/>
        <w:ind w:firstLine="709"/>
        <w:jc w:val="both"/>
        <w:rPr>
          <w:sz w:val="22"/>
          <w:szCs w:val="22"/>
        </w:rPr>
      </w:pPr>
      <w:r w:rsidRPr="00EF2A33">
        <w:rPr>
          <w:sz w:val="22"/>
          <w:szCs w:val="22"/>
        </w:rPr>
        <w:t xml:space="preserve">Para se avaliar estatisticamente a relação das variáveis do estudo com a </w:t>
      </w:r>
      <w:r w:rsidR="00A502BC" w:rsidRPr="00EF2A33">
        <w:rPr>
          <w:sz w:val="22"/>
          <w:szCs w:val="22"/>
        </w:rPr>
        <w:t>estrutura de capital</w:t>
      </w:r>
      <w:r w:rsidRPr="00EF2A33">
        <w:rPr>
          <w:sz w:val="22"/>
          <w:szCs w:val="22"/>
        </w:rPr>
        <w:t>, fez-se a opção de trabalhar com a modelagem econométrica com dados em painel, dado o recorte temporal do estudo (20</w:t>
      </w:r>
      <w:r w:rsidR="001876E7" w:rsidRPr="00EF2A33">
        <w:rPr>
          <w:sz w:val="22"/>
          <w:szCs w:val="22"/>
        </w:rPr>
        <w:t>11</w:t>
      </w:r>
      <w:r w:rsidRPr="00EF2A33">
        <w:rPr>
          <w:sz w:val="22"/>
          <w:szCs w:val="22"/>
        </w:rPr>
        <w:t xml:space="preserve"> a 2015 - </w:t>
      </w:r>
      <w:r w:rsidR="001876E7" w:rsidRPr="00EF2A33">
        <w:rPr>
          <w:sz w:val="22"/>
          <w:szCs w:val="22"/>
        </w:rPr>
        <w:t>5</w:t>
      </w:r>
      <w:r w:rsidRPr="00EF2A33">
        <w:rPr>
          <w:sz w:val="22"/>
          <w:szCs w:val="22"/>
        </w:rPr>
        <w:t xml:space="preserve"> anos) e o número de</w:t>
      </w:r>
      <w:r w:rsidR="009F2B6F" w:rsidRPr="00EF2A33">
        <w:rPr>
          <w:sz w:val="22"/>
          <w:szCs w:val="22"/>
        </w:rPr>
        <w:t xml:space="preserve"> empresas</w:t>
      </w:r>
      <w:r w:rsidRPr="00EF2A33">
        <w:rPr>
          <w:sz w:val="22"/>
          <w:szCs w:val="22"/>
        </w:rPr>
        <w:t xml:space="preserve"> da amostra</w:t>
      </w:r>
      <w:r w:rsidR="001876E7" w:rsidRPr="00EF2A33">
        <w:rPr>
          <w:sz w:val="22"/>
          <w:szCs w:val="22"/>
        </w:rPr>
        <w:t>.</w:t>
      </w:r>
    </w:p>
    <w:p w14:paraId="07DCEB75" w14:textId="1078BA9C" w:rsidR="00824249" w:rsidRPr="00EF2A33" w:rsidRDefault="00547DC5" w:rsidP="00592267">
      <w:pPr>
        <w:spacing w:line="360" w:lineRule="auto"/>
        <w:ind w:firstLine="709"/>
        <w:jc w:val="both"/>
        <w:rPr>
          <w:sz w:val="22"/>
          <w:szCs w:val="22"/>
        </w:rPr>
      </w:pPr>
      <w:r w:rsidRPr="00EF2A33">
        <w:rPr>
          <w:sz w:val="22"/>
          <w:szCs w:val="22"/>
        </w:rPr>
        <w:t xml:space="preserve">De acordo com Greene (2002), este tipo de modelagem permite ao pesquisador incluir no modelo as diferenças de comportamento entre as unidades econômicas em análise. Ou seja, no caso da presente proposta, pressupõe-se que fatores não observáveis podem influenciar, no mesmo instante de </w:t>
      </w:r>
      <w:r w:rsidRPr="00EF2A33">
        <w:rPr>
          <w:sz w:val="22"/>
          <w:szCs w:val="22"/>
        </w:rPr>
        <w:lastRenderedPageBreak/>
        <w:t>tempo, todas as empresas da amostra, o que pode ser captado com o apoio da modelagem proposta.</w:t>
      </w:r>
      <w:r w:rsidR="004762B1" w:rsidRPr="00EF2A33">
        <w:rPr>
          <w:sz w:val="22"/>
          <w:szCs w:val="22"/>
        </w:rPr>
        <w:t xml:space="preserve"> </w:t>
      </w:r>
      <w:r w:rsidRPr="00EF2A33">
        <w:rPr>
          <w:sz w:val="22"/>
          <w:szCs w:val="22"/>
        </w:rPr>
        <w:t xml:space="preserve">Diante disso, o modelo econométrico de dados em painel permite a análise econométrica em duas dimensões: uma série temporal (relativamente curta) e uma série </w:t>
      </w:r>
      <w:r w:rsidRPr="00EF2A33">
        <w:rPr>
          <w:i/>
          <w:sz w:val="22"/>
          <w:szCs w:val="22"/>
        </w:rPr>
        <w:t>cross-section</w:t>
      </w:r>
      <w:r w:rsidRPr="00EF2A33">
        <w:rPr>
          <w:sz w:val="22"/>
          <w:szCs w:val="22"/>
        </w:rPr>
        <w:t xml:space="preserve"> (relativamente longa), sendo possível captar a presença de het</w:t>
      </w:r>
      <w:r w:rsidR="00677F43" w:rsidRPr="00EF2A33">
        <w:rPr>
          <w:sz w:val="22"/>
          <w:szCs w:val="22"/>
        </w:rPr>
        <w:t xml:space="preserve">erogeneidade entre as empresas. </w:t>
      </w:r>
      <w:r w:rsidRPr="00EF2A33">
        <w:rPr>
          <w:sz w:val="22"/>
          <w:szCs w:val="22"/>
        </w:rPr>
        <w:t>O software estatístico a ser utilizado para a realização das análises é o Eviews 7.0</w:t>
      </w:r>
      <w:r w:rsidR="00592EA6" w:rsidRPr="00EF2A33">
        <w:rPr>
          <w:sz w:val="22"/>
          <w:szCs w:val="22"/>
        </w:rPr>
        <w:t xml:space="preserve">, e os dados </w:t>
      </w:r>
      <w:r w:rsidRPr="00EF2A33">
        <w:rPr>
          <w:sz w:val="22"/>
          <w:szCs w:val="22"/>
        </w:rPr>
        <w:t xml:space="preserve">da amostra </w:t>
      </w:r>
      <w:r w:rsidR="00F36F99" w:rsidRPr="00EF2A33">
        <w:rPr>
          <w:sz w:val="22"/>
          <w:szCs w:val="22"/>
        </w:rPr>
        <w:t>foram</w:t>
      </w:r>
      <w:r w:rsidRPr="00EF2A33">
        <w:rPr>
          <w:sz w:val="22"/>
          <w:szCs w:val="22"/>
        </w:rPr>
        <w:t xml:space="preserve"> coletados </w:t>
      </w:r>
      <w:r w:rsidR="00F36F99" w:rsidRPr="00EF2A33">
        <w:rPr>
          <w:sz w:val="22"/>
          <w:szCs w:val="22"/>
        </w:rPr>
        <w:t>na base de dados Economática</w:t>
      </w:r>
      <w:r w:rsidR="00592EA6" w:rsidRPr="00EF2A33">
        <w:rPr>
          <w:sz w:val="22"/>
          <w:szCs w:val="22"/>
        </w:rPr>
        <w:t>.</w:t>
      </w:r>
    </w:p>
    <w:p w14:paraId="3CAD0998" w14:textId="77777777" w:rsidR="00835FD0" w:rsidRPr="00EF2A33" w:rsidRDefault="00835FD0" w:rsidP="00592267">
      <w:pPr>
        <w:spacing w:line="360" w:lineRule="auto"/>
        <w:ind w:firstLine="709"/>
        <w:jc w:val="both"/>
        <w:rPr>
          <w:sz w:val="22"/>
          <w:szCs w:val="22"/>
        </w:rPr>
      </w:pPr>
    </w:p>
    <w:p w14:paraId="0AB899D2" w14:textId="6EC1B8F6" w:rsidR="00824249" w:rsidRPr="00EF2A33" w:rsidRDefault="00547DC5" w:rsidP="00592267">
      <w:pPr>
        <w:pStyle w:val="Ttulo2"/>
        <w:numPr>
          <w:ilvl w:val="1"/>
          <w:numId w:val="32"/>
        </w:numPr>
        <w:spacing w:before="0" w:after="0"/>
        <w:rPr>
          <w:sz w:val="22"/>
          <w:szCs w:val="22"/>
        </w:rPr>
      </w:pPr>
      <w:bookmarkStart w:id="24" w:name="_Toc327401440"/>
      <w:bookmarkStart w:id="25" w:name="_Toc384123862"/>
      <w:bookmarkStart w:id="26" w:name="_Toc328838656"/>
      <w:bookmarkStart w:id="27" w:name="_Toc367820845"/>
      <w:bookmarkStart w:id="28" w:name="_Toc367820262"/>
      <w:bookmarkStart w:id="29" w:name="_Toc337682155"/>
      <w:bookmarkStart w:id="30" w:name="_Toc494451352"/>
      <w:bookmarkEnd w:id="24"/>
      <w:bookmarkEnd w:id="25"/>
      <w:bookmarkEnd w:id="26"/>
      <w:bookmarkEnd w:id="27"/>
      <w:bookmarkEnd w:id="28"/>
      <w:bookmarkEnd w:id="29"/>
      <w:r w:rsidRPr="00EF2A33">
        <w:rPr>
          <w:sz w:val="22"/>
          <w:szCs w:val="22"/>
        </w:rPr>
        <w:t>UNIDADE DE ANÁLISE, POPULAÇÃO E AMOSTRA</w:t>
      </w:r>
      <w:bookmarkEnd w:id="30"/>
    </w:p>
    <w:p w14:paraId="3A0A5E75" w14:textId="77777777" w:rsidR="00835FD0" w:rsidRPr="00EF2A33" w:rsidRDefault="00835FD0" w:rsidP="00592267">
      <w:pPr>
        <w:spacing w:line="360" w:lineRule="auto"/>
        <w:ind w:firstLine="709"/>
        <w:jc w:val="both"/>
        <w:rPr>
          <w:sz w:val="22"/>
          <w:szCs w:val="22"/>
        </w:rPr>
      </w:pPr>
      <w:bookmarkStart w:id="31" w:name="__DdeLink__2125_49367529"/>
    </w:p>
    <w:p w14:paraId="7B723699" w14:textId="46452B2E" w:rsidR="00FC0ACA" w:rsidRPr="00EF2A33" w:rsidRDefault="00547DC5" w:rsidP="00592267">
      <w:pPr>
        <w:spacing w:line="360" w:lineRule="auto"/>
        <w:ind w:firstLine="709"/>
        <w:jc w:val="both"/>
        <w:rPr>
          <w:iCs/>
          <w:sz w:val="22"/>
          <w:szCs w:val="22"/>
        </w:rPr>
      </w:pPr>
      <w:r w:rsidRPr="00EF2A33">
        <w:rPr>
          <w:sz w:val="22"/>
          <w:szCs w:val="22"/>
        </w:rPr>
        <w:t>A amostra</w:t>
      </w:r>
      <w:bookmarkEnd w:id="31"/>
      <w:r w:rsidRPr="00EF2A33">
        <w:rPr>
          <w:sz w:val="22"/>
          <w:szCs w:val="22"/>
        </w:rPr>
        <w:t xml:space="preserve"> é composta por empresas de capital aberto do Brasil</w:t>
      </w:r>
      <w:r w:rsidR="00D959AE" w:rsidRPr="00EF2A33">
        <w:rPr>
          <w:sz w:val="22"/>
          <w:szCs w:val="22"/>
        </w:rPr>
        <w:t xml:space="preserve"> e dos Estados Unidos</w:t>
      </w:r>
      <w:r w:rsidR="00B157B4" w:rsidRPr="00EF2A33">
        <w:rPr>
          <w:sz w:val="22"/>
          <w:szCs w:val="22"/>
        </w:rPr>
        <w:t>, listadas na Bovespa</w:t>
      </w:r>
      <w:r w:rsidR="00D959AE" w:rsidRPr="00EF2A33">
        <w:rPr>
          <w:sz w:val="22"/>
          <w:szCs w:val="22"/>
        </w:rPr>
        <w:t xml:space="preserve"> e na NYSE (</w:t>
      </w:r>
      <w:hyperlink r:id="rId8" w:history="1">
        <w:r w:rsidR="00D959AE" w:rsidRPr="00EF2A33">
          <w:rPr>
            <w:iCs/>
            <w:sz w:val="22"/>
            <w:szCs w:val="22"/>
          </w:rPr>
          <w:t>New York Stock Exchange</w:t>
        </w:r>
      </w:hyperlink>
      <w:r w:rsidR="00D959AE" w:rsidRPr="00EF2A33">
        <w:rPr>
          <w:iCs/>
          <w:sz w:val="22"/>
          <w:szCs w:val="22"/>
        </w:rPr>
        <w:t>)</w:t>
      </w:r>
      <w:r w:rsidR="004A1D05" w:rsidRPr="00EF2A33">
        <w:rPr>
          <w:iCs/>
          <w:sz w:val="22"/>
          <w:szCs w:val="22"/>
        </w:rPr>
        <w:t>. Do Brasil, a amostra</w:t>
      </w:r>
      <w:r w:rsidR="00FC0ACA" w:rsidRPr="00EF2A33">
        <w:rPr>
          <w:iCs/>
          <w:sz w:val="22"/>
          <w:szCs w:val="22"/>
        </w:rPr>
        <w:t xml:space="preserve"> foi composta, inicialmente, </w:t>
      </w:r>
      <w:r w:rsidR="004A1D05" w:rsidRPr="00EF2A33">
        <w:rPr>
          <w:iCs/>
          <w:sz w:val="22"/>
          <w:szCs w:val="22"/>
        </w:rPr>
        <w:t>po</w:t>
      </w:r>
      <w:r w:rsidR="008C5CB6" w:rsidRPr="00EF2A33">
        <w:rPr>
          <w:iCs/>
          <w:sz w:val="22"/>
          <w:szCs w:val="22"/>
        </w:rPr>
        <w:t xml:space="preserve">r </w:t>
      </w:r>
      <w:r w:rsidR="005D18EB" w:rsidRPr="00EF2A33">
        <w:rPr>
          <w:iCs/>
          <w:sz w:val="22"/>
          <w:szCs w:val="22"/>
        </w:rPr>
        <w:t>132</w:t>
      </w:r>
      <w:r w:rsidR="008C5CB6" w:rsidRPr="00EF2A33">
        <w:rPr>
          <w:iCs/>
          <w:sz w:val="22"/>
          <w:szCs w:val="22"/>
        </w:rPr>
        <w:t xml:space="preserve"> (</w:t>
      </w:r>
      <w:r w:rsidR="005D18EB" w:rsidRPr="00EF2A33">
        <w:rPr>
          <w:iCs/>
          <w:sz w:val="22"/>
          <w:szCs w:val="22"/>
        </w:rPr>
        <w:t>cento e trinta e duas</w:t>
      </w:r>
      <w:r w:rsidR="008C5CB6" w:rsidRPr="00EF2A33">
        <w:rPr>
          <w:iCs/>
          <w:sz w:val="22"/>
          <w:szCs w:val="22"/>
        </w:rPr>
        <w:t>) empresas</w:t>
      </w:r>
      <w:r w:rsidR="005D18EB" w:rsidRPr="00EF2A33">
        <w:rPr>
          <w:iCs/>
          <w:sz w:val="22"/>
          <w:szCs w:val="22"/>
        </w:rPr>
        <w:t xml:space="preserve">, e dos </w:t>
      </w:r>
      <w:r w:rsidR="004A1D05" w:rsidRPr="00EF2A33">
        <w:rPr>
          <w:iCs/>
          <w:sz w:val="22"/>
          <w:szCs w:val="22"/>
        </w:rPr>
        <w:t>Estados Unidos</w:t>
      </w:r>
      <w:r w:rsidR="005D18EB" w:rsidRPr="00EF2A33">
        <w:rPr>
          <w:iCs/>
          <w:sz w:val="22"/>
          <w:szCs w:val="22"/>
        </w:rPr>
        <w:t xml:space="preserve"> 472 (quatrocentos e setenta e duas) empresas</w:t>
      </w:r>
      <w:r w:rsidR="00FA09E1" w:rsidRPr="00EF2A33">
        <w:rPr>
          <w:iCs/>
          <w:sz w:val="22"/>
          <w:szCs w:val="22"/>
        </w:rPr>
        <w:t>, distribuídas em um painel de dados balanceado</w:t>
      </w:r>
      <w:r w:rsidR="005D18EB" w:rsidRPr="00EF2A33">
        <w:rPr>
          <w:iCs/>
          <w:sz w:val="22"/>
          <w:szCs w:val="22"/>
        </w:rPr>
        <w:t>.</w:t>
      </w:r>
      <w:r w:rsidR="009B27BA" w:rsidRPr="00EF2A33">
        <w:rPr>
          <w:iCs/>
          <w:sz w:val="22"/>
          <w:szCs w:val="22"/>
        </w:rPr>
        <w:t xml:space="preserve"> </w:t>
      </w:r>
      <w:r w:rsidR="00FC0ACA" w:rsidRPr="00EF2A33">
        <w:rPr>
          <w:iCs/>
          <w:sz w:val="22"/>
          <w:szCs w:val="22"/>
        </w:rPr>
        <w:t>A amostra foi subdividida em sub-amostras, segregadas de acordo com a variável “tamanho”. Isso resultou em duas sub-amostras brasileiras, com 63 e 49 empresas, e em duas sub-amostras norte-americanas, com 191 e 228 empresas. A diferença entre o número inicial de empresas, e o número de empresas das sub-amostras se deve ao fato de que várias empresas ficaram com dados, em algum dos períodos da análise (2011 a 2015), tanto no grupo das empresas com valores acima quanto abaixo da média do ativo total (tamanho, utilizado para separar as empresas), sendo que, nesse caso, optou-se por excluí-las da sub-amostra, reduzindo o número em relação à amostra inicial.</w:t>
      </w:r>
    </w:p>
    <w:p w14:paraId="792E9590" w14:textId="06EC7B90" w:rsidR="004A1D05" w:rsidRPr="00EF2A33" w:rsidRDefault="00FC0ACA" w:rsidP="00FC0ACA">
      <w:pPr>
        <w:spacing w:line="360" w:lineRule="auto"/>
        <w:ind w:firstLine="709"/>
        <w:jc w:val="both"/>
        <w:rPr>
          <w:sz w:val="22"/>
          <w:szCs w:val="22"/>
        </w:rPr>
      </w:pPr>
      <w:r w:rsidRPr="00EF2A33">
        <w:rPr>
          <w:iCs/>
          <w:sz w:val="22"/>
          <w:szCs w:val="22"/>
        </w:rPr>
        <w:t>Saliente-se também que o número de empresas brasileiras e norte-americanas é diferente visto que o número de empresas listadas na bolsa brasileira é bastante inferior ao número de emrpesas listadas na bolsa americana, e realizados os ajustes e cortes na amostra necessários ao estudo, chegou-se a um número diferente de empresas para cada país. Por fim, não vislumbrou-se a necessidade de trabalhar com o mesmo número de empresas em cada sub-amostra, pois, salvo melhor juízo, isso em nada acrescentaria às análises realizadas no estudo.</w:t>
      </w:r>
    </w:p>
    <w:p w14:paraId="26E57B77" w14:textId="25FAE3EB" w:rsidR="006F2F32" w:rsidRPr="00EF2A33" w:rsidRDefault="00D959AE" w:rsidP="00592267">
      <w:pPr>
        <w:spacing w:line="360" w:lineRule="auto"/>
        <w:ind w:firstLine="709"/>
        <w:jc w:val="both"/>
        <w:rPr>
          <w:sz w:val="22"/>
          <w:szCs w:val="22"/>
        </w:rPr>
      </w:pPr>
      <w:r w:rsidRPr="00EF2A33">
        <w:rPr>
          <w:sz w:val="22"/>
          <w:szCs w:val="22"/>
        </w:rPr>
        <w:t>Como a pesquisa utilizou</w:t>
      </w:r>
      <w:r w:rsidR="006F2F32" w:rsidRPr="00EF2A33">
        <w:rPr>
          <w:sz w:val="22"/>
          <w:szCs w:val="22"/>
        </w:rPr>
        <w:t xml:space="preserve"> d</w:t>
      </w:r>
      <w:r w:rsidRPr="00EF2A33">
        <w:rPr>
          <w:sz w:val="22"/>
          <w:szCs w:val="22"/>
        </w:rPr>
        <w:t xml:space="preserve">e procedimentos de </w:t>
      </w:r>
      <w:r w:rsidR="006F2F32" w:rsidRPr="00EF2A33">
        <w:rPr>
          <w:sz w:val="22"/>
          <w:szCs w:val="22"/>
        </w:rPr>
        <w:t xml:space="preserve">amostragem intencional, </w:t>
      </w:r>
      <w:r w:rsidRPr="00EF2A33">
        <w:rPr>
          <w:sz w:val="22"/>
          <w:szCs w:val="22"/>
        </w:rPr>
        <w:t xml:space="preserve">com exclusão de alguns segmentos e exclusão de empresas com dados faltantes, não se realiza a generalização </w:t>
      </w:r>
      <w:r w:rsidR="006F2F32" w:rsidRPr="00EF2A33">
        <w:rPr>
          <w:sz w:val="22"/>
          <w:szCs w:val="22"/>
        </w:rPr>
        <w:t>dos resultados obtidos nesta pesquisa.</w:t>
      </w:r>
    </w:p>
    <w:p w14:paraId="2F397CC3" w14:textId="3C254CE7" w:rsidR="000C198D" w:rsidRPr="00EF2A33" w:rsidRDefault="00FF026A" w:rsidP="00592267">
      <w:pPr>
        <w:spacing w:line="360" w:lineRule="auto"/>
        <w:ind w:firstLine="709"/>
        <w:jc w:val="both"/>
        <w:rPr>
          <w:sz w:val="22"/>
          <w:szCs w:val="22"/>
        </w:rPr>
      </w:pPr>
      <w:r w:rsidRPr="00EF2A33">
        <w:rPr>
          <w:sz w:val="22"/>
          <w:szCs w:val="22"/>
        </w:rPr>
        <w:t>A</w:t>
      </w:r>
      <w:r w:rsidR="005D18EB" w:rsidRPr="00EF2A33">
        <w:rPr>
          <w:sz w:val="22"/>
          <w:szCs w:val="22"/>
        </w:rPr>
        <w:t xml:space="preserve"> variável dependente utilizada é representativa </w:t>
      </w:r>
      <w:r w:rsidRPr="00EF2A33">
        <w:rPr>
          <w:sz w:val="22"/>
          <w:szCs w:val="22"/>
        </w:rPr>
        <w:t>da alavancagem das empresas</w:t>
      </w:r>
      <w:r w:rsidR="005D18EB" w:rsidRPr="00EF2A33">
        <w:rPr>
          <w:sz w:val="22"/>
          <w:szCs w:val="22"/>
        </w:rPr>
        <w:t xml:space="preserve">. Por critério da pesquisa, utilizou-se </w:t>
      </w:r>
      <w:r w:rsidRPr="00EF2A33">
        <w:rPr>
          <w:sz w:val="22"/>
          <w:szCs w:val="22"/>
        </w:rPr>
        <w:t xml:space="preserve">a relação entre o passivo oneroso de curto prazo e o ativo </w:t>
      </w:r>
      <w:r w:rsidR="005D18EB" w:rsidRPr="00EF2A33">
        <w:rPr>
          <w:sz w:val="22"/>
          <w:szCs w:val="22"/>
        </w:rPr>
        <w:t xml:space="preserve">total </w:t>
      </w:r>
      <w:r w:rsidRPr="00EF2A33">
        <w:rPr>
          <w:sz w:val="22"/>
          <w:szCs w:val="22"/>
        </w:rPr>
        <w:t>(POcp/A)</w:t>
      </w:r>
      <w:r w:rsidR="005D18EB" w:rsidRPr="00EF2A33">
        <w:rPr>
          <w:sz w:val="22"/>
          <w:szCs w:val="22"/>
        </w:rPr>
        <w:t xml:space="preserve">. O endividamento utilizado na pesquisa é composto por </w:t>
      </w:r>
      <w:r w:rsidRPr="00EF2A33">
        <w:rPr>
          <w:sz w:val="22"/>
          <w:szCs w:val="22"/>
        </w:rPr>
        <w:t>financiamentos de curto</w:t>
      </w:r>
      <w:r w:rsidR="007517FB" w:rsidRPr="00EF2A33">
        <w:rPr>
          <w:sz w:val="22"/>
          <w:szCs w:val="22"/>
        </w:rPr>
        <w:t xml:space="preserve"> prazo</w:t>
      </w:r>
      <w:r w:rsidR="005D18EB" w:rsidRPr="00EF2A33">
        <w:rPr>
          <w:sz w:val="22"/>
          <w:szCs w:val="22"/>
        </w:rPr>
        <w:t>, por conveniência.</w:t>
      </w:r>
      <w:r w:rsidR="004762B1" w:rsidRPr="00EF2A33">
        <w:rPr>
          <w:sz w:val="22"/>
          <w:szCs w:val="22"/>
        </w:rPr>
        <w:t xml:space="preserve"> </w:t>
      </w:r>
      <w:r w:rsidR="00522170" w:rsidRPr="00EF2A33">
        <w:rPr>
          <w:sz w:val="22"/>
          <w:szCs w:val="22"/>
        </w:rPr>
        <w:t xml:space="preserve">Pelas características </w:t>
      </w:r>
      <w:r w:rsidR="00D959AE" w:rsidRPr="00EF2A33">
        <w:rPr>
          <w:sz w:val="22"/>
          <w:szCs w:val="22"/>
        </w:rPr>
        <w:t xml:space="preserve">da pesquisa, com muitas </w:t>
      </w:r>
      <w:r w:rsidR="00522170" w:rsidRPr="00EF2A33">
        <w:rPr>
          <w:sz w:val="22"/>
          <w:szCs w:val="22"/>
        </w:rPr>
        <w:t xml:space="preserve">empresas analisadas </w:t>
      </w:r>
      <w:r w:rsidR="00D959AE" w:rsidRPr="00EF2A33">
        <w:rPr>
          <w:sz w:val="22"/>
          <w:szCs w:val="22"/>
        </w:rPr>
        <w:t>e dados distribuídos em um longo período de tempo, considera-se adequado o emprego da análise com painel de dados, pois permite analisar as rela</w:t>
      </w:r>
      <w:r w:rsidR="00522170" w:rsidRPr="00EF2A33">
        <w:rPr>
          <w:sz w:val="22"/>
          <w:szCs w:val="22"/>
        </w:rPr>
        <w:t xml:space="preserve">ções </w:t>
      </w:r>
      <w:r w:rsidR="00D959AE" w:rsidRPr="00EF2A33">
        <w:rPr>
          <w:sz w:val="22"/>
          <w:szCs w:val="22"/>
        </w:rPr>
        <w:t xml:space="preserve">das empresas da amostra </w:t>
      </w:r>
      <w:r w:rsidR="001E763B" w:rsidRPr="00EF2A33">
        <w:rPr>
          <w:sz w:val="22"/>
          <w:szCs w:val="22"/>
        </w:rPr>
        <w:t>no tempo e no espaço.</w:t>
      </w:r>
      <w:r w:rsidR="00522170" w:rsidRPr="00EF2A33">
        <w:rPr>
          <w:sz w:val="22"/>
          <w:szCs w:val="22"/>
        </w:rPr>
        <w:t xml:space="preserve"> </w:t>
      </w:r>
    </w:p>
    <w:p w14:paraId="13544878" w14:textId="3FC4C8BC" w:rsidR="00835FD0" w:rsidRDefault="00835FD0" w:rsidP="00592267">
      <w:pPr>
        <w:spacing w:line="360" w:lineRule="auto"/>
        <w:ind w:firstLine="709"/>
        <w:jc w:val="both"/>
        <w:rPr>
          <w:sz w:val="22"/>
          <w:szCs w:val="22"/>
        </w:rPr>
      </w:pPr>
    </w:p>
    <w:p w14:paraId="7B55AC09" w14:textId="191FE5B7" w:rsidR="00EF2A33" w:rsidRDefault="00EF2A33" w:rsidP="00592267">
      <w:pPr>
        <w:spacing w:line="360" w:lineRule="auto"/>
        <w:ind w:firstLine="709"/>
        <w:jc w:val="both"/>
        <w:rPr>
          <w:sz w:val="22"/>
          <w:szCs w:val="22"/>
        </w:rPr>
      </w:pPr>
    </w:p>
    <w:p w14:paraId="61E1E35E" w14:textId="1FA30599" w:rsidR="00824249" w:rsidRPr="00EF2A33" w:rsidRDefault="007A1F4F" w:rsidP="00592267">
      <w:pPr>
        <w:pStyle w:val="Ttulo2"/>
        <w:spacing w:before="0" w:after="0"/>
        <w:rPr>
          <w:sz w:val="22"/>
          <w:szCs w:val="22"/>
        </w:rPr>
      </w:pPr>
      <w:bookmarkStart w:id="32" w:name="_Toc494451353"/>
      <w:r w:rsidRPr="00EF2A33">
        <w:rPr>
          <w:sz w:val="22"/>
          <w:szCs w:val="22"/>
        </w:rPr>
        <w:lastRenderedPageBreak/>
        <w:t>VARIÁVEIS DA PESQUISA</w:t>
      </w:r>
      <w:bookmarkEnd w:id="32"/>
    </w:p>
    <w:p w14:paraId="2257CF1E" w14:textId="77777777" w:rsidR="00835FD0" w:rsidRPr="00EF2A33" w:rsidRDefault="00835FD0" w:rsidP="00592267">
      <w:pPr>
        <w:spacing w:line="360" w:lineRule="auto"/>
        <w:ind w:firstLine="709"/>
        <w:jc w:val="both"/>
        <w:rPr>
          <w:sz w:val="22"/>
          <w:szCs w:val="22"/>
        </w:rPr>
      </w:pPr>
    </w:p>
    <w:p w14:paraId="37240D74" w14:textId="6011DCA3" w:rsidR="00CE107C" w:rsidRPr="00EF2A33" w:rsidRDefault="0084785E" w:rsidP="00592267">
      <w:pPr>
        <w:spacing w:line="360" w:lineRule="auto"/>
        <w:ind w:firstLine="709"/>
        <w:jc w:val="both"/>
        <w:rPr>
          <w:sz w:val="22"/>
          <w:szCs w:val="22"/>
        </w:rPr>
      </w:pPr>
      <w:r w:rsidRPr="00EF2A33">
        <w:rPr>
          <w:sz w:val="22"/>
          <w:szCs w:val="22"/>
        </w:rPr>
        <w:t xml:space="preserve">A seguir apresenta-se o quadro com a relação esperada para as variáveis de interesse do estudo, constituindo, isso, o principal constructo da pesquisa. O detalhamento das variáveis é apresentado </w:t>
      </w:r>
      <w:r w:rsidR="009B27BA" w:rsidRPr="00EF2A33">
        <w:rPr>
          <w:sz w:val="22"/>
          <w:szCs w:val="22"/>
        </w:rPr>
        <w:t xml:space="preserve">no Quadro </w:t>
      </w:r>
      <w:r w:rsidR="005A40A7" w:rsidRPr="00EF2A33">
        <w:rPr>
          <w:sz w:val="22"/>
          <w:szCs w:val="22"/>
        </w:rPr>
        <w:t>1</w:t>
      </w:r>
      <w:r w:rsidR="009B27BA" w:rsidRPr="00EF2A33">
        <w:rPr>
          <w:sz w:val="22"/>
          <w:szCs w:val="22"/>
        </w:rPr>
        <w:t>.</w:t>
      </w:r>
      <w:r w:rsidR="0018600A" w:rsidRPr="00EF2A33">
        <w:rPr>
          <w:sz w:val="22"/>
          <w:szCs w:val="22"/>
        </w:rPr>
        <w:tab/>
      </w:r>
    </w:p>
    <w:p w14:paraId="7438ADE6" w14:textId="77777777" w:rsidR="00364EE1" w:rsidRPr="00EF2A33" w:rsidRDefault="00364EE1" w:rsidP="00592267">
      <w:pPr>
        <w:spacing w:line="360" w:lineRule="auto"/>
        <w:ind w:firstLine="709"/>
        <w:jc w:val="both"/>
        <w:rPr>
          <w:sz w:val="22"/>
          <w:szCs w:val="22"/>
        </w:rPr>
      </w:pPr>
    </w:p>
    <w:p w14:paraId="772B4FA2" w14:textId="42C54CB9" w:rsidR="00840E80" w:rsidRPr="00EF2A33" w:rsidRDefault="009B27BA" w:rsidP="002C19AC">
      <w:pPr>
        <w:pStyle w:val="Legenda"/>
        <w:spacing w:before="0" w:after="0" w:line="360" w:lineRule="auto"/>
        <w:rPr>
          <w:rFonts w:ascii="Times New Roman" w:hAnsi="Times New Roman"/>
        </w:rPr>
      </w:pPr>
      <w:r w:rsidRPr="00EF2A33">
        <w:rPr>
          <w:rFonts w:ascii="Times New Roman" w:hAnsi="Times New Roman"/>
        </w:rPr>
        <w:t xml:space="preserve">Quadro </w:t>
      </w:r>
      <w:r w:rsidR="005A40A7" w:rsidRPr="00EF2A33">
        <w:rPr>
          <w:rFonts w:ascii="Times New Roman" w:hAnsi="Times New Roman"/>
        </w:rPr>
        <w:t>1</w:t>
      </w:r>
      <w:r w:rsidR="00BE05D1" w:rsidRPr="00EF2A33">
        <w:rPr>
          <w:rFonts w:ascii="Times New Roman" w:hAnsi="Times New Roman"/>
        </w:rPr>
        <w:t xml:space="preserve">. </w:t>
      </w:r>
      <w:r w:rsidR="00F923BD" w:rsidRPr="00EF2A33">
        <w:rPr>
          <w:rFonts w:ascii="Times New Roman" w:hAnsi="Times New Roman"/>
        </w:rPr>
        <w:t>V</w:t>
      </w:r>
      <w:r w:rsidR="00BE05D1" w:rsidRPr="00EF2A33">
        <w:rPr>
          <w:rFonts w:ascii="Times New Roman" w:hAnsi="Times New Roman"/>
        </w:rPr>
        <w:t>ariáveis da pesquisa</w:t>
      </w:r>
    </w:p>
    <w:tbl>
      <w:tblPr>
        <w:tblStyle w:val="Tabelacomgrade"/>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59"/>
        <w:gridCol w:w="3119"/>
        <w:gridCol w:w="992"/>
        <w:gridCol w:w="1703"/>
      </w:tblGrid>
      <w:tr w:rsidR="00BE05D1" w:rsidRPr="00CA0EDF" w14:paraId="5AC24219" w14:textId="77777777" w:rsidTr="00C210BA">
        <w:tc>
          <w:tcPr>
            <w:tcW w:w="1838" w:type="dxa"/>
            <w:vAlign w:val="center"/>
          </w:tcPr>
          <w:p w14:paraId="3C377CDA" w14:textId="77777777" w:rsidR="00BE05D1" w:rsidRPr="00CA0EDF" w:rsidRDefault="00BE05D1" w:rsidP="00835FD0">
            <w:pPr>
              <w:jc w:val="center"/>
              <w:rPr>
                <w:rFonts w:ascii="Times New Roman" w:hAnsi="Times New Roman"/>
                <w:b/>
                <w:sz w:val="16"/>
                <w:szCs w:val="16"/>
              </w:rPr>
            </w:pPr>
            <w:r w:rsidRPr="00CA0EDF">
              <w:rPr>
                <w:rFonts w:ascii="Times New Roman" w:hAnsi="Times New Roman"/>
                <w:b/>
                <w:sz w:val="16"/>
                <w:szCs w:val="16"/>
              </w:rPr>
              <w:t>Dimensão</w:t>
            </w:r>
          </w:p>
        </w:tc>
        <w:tc>
          <w:tcPr>
            <w:tcW w:w="1559" w:type="dxa"/>
            <w:vAlign w:val="center"/>
          </w:tcPr>
          <w:p w14:paraId="37BD9827" w14:textId="77777777" w:rsidR="00BE05D1" w:rsidRPr="00CA0EDF" w:rsidRDefault="00BE05D1" w:rsidP="00835FD0">
            <w:pPr>
              <w:jc w:val="center"/>
              <w:rPr>
                <w:rFonts w:ascii="Times New Roman" w:hAnsi="Times New Roman"/>
                <w:b/>
                <w:sz w:val="16"/>
                <w:szCs w:val="16"/>
              </w:rPr>
            </w:pPr>
            <w:r w:rsidRPr="00CA0EDF">
              <w:rPr>
                <w:rFonts w:ascii="Times New Roman" w:hAnsi="Times New Roman"/>
                <w:b/>
                <w:sz w:val="16"/>
                <w:szCs w:val="16"/>
              </w:rPr>
              <w:t>Indicador</w:t>
            </w:r>
          </w:p>
        </w:tc>
        <w:tc>
          <w:tcPr>
            <w:tcW w:w="3119" w:type="dxa"/>
            <w:vAlign w:val="center"/>
          </w:tcPr>
          <w:p w14:paraId="7F82EBA7" w14:textId="77777777" w:rsidR="00BE05D1" w:rsidRPr="00CA0EDF" w:rsidRDefault="00BE05D1" w:rsidP="00835FD0">
            <w:pPr>
              <w:jc w:val="center"/>
              <w:rPr>
                <w:rFonts w:ascii="Times New Roman" w:hAnsi="Times New Roman"/>
                <w:b/>
                <w:sz w:val="16"/>
                <w:szCs w:val="16"/>
              </w:rPr>
            </w:pPr>
            <w:r w:rsidRPr="00CA0EDF">
              <w:rPr>
                <w:rFonts w:ascii="Times New Roman" w:hAnsi="Times New Roman"/>
                <w:b/>
                <w:sz w:val="16"/>
                <w:szCs w:val="16"/>
              </w:rPr>
              <w:t>Fórmula/Operac.</w:t>
            </w:r>
          </w:p>
        </w:tc>
        <w:tc>
          <w:tcPr>
            <w:tcW w:w="992" w:type="dxa"/>
            <w:vAlign w:val="center"/>
          </w:tcPr>
          <w:p w14:paraId="5C975D8D" w14:textId="77777777" w:rsidR="00BE05D1" w:rsidRPr="00CA0EDF" w:rsidRDefault="00BE05D1" w:rsidP="00835FD0">
            <w:pPr>
              <w:jc w:val="center"/>
              <w:rPr>
                <w:rFonts w:ascii="Times New Roman" w:hAnsi="Times New Roman"/>
                <w:b/>
                <w:sz w:val="16"/>
                <w:szCs w:val="16"/>
              </w:rPr>
            </w:pPr>
            <w:r w:rsidRPr="00CA0EDF">
              <w:rPr>
                <w:rFonts w:ascii="Times New Roman" w:hAnsi="Times New Roman"/>
                <w:b/>
                <w:sz w:val="16"/>
                <w:szCs w:val="16"/>
              </w:rPr>
              <w:t>Relação Esperada</w:t>
            </w:r>
          </w:p>
        </w:tc>
        <w:tc>
          <w:tcPr>
            <w:tcW w:w="1703" w:type="dxa"/>
            <w:vAlign w:val="center"/>
          </w:tcPr>
          <w:p w14:paraId="35ECDC0A" w14:textId="77777777" w:rsidR="00BE05D1" w:rsidRPr="00CA0EDF" w:rsidRDefault="00BE05D1" w:rsidP="00835FD0">
            <w:pPr>
              <w:jc w:val="center"/>
              <w:rPr>
                <w:rFonts w:ascii="Times New Roman" w:hAnsi="Times New Roman"/>
                <w:b/>
                <w:sz w:val="16"/>
                <w:szCs w:val="16"/>
              </w:rPr>
            </w:pPr>
            <w:r w:rsidRPr="00CA0EDF">
              <w:rPr>
                <w:rFonts w:ascii="Times New Roman" w:hAnsi="Times New Roman"/>
                <w:b/>
                <w:sz w:val="16"/>
                <w:szCs w:val="16"/>
              </w:rPr>
              <w:t>Autores/Fonte</w:t>
            </w:r>
          </w:p>
        </w:tc>
      </w:tr>
      <w:tr w:rsidR="00BE05D1" w:rsidRPr="00CA0EDF" w14:paraId="60D99282" w14:textId="77777777" w:rsidTr="00C210BA">
        <w:tc>
          <w:tcPr>
            <w:tcW w:w="1838" w:type="dxa"/>
            <w:vAlign w:val="center"/>
          </w:tcPr>
          <w:p w14:paraId="696EAA72" w14:textId="77777777"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Dependente</w:t>
            </w:r>
          </w:p>
        </w:tc>
        <w:tc>
          <w:tcPr>
            <w:tcW w:w="1559" w:type="dxa"/>
            <w:vAlign w:val="center"/>
          </w:tcPr>
          <w:p w14:paraId="558DD0CC" w14:textId="77777777" w:rsidR="00BE05D1" w:rsidRPr="00CA0EDF" w:rsidRDefault="00BE05D1" w:rsidP="00835FD0">
            <w:pPr>
              <w:rPr>
                <w:rFonts w:ascii="Times New Roman" w:hAnsi="Times New Roman"/>
                <w:sz w:val="16"/>
                <w:szCs w:val="16"/>
              </w:rPr>
            </w:pPr>
            <w:r w:rsidRPr="00CA0EDF">
              <w:rPr>
                <w:rFonts w:ascii="Times New Roman" w:hAnsi="Times New Roman"/>
                <w:sz w:val="16"/>
                <w:szCs w:val="16"/>
              </w:rPr>
              <w:t>End it = Indicador de endividamento</w:t>
            </w:r>
          </w:p>
        </w:tc>
        <w:tc>
          <w:tcPr>
            <w:tcW w:w="3119" w:type="dxa"/>
            <w:vAlign w:val="center"/>
          </w:tcPr>
          <w:p w14:paraId="457F5F3C" w14:textId="6042C4A1" w:rsidR="00BE05D1" w:rsidRPr="00CA0EDF" w:rsidRDefault="00F923BD" w:rsidP="00C210BA">
            <w:pPr>
              <w:pStyle w:val="PargrafodaLista"/>
              <w:ind w:firstLine="0"/>
              <w:rPr>
                <w:rFonts w:ascii="Times New Roman" w:hAnsi="Times New Roman"/>
                <w:sz w:val="16"/>
                <w:szCs w:val="16"/>
              </w:rPr>
            </w:pPr>
            <w:r w:rsidRPr="00CA0EDF">
              <w:rPr>
                <w:rFonts w:ascii="Times New Roman" w:hAnsi="Times New Roman"/>
                <w:sz w:val="16"/>
                <w:szCs w:val="16"/>
              </w:rPr>
              <w:t>FinCP/Ativo Total</w:t>
            </w:r>
          </w:p>
        </w:tc>
        <w:tc>
          <w:tcPr>
            <w:tcW w:w="992" w:type="dxa"/>
            <w:vAlign w:val="center"/>
          </w:tcPr>
          <w:p w14:paraId="42755A30" w14:textId="77777777"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w:t>
            </w:r>
          </w:p>
        </w:tc>
        <w:tc>
          <w:tcPr>
            <w:tcW w:w="1703" w:type="dxa"/>
            <w:vAlign w:val="center"/>
          </w:tcPr>
          <w:p w14:paraId="2B11B1AA" w14:textId="6D972DCF"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 xml:space="preserve">Albanez (2008); Cândido (2010). </w:t>
            </w:r>
          </w:p>
        </w:tc>
      </w:tr>
      <w:tr w:rsidR="00BE05D1" w:rsidRPr="00CA0EDF" w14:paraId="5FB5D68E" w14:textId="77777777" w:rsidTr="00773963">
        <w:tc>
          <w:tcPr>
            <w:tcW w:w="9211" w:type="dxa"/>
            <w:gridSpan w:val="5"/>
            <w:vAlign w:val="center"/>
          </w:tcPr>
          <w:p w14:paraId="15D67792" w14:textId="77777777" w:rsidR="00BE05D1" w:rsidRPr="00CA0EDF" w:rsidRDefault="00BE05D1" w:rsidP="00835FD0">
            <w:pPr>
              <w:jc w:val="center"/>
              <w:rPr>
                <w:rFonts w:ascii="Times New Roman" w:hAnsi="Times New Roman"/>
                <w:sz w:val="16"/>
                <w:szCs w:val="16"/>
              </w:rPr>
            </w:pPr>
            <w:r w:rsidRPr="00CA0EDF">
              <w:rPr>
                <w:rFonts w:ascii="Times New Roman" w:hAnsi="Times New Roman"/>
                <w:b/>
                <w:color w:val="FF0000"/>
                <w:sz w:val="16"/>
                <w:szCs w:val="16"/>
              </w:rPr>
              <w:t>VARIÁVEIS EXPLICATIVAS</w:t>
            </w:r>
          </w:p>
        </w:tc>
      </w:tr>
      <w:tr w:rsidR="00BE05D1" w:rsidRPr="00CA0EDF" w14:paraId="6E621AA7" w14:textId="77777777" w:rsidTr="00C210BA">
        <w:tc>
          <w:tcPr>
            <w:tcW w:w="1838" w:type="dxa"/>
            <w:vAlign w:val="center"/>
          </w:tcPr>
          <w:p w14:paraId="2E9AF332" w14:textId="77777777" w:rsidR="00BE05D1" w:rsidRPr="00CA0EDF" w:rsidRDefault="00BE05D1" w:rsidP="00C210BA">
            <w:pPr>
              <w:rPr>
                <w:rFonts w:ascii="Times New Roman" w:hAnsi="Times New Roman"/>
                <w:sz w:val="16"/>
                <w:szCs w:val="16"/>
              </w:rPr>
            </w:pPr>
            <w:r w:rsidRPr="00CA0EDF">
              <w:rPr>
                <w:rFonts w:ascii="Times New Roman" w:hAnsi="Times New Roman"/>
                <w:sz w:val="16"/>
                <w:szCs w:val="16"/>
              </w:rPr>
              <w:t>Explicativa</w:t>
            </w:r>
            <w:r w:rsidR="00F923BD" w:rsidRPr="00CA0EDF">
              <w:rPr>
                <w:rFonts w:ascii="Times New Roman" w:hAnsi="Times New Roman"/>
                <w:sz w:val="16"/>
                <w:szCs w:val="16"/>
              </w:rPr>
              <w:t>:</w:t>
            </w:r>
          </w:p>
          <w:p w14:paraId="5DF50078" w14:textId="23B5667B" w:rsidR="00F923BD" w:rsidRPr="00CA0EDF" w:rsidRDefault="0084785E" w:rsidP="00C210BA">
            <w:pPr>
              <w:rPr>
                <w:rFonts w:ascii="Times New Roman" w:hAnsi="Times New Roman"/>
                <w:sz w:val="16"/>
                <w:szCs w:val="16"/>
              </w:rPr>
            </w:pPr>
            <w:r w:rsidRPr="00CA0EDF">
              <w:rPr>
                <w:rFonts w:ascii="Times New Roman" w:hAnsi="Times New Roman"/>
                <w:sz w:val="16"/>
                <w:szCs w:val="16"/>
              </w:rPr>
              <w:t>Variável de Controle</w:t>
            </w:r>
          </w:p>
        </w:tc>
        <w:tc>
          <w:tcPr>
            <w:tcW w:w="1559" w:type="dxa"/>
            <w:vAlign w:val="center"/>
          </w:tcPr>
          <w:p w14:paraId="1B1FD13D" w14:textId="77777777" w:rsidR="00BE05D1" w:rsidRPr="00CA0EDF" w:rsidRDefault="00BE05D1" w:rsidP="00835FD0">
            <w:pPr>
              <w:rPr>
                <w:rFonts w:ascii="Times New Roman" w:hAnsi="Times New Roman"/>
                <w:sz w:val="16"/>
                <w:szCs w:val="16"/>
              </w:rPr>
            </w:pPr>
            <w:r w:rsidRPr="00CA0EDF">
              <w:rPr>
                <w:rFonts w:ascii="Times New Roman" w:hAnsi="Times New Roman"/>
                <w:sz w:val="16"/>
                <w:szCs w:val="16"/>
              </w:rPr>
              <w:t>Rentabilidade</w:t>
            </w:r>
          </w:p>
        </w:tc>
        <w:tc>
          <w:tcPr>
            <w:tcW w:w="3119" w:type="dxa"/>
            <w:vAlign w:val="center"/>
          </w:tcPr>
          <w:p w14:paraId="2EAADC3D" w14:textId="77777777" w:rsidR="00BE05D1" w:rsidRPr="00CA0EDF" w:rsidRDefault="00BE05D1" w:rsidP="00835FD0">
            <w:pPr>
              <w:jc w:val="center"/>
              <w:rPr>
                <w:rFonts w:ascii="Times New Roman" w:hAnsi="Times New Roman"/>
                <w:bCs/>
                <w:sz w:val="16"/>
                <w:szCs w:val="16"/>
              </w:rPr>
            </w:pPr>
            <w:r w:rsidRPr="00CA0EDF">
              <w:rPr>
                <w:rFonts w:ascii="Times New Roman" w:hAnsi="Times New Roman"/>
                <w:bCs/>
                <w:sz w:val="16"/>
                <w:szCs w:val="16"/>
              </w:rPr>
              <w:t>LAJ/Ativo</w:t>
            </w:r>
          </w:p>
        </w:tc>
        <w:tc>
          <w:tcPr>
            <w:tcW w:w="992" w:type="dxa"/>
            <w:vAlign w:val="center"/>
          </w:tcPr>
          <w:p w14:paraId="6BCFEA26" w14:textId="61C0E89A"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Negativa</w:t>
            </w:r>
          </w:p>
        </w:tc>
        <w:tc>
          <w:tcPr>
            <w:tcW w:w="1703" w:type="dxa"/>
            <w:vAlign w:val="center"/>
          </w:tcPr>
          <w:p w14:paraId="2256936A" w14:textId="63C36696"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Albanez (2008); Cândido (2010).</w:t>
            </w:r>
          </w:p>
        </w:tc>
      </w:tr>
      <w:tr w:rsidR="00BE05D1" w:rsidRPr="00CA0EDF" w14:paraId="413B48A1" w14:textId="77777777" w:rsidTr="00C210BA">
        <w:tc>
          <w:tcPr>
            <w:tcW w:w="1838" w:type="dxa"/>
            <w:vAlign w:val="center"/>
          </w:tcPr>
          <w:p w14:paraId="0708BF8B" w14:textId="37690B8C" w:rsidR="00F923BD" w:rsidRPr="00CA0EDF" w:rsidRDefault="00BE05D1" w:rsidP="00C210BA">
            <w:pPr>
              <w:rPr>
                <w:rFonts w:ascii="Times New Roman" w:hAnsi="Times New Roman"/>
                <w:sz w:val="16"/>
                <w:szCs w:val="16"/>
              </w:rPr>
            </w:pPr>
            <w:r w:rsidRPr="00CA0EDF">
              <w:rPr>
                <w:rFonts w:ascii="Times New Roman" w:hAnsi="Times New Roman"/>
                <w:sz w:val="16"/>
                <w:szCs w:val="16"/>
              </w:rPr>
              <w:t>Explicativa</w:t>
            </w:r>
            <w:r w:rsidR="00F923BD" w:rsidRPr="00CA0EDF">
              <w:rPr>
                <w:rFonts w:ascii="Times New Roman" w:hAnsi="Times New Roman"/>
                <w:sz w:val="16"/>
                <w:szCs w:val="16"/>
              </w:rPr>
              <w:t>:</w:t>
            </w:r>
          </w:p>
          <w:p w14:paraId="44A56E01" w14:textId="5E795B88" w:rsidR="00F923BD" w:rsidRPr="00CA0EDF" w:rsidRDefault="0084785E" w:rsidP="00C210BA">
            <w:pPr>
              <w:rPr>
                <w:rFonts w:ascii="Times New Roman" w:hAnsi="Times New Roman"/>
                <w:sz w:val="16"/>
                <w:szCs w:val="16"/>
              </w:rPr>
            </w:pPr>
            <w:r w:rsidRPr="00CA0EDF">
              <w:rPr>
                <w:rFonts w:ascii="Times New Roman" w:hAnsi="Times New Roman"/>
                <w:sz w:val="16"/>
                <w:szCs w:val="16"/>
              </w:rPr>
              <w:t>Variável de Controle</w:t>
            </w:r>
          </w:p>
        </w:tc>
        <w:tc>
          <w:tcPr>
            <w:tcW w:w="1559" w:type="dxa"/>
            <w:vAlign w:val="center"/>
          </w:tcPr>
          <w:p w14:paraId="197A0797" w14:textId="77777777" w:rsidR="00BE05D1" w:rsidRPr="00CA0EDF" w:rsidRDefault="00BE05D1" w:rsidP="00835FD0">
            <w:pPr>
              <w:rPr>
                <w:rFonts w:ascii="Times New Roman" w:hAnsi="Times New Roman"/>
                <w:sz w:val="16"/>
                <w:szCs w:val="16"/>
              </w:rPr>
            </w:pPr>
            <w:r w:rsidRPr="00CA0EDF">
              <w:rPr>
                <w:rFonts w:ascii="Times New Roman" w:hAnsi="Times New Roman"/>
                <w:sz w:val="16"/>
                <w:szCs w:val="16"/>
              </w:rPr>
              <w:t>Tamanho</w:t>
            </w:r>
          </w:p>
        </w:tc>
        <w:tc>
          <w:tcPr>
            <w:tcW w:w="3119" w:type="dxa"/>
            <w:vAlign w:val="center"/>
          </w:tcPr>
          <w:p w14:paraId="7981DC8E" w14:textId="77777777" w:rsidR="00BE05D1" w:rsidRPr="00CA0EDF" w:rsidRDefault="00BE05D1" w:rsidP="00835FD0">
            <w:pPr>
              <w:jc w:val="center"/>
              <w:rPr>
                <w:rFonts w:ascii="Times New Roman" w:hAnsi="Times New Roman"/>
                <w:bCs/>
                <w:sz w:val="16"/>
                <w:szCs w:val="16"/>
              </w:rPr>
            </w:pPr>
            <w:r w:rsidRPr="00CA0EDF">
              <w:rPr>
                <w:rFonts w:ascii="Times New Roman" w:hAnsi="Times New Roman"/>
                <w:bCs/>
                <w:sz w:val="16"/>
                <w:szCs w:val="16"/>
              </w:rPr>
              <w:t>Logaritmo Natural de Vendas Líquidas ou Logaritmo Natural do Ativo</w:t>
            </w:r>
          </w:p>
        </w:tc>
        <w:tc>
          <w:tcPr>
            <w:tcW w:w="992" w:type="dxa"/>
            <w:vAlign w:val="center"/>
          </w:tcPr>
          <w:p w14:paraId="05F73657" w14:textId="4027A4EE"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Negativa</w:t>
            </w:r>
          </w:p>
        </w:tc>
        <w:tc>
          <w:tcPr>
            <w:tcW w:w="1703" w:type="dxa"/>
            <w:vAlign w:val="center"/>
          </w:tcPr>
          <w:p w14:paraId="77EC59BB" w14:textId="5DD5613B"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Albanez (2008); Cândido (2010).</w:t>
            </w:r>
          </w:p>
        </w:tc>
      </w:tr>
      <w:tr w:rsidR="00BE05D1" w:rsidRPr="00CA0EDF" w14:paraId="3CE55357" w14:textId="77777777" w:rsidTr="00C210BA">
        <w:tc>
          <w:tcPr>
            <w:tcW w:w="1838" w:type="dxa"/>
            <w:vAlign w:val="center"/>
          </w:tcPr>
          <w:p w14:paraId="08759070" w14:textId="77777777" w:rsidR="00BE05D1" w:rsidRPr="00CA0EDF" w:rsidRDefault="00BE05D1" w:rsidP="00C210BA">
            <w:pPr>
              <w:rPr>
                <w:rFonts w:ascii="Times New Roman" w:hAnsi="Times New Roman"/>
                <w:sz w:val="16"/>
                <w:szCs w:val="16"/>
              </w:rPr>
            </w:pPr>
            <w:r w:rsidRPr="00CA0EDF">
              <w:rPr>
                <w:rFonts w:ascii="Times New Roman" w:hAnsi="Times New Roman"/>
                <w:sz w:val="16"/>
                <w:szCs w:val="16"/>
              </w:rPr>
              <w:t>Explicativa</w:t>
            </w:r>
          </w:p>
          <w:p w14:paraId="1A5E1F55" w14:textId="66F15723" w:rsidR="0084785E" w:rsidRPr="00CA0EDF" w:rsidRDefault="0084785E" w:rsidP="00C210BA">
            <w:pPr>
              <w:rPr>
                <w:rFonts w:ascii="Times New Roman" w:hAnsi="Times New Roman"/>
                <w:sz w:val="16"/>
                <w:szCs w:val="16"/>
              </w:rPr>
            </w:pPr>
            <w:r w:rsidRPr="00CA0EDF">
              <w:rPr>
                <w:rFonts w:ascii="Times New Roman" w:hAnsi="Times New Roman"/>
                <w:sz w:val="16"/>
                <w:szCs w:val="16"/>
              </w:rPr>
              <w:t>Variável de Controle</w:t>
            </w:r>
          </w:p>
        </w:tc>
        <w:tc>
          <w:tcPr>
            <w:tcW w:w="1559" w:type="dxa"/>
            <w:vAlign w:val="center"/>
          </w:tcPr>
          <w:p w14:paraId="27E4C75D" w14:textId="77777777" w:rsidR="00BE05D1" w:rsidRPr="00CA0EDF" w:rsidRDefault="00BE05D1" w:rsidP="00835FD0">
            <w:pPr>
              <w:rPr>
                <w:rFonts w:ascii="Times New Roman" w:hAnsi="Times New Roman"/>
                <w:sz w:val="16"/>
                <w:szCs w:val="16"/>
              </w:rPr>
            </w:pPr>
            <w:r w:rsidRPr="00CA0EDF">
              <w:rPr>
                <w:rFonts w:ascii="Times New Roman" w:hAnsi="Times New Roman"/>
                <w:sz w:val="16"/>
                <w:szCs w:val="16"/>
              </w:rPr>
              <w:t>Tangibilidade</w:t>
            </w:r>
          </w:p>
        </w:tc>
        <w:tc>
          <w:tcPr>
            <w:tcW w:w="3119" w:type="dxa"/>
            <w:vAlign w:val="center"/>
          </w:tcPr>
          <w:p w14:paraId="525C7A84" w14:textId="4DB80771" w:rsidR="00BE05D1" w:rsidRPr="00CA0EDF" w:rsidRDefault="00773963" w:rsidP="00835FD0">
            <w:pPr>
              <w:jc w:val="center"/>
              <w:rPr>
                <w:rFonts w:ascii="Times New Roman" w:hAnsi="Times New Roman"/>
                <w:bCs/>
                <w:sz w:val="16"/>
                <w:szCs w:val="16"/>
              </w:rPr>
            </w:pPr>
            <w:r w:rsidRPr="00CA0EDF">
              <w:rPr>
                <w:rFonts w:ascii="Times New Roman" w:hAnsi="Times New Roman"/>
                <w:bCs/>
                <w:sz w:val="16"/>
                <w:szCs w:val="16"/>
              </w:rPr>
              <w:t>At. Imob. / At. Total</w:t>
            </w:r>
          </w:p>
        </w:tc>
        <w:tc>
          <w:tcPr>
            <w:tcW w:w="992" w:type="dxa"/>
            <w:vAlign w:val="center"/>
          </w:tcPr>
          <w:p w14:paraId="40D4F883" w14:textId="21C077B7"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Positiva</w:t>
            </w:r>
          </w:p>
        </w:tc>
        <w:tc>
          <w:tcPr>
            <w:tcW w:w="1703" w:type="dxa"/>
            <w:vAlign w:val="center"/>
          </w:tcPr>
          <w:p w14:paraId="454E9C45" w14:textId="70AD312E"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Albanez (2008); Cândido (2010);</w:t>
            </w:r>
          </w:p>
          <w:p w14:paraId="73CDE55F" w14:textId="77777777"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Frank e Goyal (2003).</w:t>
            </w:r>
          </w:p>
        </w:tc>
      </w:tr>
      <w:tr w:rsidR="00BE05D1" w:rsidRPr="00CA0EDF" w14:paraId="67D9E099" w14:textId="77777777" w:rsidTr="00C210BA">
        <w:tc>
          <w:tcPr>
            <w:tcW w:w="1838" w:type="dxa"/>
            <w:vAlign w:val="center"/>
          </w:tcPr>
          <w:p w14:paraId="124AA821" w14:textId="77777777" w:rsidR="00BE05D1" w:rsidRPr="00CA0EDF" w:rsidRDefault="00BE05D1" w:rsidP="00C210BA">
            <w:pPr>
              <w:rPr>
                <w:rFonts w:ascii="Times New Roman" w:hAnsi="Times New Roman"/>
                <w:sz w:val="16"/>
                <w:szCs w:val="16"/>
              </w:rPr>
            </w:pPr>
            <w:r w:rsidRPr="00CA0EDF">
              <w:rPr>
                <w:rFonts w:ascii="Times New Roman" w:hAnsi="Times New Roman"/>
                <w:sz w:val="16"/>
                <w:szCs w:val="16"/>
              </w:rPr>
              <w:t>Explicativa</w:t>
            </w:r>
          </w:p>
          <w:p w14:paraId="44BB04C0" w14:textId="0D286C54" w:rsidR="0084785E" w:rsidRPr="00CA0EDF" w:rsidRDefault="0084785E" w:rsidP="00C210BA">
            <w:pPr>
              <w:rPr>
                <w:rFonts w:ascii="Times New Roman" w:hAnsi="Times New Roman"/>
                <w:sz w:val="16"/>
                <w:szCs w:val="16"/>
              </w:rPr>
            </w:pPr>
            <w:r w:rsidRPr="00CA0EDF">
              <w:rPr>
                <w:rFonts w:ascii="Times New Roman" w:hAnsi="Times New Roman"/>
                <w:sz w:val="16"/>
                <w:szCs w:val="16"/>
              </w:rPr>
              <w:t>Variável de Controle</w:t>
            </w:r>
          </w:p>
        </w:tc>
        <w:tc>
          <w:tcPr>
            <w:tcW w:w="1559" w:type="dxa"/>
            <w:vAlign w:val="center"/>
          </w:tcPr>
          <w:p w14:paraId="55B212EA" w14:textId="77777777" w:rsidR="00BE05D1" w:rsidRPr="00CA0EDF" w:rsidRDefault="00BE05D1" w:rsidP="00835FD0">
            <w:pPr>
              <w:rPr>
                <w:rFonts w:ascii="Times New Roman" w:hAnsi="Times New Roman"/>
                <w:sz w:val="16"/>
                <w:szCs w:val="16"/>
              </w:rPr>
            </w:pPr>
            <w:r w:rsidRPr="00CA0EDF">
              <w:rPr>
                <w:rFonts w:ascii="Times New Roman" w:hAnsi="Times New Roman"/>
                <w:sz w:val="16"/>
                <w:szCs w:val="16"/>
              </w:rPr>
              <w:t xml:space="preserve">Oportunidade de crescimento </w:t>
            </w:r>
            <w:r w:rsidRPr="00CA0EDF">
              <w:rPr>
                <w:rFonts w:ascii="Times New Roman" w:hAnsi="Times New Roman"/>
                <w:i/>
                <w:sz w:val="16"/>
                <w:szCs w:val="16"/>
              </w:rPr>
              <w:t>(Market to Book Value Ratio)</w:t>
            </w:r>
          </w:p>
        </w:tc>
        <w:tc>
          <w:tcPr>
            <w:tcW w:w="3119" w:type="dxa"/>
            <w:vAlign w:val="center"/>
          </w:tcPr>
          <w:p w14:paraId="3DBBC3BA" w14:textId="77777777" w:rsidR="00BE05D1" w:rsidRPr="00CA0EDF" w:rsidRDefault="00BE05D1" w:rsidP="00835FD0">
            <w:pPr>
              <w:jc w:val="center"/>
              <w:rPr>
                <w:rFonts w:ascii="Times New Roman" w:hAnsi="Times New Roman"/>
                <w:bCs/>
                <w:sz w:val="16"/>
                <w:szCs w:val="16"/>
              </w:rPr>
            </w:pPr>
            <w:r w:rsidRPr="00CA0EDF">
              <w:rPr>
                <w:rFonts w:ascii="Times New Roman" w:hAnsi="Times New Roman"/>
                <w:bCs/>
                <w:sz w:val="16"/>
                <w:szCs w:val="16"/>
              </w:rPr>
              <w:t>Cotação ação / V. Pat. Ação</w:t>
            </w:r>
          </w:p>
        </w:tc>
        <w:tc>
          <w:tcPr>
            <w:tcW w:w="992" w:type="dxa"/>
            <w:vAlign w:val="center"/>
          </w:tcPr>
          <w:p w14:paraId="67507BA7" w14:textId="108683AB"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Negativa</w:t>
            </w:r>
          </w:p>
        </w:tc>
        <w:tc>
          <w:tcPr>
            <w:tcW w:w="1703" w:type="dxa"/>
            <w:vAlign w:val="center"/>
          </w:tcPr>
          <w:p w14:paraId="15A4A1A4" w14:textId="7306F549"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Albanez (2008); Cândido (2010).</w:t>
            </w:r>
          </w:p>
        </w:tc>
      </w:tr>
      <w:tr w:rsidR="00BE05D1" w:rsidRPr="00CA0EDF" w14:paraId="0DA1F069" w14:textId="77777777" w:rsidTr="00C210BA">
        <w:tc>
          <w:tcPr>
            <w:tcW w:w="1838" w:type="dxa"/>
            <w:vAlign w:val="center"/>
          </w:tcPr>
          <w:p w14:paraId="2C8A4D7C" w14:textId="18C33056" w:rsidR="0084785E" w:rsidRPr="00CA0EDF" w:rsidRDefault="00BE05D1" w:rsidP="00C210BA">
            <w:pPr>
              <w:rPr>
                <w:rFonts w:ascii="Times New Roman" w:hAnsi="Times New Roman"/>
                <w:sz w:val="16"/>
                <w:szCs w:val="16"/>
              </w:rPr>
            </w:pPr>
            <w:r w:rsidRPr="00CA0EDF">
              <w:rPr>
                <w:rFonts w:ascii="Times New Roman" w:hAnsi="Times New Roman"/>
                <w:sz w:val="16"/>
                <w:szCs w:val="16"/>
              </w:rPr>
              <w:t>Explicativa</w:t>
            </w:r>
            <w:r w:rsidR="00C210BA" w:rsidRPr="00CA0EDF">
              <w:rPr>
                <w:rFonts w:ascii="Times New Roman" w:hAnsi="Times New Roman"/>
                <w:sz w:val="16"/>
                <w:szCs w:val="16"/>
              </w:rPr>
              <w:t xml:space="preserve"> </w:t>
            </w:r>
            <w:r w:rsidR="0084785E" w:rsidRPr="00CA0EDF">
              <w:rPr>
                <w:rFonts w:ascii="Times New Roman" w:hAnsi="Times New Roman"/>
                <w:sz w:val="16"/>
                <w:szCs w:val="16"/>
              </w:rPr>
              <w:t>Variável de Controle</w:t>
            </w:r>
          </w:p>
        </w:tc>
        <w:tc>
          <w:tcPr>
            <w:tcW w:w="1559" w:type="dxa"/>
            <w:vAlign w:val="center"/>
          </w:tcPr>
          <w:p w14:paraId="50CB6A35" w14:textId="77777777" w:rsidR="00BE05D1" w:rsidRPr="00CA0EDF" w:rsidRDefault="00BE05D1" w:rsidP="00835FD0">
            <w:pPr>
              <w:rPr>
                <w:rFonts w:ascii="Times New Roman" w:hAnsi="Times New Roman"/>
                <w:sz w:val="16"/>
                <w:szCs w:val="16"/>
              </w:rPr>
            </w:pPr>
            <w:r w:rsidRPr="00CA0EDF">
              <w:rPr>
                <w:rFonts w:ascii="Times New Roman" w:hAnsi="Times New Roman"/>
                <w:sz w:val="16"/>
                <w:szCs w:val="16"/>
              </w:rPr>
              <w:t>Risco</w:t>
            </w:r>
          </w:p>
        </w:tc>
        <w:tc>
          <w:tcPr>
            <w:tcW w:w="3119" w:type="dxa"/>
            <w:vAlign w:val="center"/>
          </w:tcPr>
          <w:p w14:paraId="26B65D21" w14:textId="77777777" w:rsidR="00BE05D1" w:rsidRPr="00CA0EDF" w:rsidRDefault="003B3B85" w:rsidP="00835FD0">
            <w:pPr>
              <w:spacing w:line="360" w:lineRule="auto"/>
              <w:jc w:val="both"/>
              <w:rPr>
                <w:rFonts w:ascii="Times New Roman" w:eastAsia="Times New Roman" w:hAnsi="Times New Roman"/>
                <w:sz w:val="16"/>
                <w:szCs w:val="16"/>
              </w:rPr>
            </w:pPr>
            <m:oMathPara>
              <m:oMath>
                <m:f>
                  <m:fPr>
                    <m:ctrlPr>
                      <w:rPr>
                        <w:rFonts w:ascii="Cambria Math" w:hAnsi="Cambria Math"/>
                        <w:i/>
                        <w:sz w:val="16"/>
                        <w:szCs w:val="16"/>
                      </w:rPr>
                    </m:ctrlPr>
                  </m:fPr>
                  <m:num>
                    <m:r>
                      <w:rPr>
                        <w:rFonts w:ascii="Cambria Math" w:hAnsi="Cambria Math"/>
                        <w:sz w:val="16"/>
                        <w:szCs w:val="16"/>
                      </w:rPr>
                      <m:t>Beta</m:t>
                    </m:r>
                  </m:num>
                  <m:den>
                    <m:r>
                      <w:rPr>
                        <w:rFonts w:ascii="Cambria Math" w:hAnsi="Cambria Math"/>
                        <w:sz w:val="16"/>
                        <w:szCs w:val="16"/>
                      </w:rPr>
                      <m:t>1+</m:t>
                    </m:r>
                    <m:d>
                      <m:dPr>
                        <m:ctrlPr>
                          <w:rPr>
                            <w:rFonts w:ascii="Cambria Math" w:hAnsi="Cambria Math"/>
                            <w:i/>
                            <w:sz w:val="16"/>
                            <w:szCs w:val="16"/>
                          </w:rPr>
                        </m:ctrlPr>
                      </m:dPr>
                      <m:e>
                        <m:r>
                          <w:rPr>
                            <w:rFonts w:ascii="Cambria Math" w:hAnsi="Cambria Math"/>
                            <w:sz w:val="16"/>
                            <w:szCs w:val="16"/>
                          </w:rPr>
                          <m:t>1-0,34</m:t>
                        </m:r>
                      </m:e>
                    </m:d>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PO</m:t>
                        </m:r>
                      </m:num>
                      <m:den>
                        <m:r>
                          <w:rPr>
                            <w:rFonts w:ascii="Cambria Math" w:hAnsi="Cambria Math"/>
                            <w:sz w:val="16"/>
                            <w:szCs w:val="16"/>
                          </w:rPr>
                          <m:t>PL</m:t>
                        </m:r>
                      </m:den>
                    </m:f>
                  </m:den>
                </m:f>
              </m:oMath>
            </m:oMathPara>
          </w:p>
          <w:p w14:paraId="3D1F87B7" w14:textId="77777777" w:rsidR="00BE05D1" w:rsidRPr="00CA0EDF" w:rsidRDefault="00BE05D1" w:rsidP="00835FD0">
            <w:pPr>
              <w:jc w:val="center"/>
              <w:rPr>
                <w:rFonts w:ascii="Times New Roman" w:hAnsi="Times New Roman"/>
                <w:bCs/>
                <w:sz w:val="16"/>
                <w:szCs w:val="16"/>
              </w:rPr>
            </w:pPr>
            <w:r w:rsidRPr="00CA0EDF">
              <w:rPr>
                <w:rFonts w:ascii="Times New Roman" w:hAnsi="Times New Roman"/>
                <w:sz w:val="16"/>
                <w:szCs w:val="16"/>
              </w:rPr>
              <w:t>Risco = Desvio Padrão (LAJIR / A)</w:t>
            </w:r>
          </w:p>
        </w:tc>
        <w:tc>
          <w:tcPr>
            <w:tcW w:w="992" w:type="dxa"/>
            <w:vAlign w:val="center"/>
          </w:tcPr>
          <w:p w14:paraId="7DA65151" w14:textId="4D1D5B6D"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Negativa</w:t>
            </w:r>
          </w:p>
        </w:tc>
        <w:tc>
          <w:tcPr>
            <w:tcW w:w="1703" w:type="dxa"/>
            <w:vAlign w:val="center"/>
          </w:tcPr>
          <w:p w14:paraId="708A8875" w14:textId="77777777"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Albanez (2008); Cândido (2010).</w:t>
            </w:r>
          </w:p>
        </w:tc>
      </w:tr>
      <w:tr w:rsidR="00BE05D1" w:rsidRPr="00CA0EDF" w14:paraId="1B2323EC" w14:textId="77777777" w:rsidTr="00C210BA">
        <w:tc>
          <w:tcPr>
            <w:tcW w:w="1838" w:type="dxa"/>
            <w:vAlign w:val="center"/>
          </w:tcPr>
          <w:p w14:paraId="22976BAF" w14:textId="0009BE2E" w:rsidR="00BE05D1" w:rsidRPr="00CA0EDF" w:rsidRDefault="00BE05D1" w:rsidP="00C210BA">
            <w:pPr>
              <w:rPr>
                <w:rFonts w:ascii="Times New Roman" w:hAnsi="Times New Roman"/>
                <w:sz w:val="16"/>
                <w:szCs w:val="16"/>
              </w:rPr>
            </w:pPr>
            <w:r w:rsidRPr="00CA0EDF">
              <w:rPr>
                <w:rFonts w:ascii="Times New Roman" w:hAnsi="Times New Roman"/>
                <w:sz w:val="16"/>
                <w:szCs w:val="16"/>
              </w:rPr>
              <w:t>Explicativa</w:t>
            </w:r>
          </w:p>
          <w:p w14:paraId="10D1AB4D" w14:textId="16CA783B" w:rsidR="0084785E" w:rsidRPr="00CA0EDF" w:rsidRDefault="0084785E" w:rsidP="00C210BA">
            <w:pPr>
              <w:rPr>
                <w:rFonts w:ascii="Times New Roman" w:hAnsi="Times New Roman"/>
                <w:sz w:val="16"/>
                <w:szCs w:val="16"/>
              </w:rPr>
            </w:pPr>
            <w:r w:rsidRPr="00CA0EDF">
              <w:rPr>
                <w:rFonts w:ascii="Times New Roman" w:hAnsi="Times New Roman"/>
                <w:sz w:val="16"/>
                <w:szCs w:val="16"/>
              </w:rPr>
              <w:t>Pro</w:t>
            </w:r>
            <w:r w:rsidR="00593F71" w:rsidRPr="00CA0EDF">
              <w:rPr>
                <w:rFonts w:ascii="Times New Roman" w:hAnsi="Times New Roman"/>
                <w:sz w:val="16"/>
                <w:szCs w:val="16"/>
              </w:rPr>
              <w:t>xy</w:t>
            </w:r>
            <w:r w:rsidRPr="00CA0EDF">
              <w:rPr>
                <w:rFonts w:ascii="Times New Roman" w:hAnsi="Times New Roman"/>
                <w:sz w:val="16"/>
                <w:szCs w:val="16"/>
              </w:rPr>
              <w:t xml:space="preserve"> para Assimetria</w:t>
            </w:r>
          </w:p>
          <w:p w14:paraId="1890A205" w14:textId="5A91B346" w:rsidR="0084785E" w:rsidRPr="00CA0EDF" w:rsidRDefault="0084785E" w:rsidP="00C210BA">
            <w:pPr>
              <w:rPr>
                <w:rFonts w:ascii="Times New Roman" w:hAnsi="Times New Roman"/>
                <w:sz w:val="16"/>
                <w:szCs w:val="16"/>
              </w:rPr>
            </w:pPr>
          </w:p>
        </w:tc>
        <w:tc>
          <w:tcPr>
            <w:tcW w:w="1559" w:type="dxa"/>
            <w:vAlign w:val="center"/>
          </w:tcPr>
          <w:p w14:paraId="7FA4644B" w14:textId="02678F86" w:rsidR="00BE05D1" w:rsidRPr="00CA0EDF" w:rsidRDefault="00BE05D1" w:rsidP="00835FD0">
            <w:pPr>
              <w:rPr>
                <w:rFonts w:ascii="Times New Roman" w:hAnsi="Times New Roman"/>
                <w:sz w:val="16"/>
                <w:szCs w:val="16"/>
              </w:rPr>
            </w:pPr>
            <w:r w:rsidRPr="00CA0EDF">
              <w:rPr>
                <w:rFonts w:ascii="Times New Roman" w:hAnsi="Times New Roman"/>
                <w:sz w:val="16"/>
                <w:szCs w:val="16"/>
              </w:rPr>
              <w:t>Liquidez em bols</w:t>
            </w:r>
            <w:r w:rsidR="009B27BA" w:rsidRPr="00CA0EDF">
              <w:rPr>
                <w:rFonts w:ascii="Times New Roman" w:hAnsi="Times New Roman"/>
                <w:sz w:val="16"/>
                <w:szCs w:val="16"/>
              </w:rPr>
              <w:t>a</w:t>
            </w:r>
          </w:p>
        </w:tc>
        <w:tc>
          <w:tcPr>
            <w:tcW w:w="3119" w:type="dxa"/>
            <w:vAlign w:val="center"/>
          </w:tcPr>
          <w:p w14:paraId="60A88037" w14:textId="77777777" w:rsidR="00BE05D1" w:rsidRPr="00CA0EDF" w:rsidRDefault="00BE05D1" w:rsidP="00835FD0">
            <w:pPr>
              <w:spacing w:line="360" w:lineRule="auto"/>
              <w:jc w:val="both"/>
              <w:rPr>
                <w:rFonts w:ascii="Times New Roman" w:eastAsia="Times New Roman" w:hAnsi="Times New Roman"/>
                <w:sz w:val="16"/>
                <w:szCs w:val="16"/>
              </w:rPr>
            </w:pPr>
            <m:oMathPara>
              <m:oMath>
                <m:r>
                  <w:rPr>
                    <w:rFonts w:ascii="Cambria Math" w:hAnsi="Cambria Math"/>
                    <w:sz w:val="16"/>
                    <w:szCs w:val="16"/>
                  </w:rPr>
                  <m:t>Liq</m:t>
                </m:r>
                <m:r>
                  <m:rPr>
                    <m:sty m:val="p"/>
                  </m:rPr>
                  <w:rPr>
                    <w:rFonts w:ascii="Cambria Math" w:hAnsi="Cambria Math"/>
                    <w:sz w:val="16"/>
                    <w:szCs w:val="16"/>
                  </w:rPr>
                  <m:t>=100 ×</m:t>
                </m:r>
                <m:f>
                  <m:fPr>
                    <m:ctrlPr>
                      <w:rPr>
                        <w:rFonts w:ascii="Cambria Math" w:hAnsi="Cambria Math"/>
                        <w:sz w:val="16"/>
                        <w:szCs w:val="16"/>
                      </w:rPr>
                    </m:ctrlPr>
                  </m:fPr>
                  <m:num>
                    <m:r>
                      <w:rPr>
                        <w:rFonts w:ascii="Cambria Math" w:hAnsi="Cambria Math"/>
                        <w:sz w:val="16"/>
                        <w:szCs w:val="16"/>
                      </w:rPr>
                      <m:t>p</m:t>
                    </m:r>
                  </m:num>
                  <m:den>
                    <m:r>
                      <w:rPr>
                        <w:rFonts w:ascii="Cambria Math" w:hAnsi="Cambria Math"/>
                        <w:sz w:val="16"/>
                        <w:szCs w:val="16"/>
                      </w:rPr>
                      <m:t>P</m:t>
                    </m:r>
                    <m:r>
                      <m:rPr>
                        <m:sty m:val="p"/>
                      </m:rPr>
                      <w:rPr>
                        <w:rFonts w:ascii="Cambria Math" w:hAnsi="Cambria Math"/>
                        <w:sz w:val="16"/>
                        <w:szCs w:val="16"/>
                      </w:rPr>
                      <m:t xml:space="preserve"> </m:t>
                    </m:r>
                  </m:den>
                </m:f>
                <m:r>
                  <m:rPr>
                    <m:sty m:val="p"/>
                  </m:rP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n</m:t>
                    </m:r>
                  </m:num>
                  <m:den>
                    <m:r>
                      <w:rPr>
                        <w:rFonts w:ascii="Cambria Math" w:hAnsi="Cambria Math"/>
                        <w:sz w:val="16"/>
                        <w:szCs w:val="16"/>
                      </w:rPr>
                      <m:t>N</m:t>
                    </m:r>
                  </m:den>
                </m:f>
                <m:r>
                  <m:rPr>
                    <m:sty m:val="p"/>
                  </m:rP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v</m:t>
                    </m:r>
                  </m:num>
                  <m:den>
                    <m:r>
                      <w:rPr>
                        <w:rFonts w:ascii="Cambria Math" w:hAnsi="Cambria Math"/>
                        <w:sz w:val="16"/>
                        <w:szCs w:val="16"/>
                      </w:rPr>
                      <m:t>V</m:t>
                    </m:r>
                  </m:den>
                </m:f>
              </m:oMath>
            </m:oMathPara>
          </w:p>
          <w:p w14:paraId="3B4B9845" w14:textId="77777777" w:rsidR="00BE05D1" w:rsidRPr="00CA0EDF" w:rsidRDefault="00BE05D1" w:rsidP="00835FD0">
            <w:pPr>
              <w:jc w:val="center"/>
              <w:rPr>
                <w:rFonts w:ascii="Times New Roman" w:hAnsi="Times New Roman"/>
                <w:bCs/>
                <w:sz w:val="16"/>
                <w:szCs w:val="16"/>
              </w:rPr>
            </w:pPr>
          </w:p>
        </w:tc>
        <w:tc>
          <w:tcPr>
            <w:tcW w:w="992" w:type="dxa"/>
            <w:vAlign w:val="center"/>
          </w:tcPr>
          <w:p w14:paraId="5E1D642F" w14:textId="1B323537"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 xml:space="preserve">Negativa </w:t>
            </w:r>
          </w:p>
        </w:tc>
        <w:tc>
          <w:tcPr>
            <w:tcW w:w="1703" w:type="dxa"/>
            <w:vAlign w:val="center"/>
          </w:tcPr>
          <w:p w14:paraId="2899461A" w14:textId="77777777"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Albanez (2008).</w:t>
            </w:r>
          </w:p>
        </w:tc>
      </w:tr>
      <w:tr w:rsidR="00BE05D1" w:rsidRPr="00CA0EDF" w14:paraId="6F223AD3" w14:textId="77777777" w:rsidTr="00C210BA">
        <w:tc>
          <w:tcPr>
            <w:tcW w:w="1838" w:type="dxa"/>
            <w:vAlign w:val="center"/>
          </w:tcPr>
          <w:p w14:paraId="4276A21D" w14:textId="77777777" w:rsidR="00BE05D1" w:rsidRPr="00CA0EDF" w:rsidRDefault="00BE05D1" w:rsidP="00C210BA">
            <w:pPr>
              <w:rPr>
                <w:rFonts w:ascii="Times New Roman" w:hAnsi="Times New Roman"/>
                <w:sz w:val="16"/>
                <w:szCs w:val="16"/>
              </w:rPr>
            </w:pPr>
            <w:r w:rsidRPr="00CA0EDF">
              <w:rPr>
                <w:rFonts w:ascii="Times New Roman" w:hAnsi="Times New Roman"/>
                <w:sz w:val="16"/>
                <w:szCs w:val="16"/>
              </w:rPr>
              <w:t>Explicativa</w:t>
            </w:r>
          </w:p>
          <w:p w14:paraId="2E25CB5C" w14:textId="156EEFD4" w:rsidR="0084785E" w:rsidRPr="00CA0EDF" w:rsidRDefault="0084785E" w:rsidP="00C210BA">
            <w:pPr>
              <w:rPr>
                <w:rFonts w:ascii="Times New Roman" w:hAnsi="Times New Roman"/>
                <w:sz w:val="16"/>
                <w:szCs w:val="16"/>
              </w:rPr>
            </w:pPr>
            <w:r w:rsidRPr="00CA0EDF">
              <w:rPr>
                <w:rFonts w:ascii="Times New Roman" w:hAnsi="Times New Roman"/>
                <w:sz w:val="16"/>
                <w:szCs w:val="16"/>
              </w:rPr>
              <w:t>Prox</w:t>
            </w:r>
            <w:r w:rsidR="00593F71" w:rsidRPr="00CA0EDF">
              <w:rPr>
                <w:rFonts w:ascii="Times New Roman" w:hAnsi="Times New Roman"/>
                <w:sz w:val="16"/>
                <w:szCs w:val="16"/>
              </w:rPr>
              <w:t>y</w:t>
            </w:r>
            <w:r w:rsidRPr="00CA0EDF">
              <w:rPr>
                <w:rFonts w:ascii="Times New Roman" w:hAnsi="Times New Roman"/>
                <w:sz w:val="16"/>
                <w:szCs w:val="16"/>
              </w:rPr>
              <w:t xml:space="preserve"> para Assimetria</w:t>
            </w:r>
          </w:p>
        </w:tc>
        <w:tc>
          <w:tcPr>
            <w:tcW w:w="1559" w:type="dxa"/>
            <w:vAlign w:val="center"/>
          </w:tcPr>
          <w:p w14:paraId="7AF74BDB" w14:textId="77777777" w:rsidR="00BE05D1" w:rsidRPr="00CA0EDF" w:rsidRDefault="00BE05D1" w:rsidP="00835FD0">
            <w:pPr>
              <w:rPr>
                <w:rFonts w:ascii="Times New Roman" w:hAnsi="Times New Roman"/>
                <w:sz w:val="16"/>
                <w:szCs w:val="16"/>
              </w:rPr>
            </w:pPr>
            <w:r w:rsidRPr="00CA0EDF">
              <w:rPr>
                <w:rFonts w:ascii="Times New Roman" w:hAnsi="Times New Roman"/>
                <w:sz w:val="16"/>
                <w:szCs w:val="16"/>
              </w:rPr>
              <w:t>Volatilidade</w:t>
            </w:r>
          </w:p>
        </w:tc>
        <w:tc>
          <w:tcPr>
            <w:tcW w:w="3119" w:type="dxa"/>
            <w:vAlign w:val="center"/>
          </w:tcPr>
          <w:p w14:paraId="7C25FCAD" w14:textId="77777777" w:rsidR="00BE05D1" w:rsidRPr="00CA0EDF" w:rsidRDefault="00BE05D1" w:rsidP="00835FD0">
            <w:pPr>
              <w:spacing w:line="360" w:lineRule="auto"/>
              <w:jc w:val="both"/>
              <w:rPr>
                <w:rFonts w:ascii="Times New Roman" w:hAnsi="Times New Roman"/>
                <w:sz w:val="16"/>
                <w:szCs w:val="16"/>
              </w:rPr>
            </w:pPr>
            <m:oMathPara>
              <m:oMath>
                <m:r>
                  <w:rPr>
                    <w:rFonts w:ascii="Cambria Math" w:hAnsi="Cambria Math"/>
                    <w:sz w:val="16"/>
                    <w:szCs w:val="16"/>
                  </w:rPr>
                  <m:t>Volat</m:t>
                </m:r>
                <m:r>
                  <m:rPr>
                    <m:sty m:val="p"/>
                  </m:rPr>
                  <w:rPr>
                    <w:rFonts w:ascii="Cambria Math" w:hAnsi="Cambria Math"/>
                    <w:sz w:val="16"/>
                    <w:szCs w:val="16"/>
                  </w:rPr>
                  <m:t xml:space="preserve">= </m:t>
                </m:r>
                <m:rad>
                  <m:radPr>
                    <m:degHide m:val="1"/>
                    <m:ctrlPr>
                      <w:rPr>
                        <w:rFonts w:ascii="Cambria Math" w:hAnsi="Cambria Math"/>
                        <w:sz w:val="16"/>
                        <w:szCs w:val="16"/>
                      </w:rPr>
                    </m:ctrlPr>
                  </m:radPr>
                  <m:deg/>
                  <m:e>
                    <m:eqArr>
                      <m:eqArrPr>
                        <m:ctrlPr>
                          <w:rPr>
                            <w:rFonts w:ascii="Cambria Math" w:hAnsi="Cambria Math"/>
                            <w:sz w:val="16"/>
                            <w:szCs w:val="16"/>
                          </w:rPr>
                        </m:ctrlPr>
                      </m:eqArrPr>
                      <m:e>
                        <m:r>
                          <m:rPr>
                            <m:sty m:val="p"/>
                          </m:rPr>
                          <w:rPr>
                            <w:rFonts w:ascii="Cambria Math" w:hAnsi="Cambria Math"/>
                            <w:sz w:val="16"/>
                            <w:szCs w:val="16"/>
                          </w:rPr>
                          <m:t>∑</m:t>
                        </m:r>
                        <m:sSup>
                          <m:sSupPr>
                            <m:ctrlPr>
                              <w:rPr>
                                <w:rFonts w:ascii="Cambria Math" w:hAnsi="Cambria Math"/>
                                <w:sz w:val="16"/>
                                <w:szCs w:val="16"/>
                              </w:rPr>
                            </m:ctrlPr>
                          </m:sSupPr>
                          <m:e>
                            <m:d>
                              <m:dPr>
                                <m:ctrlPr>
                                  <w:rPr>
                                    <w:rFonts w:ascii="Cambria Math" w:hAnsi="Cambria Math"/>
                                    <w:sz w:val="16"/>
                                    <w:szCs w:val="16"/>
                                  </w:rPr>
                                </m:ctrlPr>
                              </m:dPr>
                              <m:e>
                                <m:r>
                                  <m:rPr>
                                    <m:sty m:val="p"/>
                                  </m:rPr>
                                  <w:rPr>
                                    <w:rFonts w:ascii="Cambria Math" w:hAnsi="Cambria Math"/>
                                    <w:sz w:val="16"/>
                                    <w:szCs w:val="16"/>
                                  </w:rPr>
                                  <m:t>Si-Sm</m:t>
                                </m:r>
                              </m:e>
                            </m:d>
                          </m:e>
                          <m:sup>
                            <m:r>
                              <m:rPr>
                                <m:sty m:val="p"/>
                              </m:rPr>
                              <w:rPr>
                                <w:rFonts w:ascii="Cambria Math" w:hAnsi="Cambria Math"/>
                                <w:sz w:val="16"/>
                                <w:szCs w:val="16"/>
                              </w:rPr>
                              <m:t>2</m:t>
                            </m:r>
                          </m:sup>
                        </m:sSup>
                        <m:ctrlPr>
                          <w:rPr>
                            <w:rFonts w:ascii="Cambria Math" w:hAnsi="Cambria Math"/>
                            <w:i/>
                            <w:sz w:val="16"/>
                            <w:szCs w:val="16"/>
                          </w:rPr>
                        </m:ctrlPr>
                      </m:e>
                      <m:e>
                        <m:r>
                          <w:rPr>
                            <w:rFonts w:ascii="Cambria Math" w:hAnsi="Cambria Math"/>
                            <w:sz w:val="16"/>
                            <w:szCs w:val="16"/>
                          </w:rPr>
                          <m:t>______________</m:t>
                        </m:r>
                        <m:ctrlPr>
                          <w:rPr>
                            <w:rFonts w:ascii="Cambria Math" w:eastAsia="Cambria Math" w:hAnsi="Cambria Math"/>
                            <w:i/>
                            <w:sz w:val="16"/>
                            <w:szCs w:val="16"/>
                          </w:rPr>
                        </m:ctrlPr>
                      </m:e>
                      <m:e>
                        <m:r>
                          <w:rPr>
                            <w:rFonts w:ascii="Cambria Math" w:hAnsi="Cambria Math"/>
                            <w:sz w:val="16"/>
                            <w:szCs w:val="16"/>
                          </w:rPr>
                          <m:t>n X PPA</m:t>
                        </m:r>
                        <m:ctrlPr>
                          <w:rPr>
                            <w:rFonts w:ascii="Cambria Math" w:hAnsi="Cambria Math"/>
                            <w:i/>
                            <w:sz w:val="16"/>
                            <w:szCs w:val="16"/>
                          </w:rPr>
                        </m:ctrlPr>
                      </m:e>
                    </m:eqArr>
                  </m:e>
                </m:rad>
              </m:oMath>
            </m:oMathPara>
          </w:p>
        </w:tc>
        <w:tc>
          <w:tcPr>
            <w:tcW w:w="992" w:type="dxa"/>
            <w:vAlign w:val="center"/>
          </w:tcPr>
          <w:p w14:paraId="585B7D3F" w14:textId="1714A3ED"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 xml:space="preserve">Negativa </w:t>
            </w:r>
          </w:p>
        </w:tc>
        <w:tc>
          <w:tcPr>
            <w:tcW w:w="1703" w:type="dxa"/>
            <w:vAlign w:val="center"/>
          </w:tcPr>
          <w:p w14:paraId="48E0B23A" w14:textId="77777777"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Albanez (2008).</w:t>
            </w:r>
          </w:p>
        </w:tc>
      </w:tr>
      <w:tr w:rsidR="00BE05D1" w:rsidRPr="00CA0EDF" w14:paraId="4E65C584" w14:textId="77777777" w:rsidTr="00C210BA">
        <w:tc>
          <w:tcPr>
            <w:tcW w:w="1838" w:type="dxa"/>
            <w:vAlign w:val="center"/>
          </w:tcPr>
          <w:p w14:paraId="6D31403C" w14:textId="77777777" w:rsidR="00BE05D1" w:rsidRPr="00CA0EDF" w:rsidRDefault="00BE05D1" w:rsidP="00C210BA">
            <w:pPr>
              <w:rPr>
                <w:rFonts w:ascii="Times New Roman" w:hAnsi="Times New Roman"/>
                <w:sz w:val="16"/>
                <w:szCs w:val="16"/>
              </w:rPr>
            </w:pPr>
            <w:r w:rsidRPr="00CA0EDF">
              <w:rPr>
                <w:rFonts w:ascii="Times New Roman" w:hAnsi="Times New Roman"/>
                <w:sz w:val="16"/>
                <w:szCs w:val="16"/>
              </w:rPr>
              <w:t>Explicativa</w:t>
            </w:r>
          </w:p>
          <w:p w14:paraId="0F37B61A" w14:textId="7A5B74C1" w:rsidR="0084785E" w:rsidRPr="00CA0EDF" w:rsidRDefault="00776339" w:rsidP="00C210BA">
            <w:pPr>
              <w:rPr>
                <w:rFonts w:ascii="Times New Roman" w:hAnsi="Times New Roman"/>
                <w:sz w:val="16"/>
                <w:szCs w:val="16"/>
              </w:rPr>
            </w:pPr>
            <w:r w:rsidRPr="00CA0EDF">
              <w:rPr>
                <w:rFonts w:ascii="Times New Roman" w:hAnsi="Times New Roman"/>
                <w:sz w:val="16"/>
                <w:szCs w:val="16"/>
              </w:rPr>
              <w:t xml:space="preserve">Proxy </w:t>
            </w:r>
            <w:r w:rsidR="0084785E" w:rsidRPr="00CA0EDF">
              <w:rPr>
                <w:rFonts w:ascii="Times New Roman" w:hAnsi="Times New Roman"/>
                <w:sz w:val="16"/>
                <w:szCs w:val="16"/>
              </w:rPr>
              <w:t>para Assimetria</w:t>
            </w:r>
          </w:p>
        </w:tc>
        <w:tc>
          <w:tcPr>
            <w:tcW w:w="1559" w:type="dxa"/>
            <w:vAlign w:val="center"/>
          </w:tcPr>
          <w:p w14:paraId="6751CA40" w14:textId="77777777" w:rsidR="00BE05D1" w:rsidRPr="00CA0EDF" w:rsidRDefault="00BE05D1" w:rsidP="00835FD0">
            <w:pPr>
              <w:rPr>
                <w:rFonts w:ascii="Times New Roman" w:hAnsi="Times New Roman"/>
                <w:sz w:val="16"/>
                <w:szCs w:val="16"/>
              </w:rPr>
            </w:pPr>
            <w:r w:rsidRPr="00CA0EDF">
              <w:rPr>
                <w:rFonts w:ascii="Times New Roman" w:hAnsi="Times New Roman"/>
                <w:sz w:val="16"/>
                <w:szCs w:val="16"/>
              </w:rPr>
              <w:t>Intensidade de negócio</w:t>
            </w:r>
          </w:p>
        </w:tc>
        <w:tc>
          <w:tcPr>
            <w:tcW w:w="3119" w:type="dxa"/>
            <w:vAlign w:val="center"/>
          </w:tcPr>
          <w:p w14:paraId="591B0286" w14:textId="4B225D35"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Intensidade de negócio = Qtde de Negóci</w:t>
            </w:r>
            <w:r w:rsidR="00773963" w:rsidRPr="00CA0EDF">
              <w:rPr>
                <w:rFonts w:ascii="Times New Roman" w:hAnsi="Times New Roman"/>
                <w:sz w:val="16"/>
                <w:szCs w:val="16"/>
              </w:rPr>
              <w:t>os / Qtde de títulos da empresa</w:t>
            </w:r>
          </w:p>
        </w:tc>
        <w:tc>
          <w:tcPr>
            <w:tcW w:w="992" w:type="dxa"/>
            <w:vAlign w:val="center"/>
          </w:tcPr>
          <w:p w14:paraId="7C3CA692" w14:textId="3CD58D10" w:rsidR="00BE05D1" w:rsidRPr="00CA0EDF" w:rsidRDefault="005A40A7" w:rsidP="00835FD0">
            <w:pPr>
              <w:jc w:val="center"/>
              <w:rPr>
                <w:rFonts w:ascii="Times New Roman" w:hAnsi="Times New Roman"/>
                <w:sz w:val="16"/>
                <w:szCs w:val="16"/>
              </w:rPr>
            </w:pPr>
            <w:r w:rsidRPr="00CA0EDF">
              <w:rPr>
                <w:rFonts w:ascii="Times New Roman" w:hAnsi="Times New Roman"/>
                <w:sz w:val="16"/>
                <w:szCs w:val="16"/>
              </w:rPr>
              <w:t>Negativa</w:t>
            </w:r>
          </w:p>
        </w:tc>
        <w:tc>
          <w:tcPr>
            <w:tcW w:w="1703" w:type="dxa"/>
            <w:vAlign w:val="center"/>
          </w:tcPr>
          <w:p w14:paraId="3DCF225B" w14:textId="77777777"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Albanez (2008).</w:t>
            </w:r>
          </w:p>
        </w:tc>
      </w:tr>
      <w:tr w:rsidR="00BE05D1" w:rsidRPr="00CA0EDF" w14:paraId="258A059C" w14:textId="77777777" w:rsidTr="00C210BA">
        <w:tc>
          <w:tcPr>
            <w:tcW w:w="1838" w:type="dxa"/>
            <w:vAlign w:val="center"/>
          </w:tcPr>
          <w:p w14:paraId="5FE93B3B" w14:textId="77777777" w:rsidR="00BE05D1" w:rsidRPr="00CA0EDF" w:rsidRDefault="00BE05D1" w:rsidP="00C210BA">
            <w:pPr>
              <w:rPr>
                <w:rFonts w:ascii="Times New Roman" w:hAnsi="Times New Roman"/>
                <w:sz w:val="16"/>
                <w:szCs w:val="16"/>
              </w:rPr>
            </w:pPr>
            <w:r w:rsidRPr="00CA0EDF">
              <w:rPr>
                <w:rFonts w:ascii="Times New Roman" w:hAnsi="Times New Roman"/>
                <w:sz w:val="16"/>
                <w:szCs w:val="16"/>
              </w:rPr>
              <w:t>Explicativa</w:t>
            </w:r>
          </w:p>
          <w:p w14:paraId="01BB8DE9" w14:textId="485DB08E" w:rsidR="0084785E" w:rsidRPr="00CA0EDF" w:rsidRDefault="0084785E" w:rsidP="00C210BA">
            <w:pPr>
              <w:rPr>
                <w:rFonts w:ascii="Times New Roman" w:hAnsi="Times New Roman"/>
                <w:sz w:val="16"/>
                <w:szCs w:val="16"/>
              </w:rPr>
            </w:pPr>
            <w:r w:rsidRPr="00CA0EDF">
              <w:rPr>
                <w:rFonts w:ascii="Times New Roman" w:hAnsi="Times New Roman"/>
                <w:sz w:val="16"/>
                <w:szCs w:val="16"/>
              </w:rPr>
              <w:t>Prox</w:t>
            </w:r>
            <w:r w:rsidR="00593F71" w:rsidRPr="00CA0EDF">
              <w:rPr>
                <w:rFonts w:ascii="Times New Roman" w:hAnsi="Times New Roman"/>
                <w:sz w:val="16"/>
                <w:szCs w:val="16"/>
              </w:rPr>
              <w:t>y</w:t>
            </w:r>
            <w:r w:rsidRPr="00CA0EDF">
              <w:rPr>
                <w:rFonts w:ascii="Times New Roman" w:hAnsi="Times New Roman"/>
                <w:sz w:val="16"/>
                <w:szCs w:val="16"/>
              </w:rPr>
              <w:t xml:space="preserve"> para Assimetria</w:t>
            </w:r>
          </w:p>
        </w:tc>
        <w:tc>
          <w:tcPr>
            <w:tcW w:w="1559" w:type="dxa"/>
            <w:vAlign w:val="center"/>
          </w:tcPr>
          <w:p w14:paraId="133FE4E9" w14:textId="77777777" w:rsidR="00BE05D1" w:rsidRPr="00CA0EDF" w:rsidRDefault="00BE05D1" w:rsidP="00835FD0">
            <w:pPr>
              <w:rPr>
                <w:rFonts w:ascii="Times New Roman" w:hAnsi="Times New Roman"/>
                <w:sz w:val="16"/>
                <w:szCs w:val="16"/>
              </w:rPr>
            </w:pPr>
            <w:r w:rsidRPr="00CA0EDF">
              <w:rPr>
                <w:rFonts w:ascii="Times New Roman" w:hAnsi="Times New Roman"/>
                <w:sz w:val="16"/>
                <w:szCs w:val="16"/>
              </w:rPr>
              <w:t>Bid-ask spread</w:t>
            </w:r>
          </w:p>
        </w:tc>
        <w:tc>
          <w:tcPr>
            <w:tcW w:w="3119" w:type="dxa"/>
            <w:vAlign w:val="center"/>
          </w:tcPr>
          <w:p w14:paraId="153D7A25" w14:textId="77777777" w:rsidR="00BE05D1" w:rsidRPr="00CA0EDF" w:rsidRDefault="00BE05D1" w:rsidP="00835FD0">
            <w:pPr>
              <w:jc w:val="center"/>
              <w:rPr>
                <w:rFonts w:ascii="Times New Roman" w:hAnsi="Times New Roman"/>
                <w:sz w:val="16"/>
                <w:szCs w:val="16"/>
              </w:rPr>
            </w:pPr>
            <m:oMathPara>
              <m:oMath>
                <m:r>
                  <w:rPr>
                    <w:rFonts w:ascii="Cambria Math" w:hAnsi="Cambria Math"/>
                    <w:sz w:val="16"/>
                    <w:szCs w:val="16"/>
                  </w:rPr>
                  <m:t>BAS</m:t>
                </m:r>
                <m:r>
                  <m:rPr>
                    <m:sty m:val="p"/>
                  </m:rPr>
                  <w:rPr>
                    <w:rFonts w:ascii="Cambria Math" w:hAnsi="Cambria Math"/>
                    <w:sz w:val="16"/>
                    <w:szCs w:val="16"/>
                  </w:rPr>
                  <m:t xml:space="preserve">= </m:t>
                </m:r>
                <m:f>
                  <m:fPr>
                    <m:ctrlPr>
                      <w:rPr>
                        <w:rFonts w:ascii="Cambria Math" w:hAnsi="Cambria Math"/>
                        <w:sz w:val="16"/>
                        <w:szCs w:val="16"/>
                      </w:rPr>
                    </m:ctrlPr>
                  </m:fPr>
                  <m:num>
                    <m:r>
                      <m:rPr>
                        <m:sty m:val="p"/>
                      </m:rPr>
                      <w:rPr>
                        <w:rFonts w:ascii="Cambria Math" w:hAnsi="Cambria Math"/>
                        <w:sz w:val="16"/>
                        <w:szCs w:val="16"/>
                      </w:rPr>
                      <m:t>pv-pc</m:t>
                    </m:r>
                  </m:num>
                  <m:den>
                    <m:f>
                      <m:fPr>
                        <m:ctrlPr>
                          <w:rPr>
                            <w:rFonts w:ascii="Cambria Math" w:hAnsi="Cambria Math"/>
                            <w:i/>
                            <w:sz w:val="16"/>
                            <w:szCs w:val="16"/>
                          </w:rPr>
                        </m:ctrlPr>
                      </m:fPr>
                      <m:num>
                        <m:r>
                          <w:rPr>
                            <w:rFonts w:ascii="Cambria Math" w:hAnsi="Cambria Math"/>
                            <w:sz w:val="16"/>
                            <w:szCs w:val="16"/>
                          </w:rPr>
                          <m:t>pv+pc</m:t>
                        </m:r>
                      </m:num>
                      <m:den>
                        <m:r>
                          <w:rPr>
                            <w:rFonts w:ascii="Cambria Math" w:hAnsi="Cambria Math"/>
                            <w:sz w:val="16"/>
                            <w:szCs w:val="16"/>
                          </w:rPr>
                          <m:t>2</m:t>
                        </m:r>
                      </m:den>
                    </m:f>
                    <m:r>
                      <w:rPr>
                        <w:rFonts w:ascii="Cambria Math" w:hAnsi="Cambria Math"/>
                        <w:sz w:val="16"/>
                        <w:szCs w:val="16"/>
                      </w:rPr>
                      <m:t xml:space="preserve"> </m:t>
                    </m:r>
                  </m:den>
                </m:f>
              </m:oMath>
            </m:oMathPara>
          </w:p>
          <w:p w14:paraId="72838A19" w14:textId="77777777" w:rsidR="00BE05D1" w:rsidRPr="00CA0EDF" w:rsidRDefault="00BE05D1" w:rsidP="00835FD0">
            <w:pPr>
              <w:jc w:val="center"/>
              <w:rPr>
                <w:rFonts w:ascii="Times New Roman" w:hAnsi="Times New Roman"/>
                <w:bCs/>
                <w:sz w:val="16"/>
                <w:szCs w:val="16"/>
              </w:rPr>
            </w:pPr>
          </w:p>
        </w:tc>
        <w:tc>
          <w:tcPr>
            <w:tcW w:w="992" w:type="dxa"/>
            <w:vAlign w:val="center"/>
          </w:tcPr>
          <w:p w14:paraId="3B55C4D0" w14:textId="57E33759"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Positiva</w:t>
            </w:r>
          </w:p>
        </w:tc>
        <w:tc>
          <w:tcPr>
            <w:tcW w:w="1703" w:type="dxa"/>
            <w:vAlign w:val="center"/>
          </w:tcPr>
          <w:p w14:paraId="7F332E86" w14:textId="77777777" w:rsidR="00BE05D1" w:rsidRPr="00CA0EDF" w:rsidRDefault="0084785E" w:rsidP="00835FD0">
            <w:pPr>
              <w:jc w:val="center"/>
              <w:rPr>
                <w:rFonts w:ascii="Times New Roman" w:hAnsi="Times New Roman"/>
                <w:sz w:val="16"/>
                <w:szCs w:val="16"/>
              </w:rPr>
            </w:pPr>
            <w:r w:rsidRPr="00CA0EDF">
              <w:rPr>
                <w:rFonts w:ascii="Times New Roman" w:hAnsi="Times New Roman"/>
                <w:sz w:val="16"/>
                <w:szCs w:val="16"/>
              </w:rPr>
              <w:t>Boone (1998);</w:t>
            </w:r>
          </w:p>
          <w:p w14:paraId="646C3069" w14:textId="2335DAB0" w:rsidR="0084785E" w:rsidRPr="00CA0EDF" w:rsidRDefault="0084785E" w:rsidP="00835FD0">
            <w:pPr>
              <w:jc w:val="center"/>
              <w:rPr>
                <w:rFonts w:ascii="Times New Roman" w:hAnsi="Times New Roman"/>
                <w:sz w:val="16"/>
                <w:szCs w:val="16"/>
              </w:rPr>
            </w:pPr>
            <w:r w:rsidRPr="00CA0EDF">
              <w:rPr>
                <w:rFonts w:ascii="Times New Roman" w:hAnsi="Times New Roman"/>
                <w:sz w:val="16"/>
                <w:szCs w:val="16"/>
              </w:rPr>
              <w:t>Oliveira, Paulo e Martins (2013).</w:t>
            </w:r>
          </w:p>
        </w:tc>
      </w:tr>
      <w:tr w:rsidR="00BE05D1" w:rsidRPr="00CA0EDF" w14:paraId="71423A47" w14:textId="77777777" w:rsidTr="00773963">
        <w:tc>
          <w:tcPr>
            <w:tcW w:w="9211" w:type="dxa"/>
            <w:gridSpan w:val="5"/>
            <w:vAlign w:val="center"/>
          </w:tcPr>
          <w:p w14:paraId="3B0606DE" w14:textId="77777777" w:rsidR="00BE05D1" w:rsidRPr="00CA0EDF" w:rsidRDefault="00BE05D1" w:rsidP="00835FD0">
            <w:pPr>
              <w:jc w:val="center"/>
              <w:rPr>
                <w:rFonts w:ascii="Times New Roman" w:hAnsi="Times New Roman"/>
                <w:b/>
                <w:sz w:val="16"/>
                <w:szCs w:val="16"/>
              </w:rPr>
            </w:pPr>
            <w:r w:rsidRPr="00CA0EDF">
              <w:rPr>
                <w:rFonts w:ascii="Times New Roman" w:hAnsi="Times New Roman"/>
                <w:b/>
                <w:color w:val="FF0000"/>
                <w:sz w:val="16"/>
                <w:szCs w:val="16"/>
              </w:rPr>
              <w:t xml:space="preserve">VARIÁVEIS </w:t>
            </w:r>
            <w:r w:rsidRPr="00CA0EDF">
              <w:rPr>
                <w:rFonts w:ascii="Times New Roman" w:hAnsi="Times New Roman"/>
                <w:b/>
                <w:i/>
                <w:color w:val="FF0000"/>
                <w:sz w:val="16"/>
                <w:szCs w:val="16"/>
              </w:rPr>
              <w:t>DUMMIES</w:t>
            </w:r>
          </w:p>
        </w:tc>
      </w:tr>
      <w:tr w:rsidR="00BE05D1" w:rsidRPr="00CA0EDF" w14:paraId="3CC13579" w14:textId="77777777" w:rsidTr="00C210BA">
        <w:tc>
          <w:tcPr>
            <w:tcW w:w="1838" w:type="dxa"/>
            <w:vAlign w:val="center"/>
          </w:tcPr>
          <w:p w14:paraId="1F621955" w14:textId="626BCF60" w:rsidR="00BE05D1" w:rsidRPr="00CA0EDF" w:rsidRDefault="00BE05D1" w:rsidP="00835FD0">
            <w:pPr>
              <w:rPr>
                <w:rFonts w:ascii="Times New Roman" w:hAnsi="Times New Roman"/>
                <w:sz w:val="16"/>
                <w:szCs w:val="16"/>
              </w:rPr>
            </w:pPr>
            <w:r w:rsidRPr="00CA0EDF">
              <w:rPr>
                <w:rFonts w:ascii="Times New Roman" w:hAnsi="Times New Roman"/>
                <w:sz w:val="16"/>
                <w:szCs w:val="16"/>
              </w:rPr>
              <w:t>Explicativa</w:t>
            </w:r>
            <w:r w:rsidR="00677F43" w:rsidRPr="00CA0EDF">
              <w:rPr>
                <w:rFonts w:ascii="Times New Roman" w:hAnsi="Times New Roman"/>
                <w:sz w:val="16"/>
                <w:szCs w:val="16"/>
              </w:rPr>
              <w:t xml:space="preserve"> Proxy para Assimetria</w:t>
            </w:r>
          </w:p>
        </w:tc>
        <w:tc>
          <w:tcPr>
            <w:tcW w:w="1559" w:type="dxa"/>
            <w:vAlign w:val="center"/>
          </w:tcPr>
          <w:p w14:paraId="117286C8" w14:textId="77777777" w:rsidR="00BE05D1" w:rsidRPr="00CA0EDF" w:rsidRDefault="00BE05D1" w:rsidP="00835FD0">
            <w:pPr>
              <w:rPr>
                <w:rFonts w:ascii="Times New Roman" w:hAnsi="Times New Roman"/>
                <w:sz w:val="16"/>
                <w:szCs w:val="16"/>
              </w:rPr>
            </w:pPr>
            <w:r w:rsidRPr="00CA0EDF">
              <w:rPr>
                <w:rFonts w:ascii="Times New Roman" w:hAnsi="Times New Roman"/>
                <w:sz w:val="16"/>
                <w:szCs w:val="16"/>
              </w:rPr>
              <w:t>Troféu transparência</w:t>
            </w:r>
          </w:p>
        </w:tc>
        <w:tc>
          <w:tcPr>
            <w:tcW w:w="3119" w:type="dxa"/>
            <w:vAlign w:val="center"/>
          </w:tcPr>
          <w:p w14:paraId="71A96345" w14:textId="77777777"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Assume valor 1 se:</w:t>
            </w:r>
          </w:p>
          <w:p w14:paraId="0A524C40" w14:textId="55B91A9C" w:rsidR="00593F71" w:rsidRPr="00CA0EDF" w:rsidRDefault="00BE05D1" w:rsidP="00677F43">
            <w:pPr>
              <w:jc w:val="center"/>
              <w:rPr>
                <w:rFonts w:ascii="Times New Roman" w:hAnsi="Times New Roman"/>
                <w:bCs/>
                <w:sz w:val="16"/>
                <w:szCs w:val="16"/>
              </w:rPr>
            </w:pPr>
            <w:r w:rsidRPr="00CA0EDF">
              <w:rPr>
                <w:rFonts w:ascii="Times New Roman" w:hAnsi="Times New Roman"/>
                <w:sz w:val="16"/>
                <w:szCs w:val="16"/>
              </w:rPr>
              <w:t xml:space="preserve"> Empresas indicadas ao prêmio “Troféu Transparência” da Associação Nacional dos Executivos de Finanças, Administração e Contabilidade </w:t>
            </w:r>
            <w:r w:rsidR="00593F71" w:rsidRPr="00CA0EDF">
              <w:rPr>
                <w:rFonts w:ascii="Times New Roman" w:hAnsi="Times New Roman"/>
                <w:sz w:val="16"/>
                <w:szCs w:val="16"/>
              </w:rPr>
              <w:t>–</w:t>
            </w:r>
            <w:r w:rsidRPr="00CA0EDF">
              <w:rPr>
                <w:rFonts w:ascii="Times New Roman" w:hAnsi="Times New Roman"/>
                <w:sz w:val="16"/>
                <w:szCs w:val="16"/>
              </w:rPr>
              <w:t xml:space="preserve"> ANEFAC</w:t>
            </w:r>
            <w:r w:rsidR="00677F43" w:rsidRPr="00CA0EDF">
              <w:rPr>
                <w:rFonts w:ascii="Times New Roman" w:hAnsi="Times New Roman"/>
                <w:sz w:val="16"/>
                <w:szCs w:val="16"/>
              </w:rPr>
              <w:t xml:space="preserve">. </w:t>
            </w:r>
            <w:r w:rsidR="00593F71" w:rsidRPr="00CA0EDF">
              <w:rPr>
                <w:rFonts w:ascii="Times New Roman" w:hAnsi="Times New Roman"/>
                <w:sz w:val="16"/>
                <w:szCs w:val="16"/>
              </w:rPr>
              <w:t>Assume valor 0 em caso contrário</w:t>
            </w:r>
          </w:p>
        </w:tc>
        <w:tc>
          <w:tcPr>
            <w:tcW w:w="992" w:type="dxa"/>
            <w:vAlign w:val="center"/>
          </w:tcPr>
          <w:p w14:paraId="1243E23C" w14:textId="15810336" w:rsidR="00BE05D1" w:rsidRPr="00CA0EDF" w:rsidRDefault="005A40A7" w:rsidP="00835FD0">
            <w:pPr>
              <w:jc w:val="center"/>
              <w:rPr>
                <w:rFonts w:ascii="Times New Roman" w:hAnsi="Times New Roman"/>
                <w:sz w:val="16"/>
                <w:szCs w:val="16"/>
              </w:rPr>
            </w:pPr>
            <w:r w:rsidRPr="00CA0EDF">
              <w:rPr>
                <w:rFonts w:ascii="Times New Roman" w:hAnsi="Times New Roman"/>
                <w:sz w:val="16"/>
                <w:szCs w:val="16"/>
              </w:rPr>
              <w:t>Negativa</w:t>
            </w:r>
          </w:p>
        </w:tc>
        <w:tc>
          <w:tcPr>
            <w:tcW w:w="1703" w:type="dxa"/>
            <w:vAlign w:val="center"/>
          </w:tcPr>
          <w:p w14:paraId="514AC700" w14:textId="77777777" w:rsidR="00BE05D1" w:rsidRPr="00CA0EDF" w:rsidRDefault="00BE05D1" w:rsidP="00835FD0">
            <w:pPr>
              <w:jc w:val="center"/>
              <w:rPr>
                <w:rFonts w:ascii="Times New Roman" w:hAnsi="Times New Roman"/>
                <w:sz w:val="16"/>
                <w:szCs w:val="16"/>
              </w:rPr>
            </w:pPr>
            <w:r w:rsidRPr="00CA0EDF">
              <w:rPr>
                <w:rFonts w:ascii="Times New Roman" w:hAnsi="Times New Roman"/>
                <w:sz w:val="16"/>
                <w:szCs w:val="16"/>
              </w:rPr>
              <w:t>Albanez (2008).</w:t>
            </w:r>
          </w:p>
        </w:tc>
      </w:tr>
    </w:tbl>
    <w:p w14:paraId="5B2D4111" w14:textId="1E75BB44" w:rsidR="00BE05D1" w:rsidRPr="00EF2A33" w:rsidRDefault="00BE05D1" w:rsidP="00835FD0">
      <w:pPr>
        <w:spacing w:line="360" w:lineRule="auto"/>
        <w:jc w:val="both"/>
        <w:rPr>
          <w:sz w:val="22"/>
          <w:szCs w:val="22"/>
        </w:rPr>
      </w:pPr>
      <w:r w:rsidRPr="00EF2A33">
        <w:rPr>
          <w:sz w:val="22"/>
          <w:szCs w:val="22"/>
        </w:rPr>
        <w:t xml:space="preserve">Fonte: </w:t>
      </w:r>
      <w:r w:rsidR="009B27BA" w:rsidRPr="00EF2A33">
        <w:rPr>
          <w:sz w:val="22"/>
          <w:szCs w:val="22"/>
        </w:rPr>
        <w:t>d</w:t>
      </w:r>
      <w:r w:rsidR="007517FB" w:rsidRPr="00EF2A33">
        <w:rPr>
          <w:sz w:val="22"/>
          <w:szCs w:val="22"/>
        </w:rPr>
        <w:t>ados da pesquisa (2017</w:t>
      </w:r>
      <w:r w:rsidRPr="00EF2A33">
        <w:rPr>
          <w:sz w:val="22"/>
          <w:szCs w:val="22"/>
        </w:rPr>
        <w:t>).</w:t>
      </w:r>
    </w:p>
    <w:p w14:paraId="0BFDEF8A" w14:textId="4E955FBE" w:rsidR="002077C0" w:rsidRPr="00EF2A33" w:rsidRDefault="002077C0" w:rsidP="00835FD0">
      <w:pPr>
        <w:spacing w:line="360" w:lineRule="auto"/>
        <w:jc w:val="both"/>
        <w:rPr>
          <w:sz w:val="22"/>
          <w:szCs w:val="22"/>
        </w:rPr>
      </w:pPr>
    </w:p>
    <w:p w14:paraId="1D940AE1" w14:textId="7D3E251D" w:rsidR="00D52F1C" w:rsidRPr="00EF2A33" w:rsidRDefault="00D52F1C" w:rsidP="00592267">
      <w:pPr>
        <w:pStyle w:val="Ttulo2"/>
        <w:spacing w:before="0" w:after="0"/>
        <w:rPr>
          <w:sz w:val="22"/>
          <w:szCs w:val="22"/>
        </w:rPr>
      </w:pPr>
      <w:bookmarkStart w:id="33" w:name="_Toc494451355"/>
      <w:r w:rsidRPr="00EF2A33">
        <w:rPr>
          <w:sz w:val="22"/>
          <w:szCs w:val="22"/>
        </w:rPr>
        <w:t>MODELO ECONOMÉTRICO</w:t>
      </w:r>
      <w:bookmarkEnd w:id="33"/>
    </w:p>
    <w:p w14:paraId="44E98D58" w14:textId="77777777" w:rsidR="00835FD0" w:rsidRPr="00EF2A33" w:rsidRDefault="00835FD0" w:rsidP="00592267">
      <w:pPr>
        <w:spacing w:line="360" w:lineRule="auto"/>
        <w:ind w:firstLine="709"/>
        <w:jc w:val="both"/>
        <w:rPr>
          <w:sz w:val="22"/>
          <w:szCs w:val="22"/>
        </w:rPr>
      </w:pPr>
    </w:p>
    <w:p w14:paraId="64BC411E" w14:textId="76ACA825" w:rsidR="0066189B" w:rsidRPr="00EF2A33" w:rsidRDefault="002A478C" w:rsidP="00592267">
      <w:pPr>
        <w:spacing w:line="360" w:lineRule="auto"/>
        <w:ind w:firstLine="709"/>
        <w:jc w:val="both"/>
        <w:rPr>
          <w:sz w:val="22"/>
          <w:szCs w:val="22"/>
        </w:rPr>
      </w:pPr>
      <w:r w:rsidRPr="00EF2A33">
        <w:rPr>
          <w:sz w:val="22"/>
          <w:szCs w:val="22"/>
        </w:rPr>
        <w:t xml:space="preserve">Seguindo as diretrizes da </w:t>
      </w:r>
      <w:r w:rsidR="0066189B" w:rsidRPr="00EF2A33">
        <w:rPr>
          <w:sz w:val="22"/>
          <w:szCs w:val="22"/>
        </w:rPr>
        <w:t>literatura</w:t>
      </w:r>
      <w:r w:rsidRPr="00EF2A33">
        <w:rPr>
          <w:sz w:val="22"/>
          <w:szCs w:val="22"/>
        </w:rPr>
        <w:t xml:space="preserve">, optou-se por rodar </w:t>
      </w:r>
      <w:r w:rsidR="00CE74D5" w:rsidRPr="00EF2A33">
        <w:rPr>
          <w:sz w:val="22"/>
          <w:szCs w:val="22"/>
        </w:rPr>
        <w:t xml:space="preserve">dois </w:t>
      </w:r>
      <w:r w:rsidRPr="00EF2A33">
        <w:rPr>
          <w:sz w:val="22"/>
          <w:szCs w:val="22"/>
        </w:rPr>
        <w:t>modelos</w:t>
      </w:r>
      <w:r w:rsidR="00CE74D5" w:rsidRPr="00EF2A33">
        <w:rPr>
          <w:sz w:val="22"/>
          <w:szCs w:val="22"/>
        </w:rPr>
        <w:t xml:space="preserve"> distintos para cada país, tendo cada um deles </w:t>
      </w:r>
      <w:r w:rsidR="004762B1" w:rsidRPr="00EF2A33">
        <w:rPr>
          <w:sz w:val="22"/>
          <w:szCs w:val="22"/>
        </w:rPr>
        <w:t xml:space="preserve">como variável dependente </w:t>
      </w:r>
      <w:r w:rsidR="00D959AE" w:rsidRPr="00EF2A33">
        <w:rPr>
          <w:sz w:val="22"/>
          <w:szCs w:val="22"/>
        </w:rPr>
        <w:t>a relação entre o passivo oneroso de curto prazo</w:t>
      </w:r>
      <w:r w:rsidRPr="00EF2A33">
        <w:rPr>
          <w:sz w:val="22"/>
          <w:szCs w:val="22"/>
        </w:rPr>
        <w:t xml:space="preserve"> e o ativo</w:t>
      </w:r>
      <w:r w:rsidR="004762B1" w:rsidRPr="00EF2A33">
        <w:rPr>
          <w:sz w:val="22"/>
          <w:szCs w:val="22"/>
        </w:rPr>
        <w:t xml:space="preserve">. </w:t>
      </w:r>
      <w:r w:rsidR="00684442" w:rsidRPr="00EF2A33">
        <w:rPr>
          <w:sz w:val="22"/>
          <w:szCs w:val="22"/>
        </w:rPr>
        <w:t xml:space="preserve">Ainda, o modelo conta com uma variável </w:t>
      </w:r>
      <w:r w:rsidR="00684442" w:rsidRPr="00EF2A33">
        <w:rPr>
          <w:i/>
          <w:sz w:val="22"/>
          <w:szCs w:val="22"/>
        </w:rPr>
        <w:t>dummy</w:t>
      </w:r>
      <w:r w:rsidR="00684442" w:rsidRPr="00EF2A33">
        <w:rPr>
          <w:sz w:val="22"/>
          <w:szCs w:val="22"/>
        </w:rPr>
        <w:t xml:space="preserve">. Sobre ela, é </w:t>
      </w:r>
      <w:r w:rsidR="00593F71" w:rsidRPr="00EF2A33">
        <w:rPr>
          <w:sz w:val="22"/>
          <w:szCs w:val="22"/>
        </w:rPr>
        <w:t>importante destacar</w:t>
      </w:r>
      <w:r w:rsidR="00684442" w:rsidRPr="00EF2A33">
        <w:rPr>
          <w:sz w:val="22"/>
          <w:szCs w:val="22"/>
        </w:rPr>
        <w:t xml:space="preserve"> </w:t>
      </w:r>
      <w:r w:rsidR="00593F71" w:rsidRPr="00EF2A33">
        <w:rPr>
          <w:sz w:val="22"/>
          <w:szCs w:val="22"/>
        </w:rPr>
        <w:t xml:space="preserve">que </w:t>
      </w:r>
      <w:r w:rsidR="00684442" w:rsidRPr="00EF2A33">
        <w:rPr>
          <w:sz w:val="22"/>
          <w:szCs w:val="22"/>
        </w:rPr>
        <w:t xml:space="preserve">para esse tipo de variável, testa-se se </w:t>
      </w:r>
      <w:r w:rsidR="00593F71" w:rsidRPr="00EF2A33">
        <w:rPr>
          <w:sz w:val="22"/>
          <w:szCs w:val="22"/>
        </w:rPr>
        <w:t>o efeito qualitativo existe. Ou seja, se o coeficiente associado a tal variável binária for estatisticamente significativo é porque para a amostra em questão, independente das variáveis quantitativas</w:t>
      </w:r>
      <w:r w:rsidR="002D5BB6" w:rsidRPr="00EF2A33">
        <w:rPr>
          <w:sz w:val="22"/>
          <w:szCs w:val="22"/>
        </w:rPr>
        <w:t>, tais efeitos qualitativos influenciam o nível de endividamento.</w:t>
      </w:r>
      <w:r w:rsidR="00684442" w:rsidRPr="00EF2A33">
        <w:rPr>
          <w:sz w:val="22"/>
          <w:szCs w:val="22"/>
        </w:rPr>
        <w:t xml:space="preserve"> </w:t>
      </w:r>
      <w:r w:rsidR="0066189B" w:rsidRPr="00EF2A33">
        <w:rPr>
          <w:sz w:val="22"/>
          <w:szCs w:val="22"/>
        </w:rPr>
        <w:t>Os modelos propostos são:</w:t>
      </w:r>
    </w:p>
    <w:p w14:paraId="6DEF68FE" w14:textId="5976322B" w:rsidR="000C0C79" w:rsidRPr="00EF2A33" w:rsidRDefault="000C0C79" w:rsidP="00592267">
      <w:pPr>
        <w:tabs>
          <w:tab w:val="left" w:pos="3928"/>
        </w:tabs>
        <w:spacing w:line="360" w:lineRule="auto"/>
        <w:ind w:firstLine="709"/>
        <w:jc w:val="both"/>
        <w:rPr>
          <w:sz w:val="22"/>
          <w:szCs w:val="22"/>
        </w:rPr>
      </w:pPr>
    </w:p>
    <w:p w14:paraId="266F8340" w14:textId="6F057A7E" w:rsidR="000C0C79" w:rsidRPr="00EF2A33" w:rsidRDefault="00600849" w:rsidP="00592267">
      <w:pPr>
        <w:tabs>
          <w:tab w:val="left" w:pos="3928"/>
        </w:tabs>
        <w:spacing w:line="360" w:lineRule="auto"/>
        <w:ind w:firstLine="709"/>
        <w:jc w:val="both"/>
        <w:rPr>
          <w:sz w:val="22"/>
          <w:szCs w:val="22"/>
        </w:rPr>
      </w:pPr>
      <w:r w:rsidRPr="00EF2A33">
        <w:rPr>
          <w:sz w:val="22"/>
          <w:szCs w:val="22"/>
        </w:rPr>
        <w:t>Empresas b</w:t>
      </w:r>
      <w:r w:rsidR="000C0C79" w:rsidRPr="00EF2A33">
        <w:rPr>
          <w:sz w:val="22"/>
          <w:szCs w:val="22"/>
        </w:rPr>
        <w:t>rasileiras</w:t>
      </w:r>
      <w:r w:rsidR="007E3E5D" w:rsidRPr="00EF2A33">
        <w:rPr>
          <w:sz w:val="22"/>
          <w:szCs w:val="22"/>
        </w:rPr>
        <w:t>:</w:t>
      </w:r>
    </w:p>
    <w:p w14:paraId="2C1F6CAE" w14:textId="77777777" w:rsidR="000C0C79" w:rsidRPr="00EF2A33" w:rsidRDefault="000C0C79" w:rsidP="00592267">
      <w:pPr>
        <w:tabs>
          <w:tab w:val="left" w:pos="3928"/>
        </w:tabs>
        <w:spacing w:line="360" w:lineRule="auto"/>
        <w:ind w:firstLine="709"/>
        <w:jc w:val="both"/>
        <w:rPr>
          <w:sz w:val="22"/>
          <w:szCs w:val="22"/>
        </w:rPr>
      </w:pPr>
    </w:p>
    <w:p w14:paraId="5CB3EE08" w14:textId="4F2C1D0E" w:rsidR="00455D99" w:rsidRPr="00EF2A33" w:rsidRDefault="000C0C79" w:rsidP="00592267">
      <w:pPr>
        <w:spacing w:line="360" w:lineRule="auto"/>
        <w:ind w:firstLine="709"/>
        <w:jc w:val="both"/>
        <w:rPr>
          <w:sz w:val="22"/>
          <w:szCs w:val="22"/>
        </w:rPr>
      </w:pPr>
      <w:r w:rsidRPr="00EF2A33">
        <w:rPr>
          <w:sz w:val="22"/>
          <w:szCs w:val="22"/>
        </w:rPr>
        <w:t xml:space="preserve">Modelo 1: </w:t>
      </w:r>
      <m:oMath>
        <m:sSub>
          <m:sSubPr>
            <m:ctrlPr>
              <w:rPr>
                <w:rFonts w:ascii="Cambria Math" w:hAnsi="Cambria Math"/>
                <w:i/>
                <w:sz w:val="22"/>
                <w:szCs w:val="22"/>
              </w:rPr>
            </m:ctrlPr>
          </m:sSubPr>
          <m:e>
            <m:r>
              <m:rPr>
                <m:sty m:val="p"/>
              </m:rPr>
              <w:rPr>
                <w:rFonts w:ascii="Cambria Math" w:hAnsi="Cambria Math"/>
                <w:sz w:val="22"/>
                <w:szCs w:val="22"/>
              </w:rPr>
              <m:t>FinCP/A</m:t>
            </m:r>
          </m:e>
          <m:sub>
            <m:r>
              <w:rPr>
                <w:rFonts w:ascii="Cambria Math" w:hAnsi="Cambria Math"/>
                <w:sz w:val="22"/>
                <w:szCs w:val="22"/>
              </w:rPr>
              <m:t>it</m:t>
            </m:r>
          </m:sub>
        </m:sSub>
        <m:r>
          <w:rPr>
            <w:rFonts w:ascii="Cambria Math" w:hAnsi="Cambria Math"/>
            <w:sz w:val="22"/>
            <w:szCs w:val="22"/>
          </w:rPr>
          <m:t>=α+</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RENT</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TAM</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3</m:t>
            </m:r>
          </m:sub>
        </m:sSub>
        <m:sSub>
          <m:sSubPr>
            <m:ctrlPr>
              <w:rPr>
                <w:rFonts w:ascii="Cambria Math" w:hAnsi="Cambria Math"/>
                <w:i/>
                <w:sz w:val="22"/>
                <w:szCs w:val="22"/>
              </w:rPr>
            </m:ctrlPr>
          </m:sSubPr>
          <m:e>
            <m:r>
              <w:rPr>
                <w:rFonts w:ascii="Cambria Math" w:hAnsi="Cambria Math"/>
                <w:sz w:val="22"/>
                <w:szCs w:val="22"/>
              </w:rPr>
              <m:t>TANG</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4</m:t>
            </m:r>
          </m:sub>
        </m:sSub>
        <m:sSub>
          <m:sSubPr>
            <m:ctrlPr>
              <w:rPr>
                <w:rFonts w:ascii="Cambria Math" w:hAnsi="Cambria Math"/>
                <w:i/>
                <w:sz w:val="22"/>
                <w:szCs w:val="22"/>
              </w:rPr>
            </m:ctrlPr>
          </m:sSubPr>
          <m:e>
            <m:r>
              <w:rPr>
                <w:rFonts w:ascii="Cambria Math" w:hAnsi="Cambria Math"/>
                <w:sz w:val="22"/>
                <w:szCs w:val="22"/>
              </w:rPr>
              <m:t>OPOR</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5</m:t>
            </m:r>
          </m:sub>
        </m:sSub>
        <m:sSub>
          <m:sSubPr>
            <m:ctrlPr>
              <w:rPr>
                <w:rFonts w:ascii="Cambria Math" w:hAnsi="Cambria Math"/>
                <w:i/>
                <w:sz w:val="22"/>
                <w:szCs w:val="22"/>
              </w:rPr>
            </m:ctrlPr>
          </m:sSubPr>
          <m:e>
            <m:r>
              <w:rPr>
                <w:rFonts w:ascii="Cambria Math" w:hAnsi="Cambria Math"/>
                <w:sz w:val="22"/>
                <w:szCs w:val="22"/>
              </w:rPr>
              <m:t>RISC</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6</m:t>
            </m:r>
          </m:sub>
        </m:sSub>
        <m:sSub>
          <m:sSubPr>
            <m:ctrlPr>
              <w:rPr>
                <w:rFonts w:ascii="Cambria Math" w:hAnsi="Cambria Math"/>
                <w:i/>
                <w:sz w:val="22"/>
                <w:szCs w:val="22"/>
              </w:rPr>
            </m:ctrlPr>
          </m:sSubPr>
          <m:e>
            <m:r>
              <w:rPr>
                <w:rFonts w:ascii="Cambria Math" w:hAnsi="Cambria Math"/>
                <w:sz w:val="22"/>
                <w:szCs w:val="22"/>
              </w:rPr>
              <m:t>LIQ</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7</m:t>
            </m:r>
          </m:sub>
        </m:sSub>
        <m:sSub>
          <m:sSubPr>
            <m:ctrlPr>
              <w:rPr>
                <w:rFonts w:ascii="Cambria Math" w:hAnsi="Cambria Math"/>
                <w:i/>
                <w:sz w:val="22"/>
                <w:szCs w:val="22"/>
              </w:rPr>
            </m:ctrlPr>
          </m:sSubPr>
          <m:e>
            <m:r>
              <w:rPr>
                <w:rFonts w:ascii="Cambria Math" w:hAnsi="Cambria Math"/>
                <w:sz w:val="22"/>
                <w:szCs w:val="22"/>
              </w:rPr>
              <m:t>VOL</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8</m:t>
            </m:r>
          </m:sub>
        </m:sSub>
        <m:sSub>
          <m:sSubPr>
            <m:ctrlPr>
              <w:rPr>
                <w:rFonts w:ascii="Cambria Math" w:hAnsi="Cambria Math"/>
                <w:i/>
                <w:sz w:val="22"/>
                <w:szCs w:val="22"/>
              </w:rPr>
            </m:ctrlPr>
          </m:sSubPr>
          <m:e>
            <m:r>
              <w:rPr>
                <w:rFonts w:ascii="Cambria Math" w:hAnsi="Cambria Math"/>
                <w:sz w:val="22"/>
                <w:szCs w:val="22"/>
              </w:rPr>
              <m:t>INT</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9</m:t>
            </m:r>
          </m:sub>
        </m:sSub>
        <m:sSub>
          <m:sSubPr>
            <m:ctrlPr>
              <w:rPr>
                <w:rFonts w:ascii="Cambria Math" w:hAnsi="Cambria Math"/>
                <w:i/>
                <w:sz w:val="22"/>
                <w:szCs w:val="22"/>
              </w:rPr>
            </m:ctrlPr>
          </m:sSubPr>
          <m:e>
            <m:r>
              <w:rPr>
                <w:rFonts w:ascii="Cambria Math" w:hAnsi="Cambria Math"/>
                <w:sz w:val="22"/>
                <w:szCs w:val="22"/>
              </w:rPr>
              <m:t>BAS</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δ</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TRANSP</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it</m:t>
            </m:r>
          </m:sub>
        </m:sSub>
      </m:oMath>
    </w:p>
    <w:p w14:paraId="191265A6" w14:textId="180139B6" w:rsidR="0066189B" w:rsidRPr="00EF2A33" w:rsidRDefault="0066189B" w:rsidP="00592267">
      <w:pPr>
        <w:spacing w:line="360" w:lineRule="auto"/>
        <w:ind w:firstLine="709"/>
        <w:jc w:val="both"/>
        <w:rPr>
          <w:sz w:val="22"/>
          <w:szCs w:val="22"/>
        </w:rPr>
      </w:pPr>
    </w:p>
    <w:p w14:paraId="181A491B" w14:textId="7BB7DDDC" w:rsidR="000C0C79" w:rsidRPr="00EF2A33" w:rsidRDefault="00600849" w:rsidP="00592267">
      <w:pPr>
        <w:tabs>
          <w:tab w:val="left" w:pos="3928"/>
        </w:tabs>
        <w:spacing w:line="360" w:lineRule="auto"/>
        <w:ind w:firstLine="709"/>
        <w:jc w:val="both"/>
        <w:rPr>
          <w:sz w:val="22"/>
          <w:szCs w:val="22"/>
        </w:rPr>
      </w:pPr>
      <w:r w:rsidRPr="00EF2A33">
        <w:rPr>
          <w:sz w:val="22"/>
          <w:szCs w:val="22"/>
        </w:rPr>
        <w:t>Empresas n</w:t>
      </w:r>
      <w:r w:rsidR="000C0C79" w:rsidRPr="00EF2A33">
        <w:rPr>
          <w:sz w:val="22"/>
          <w:szCs w:val="22"/>
        </w:rPr>
        <w:t>orte-americanas:</w:t>
      </w:r>
    </w:p>
    <w:p w14:paraId="43734F00" w14:textId="77777777" w:rsidR="000C0C79" w:rsidRPr="00EF2A33" w:rsidRDefault="000C0C79" w:rsidP="00592267">
      <w:pPr>
        <w:tabs>
          <w:tab w:val="left" w:pos="3928"/>
        </w:tabs>
        <w:spacing w:line="360" w:lineRule="auto"/>
        <w:ind w:firstLine="709"/>
        <w:jc w:val="both"/>
        <w:rPr>
          <w:sz w:val="22"/>
          <w:szCs w:val="22"/>
        </w:rPr>
      </w:pPr>
    </w:p>
    <w:p w14:paraId="39AA83B3" w14:textId="677BEDC1" w:rsidR="000C0C79" w:rsidRPr="00EF2A33" w:rsidRDefault="000C0C79" w:rsidP="00592267">
      <w:pPr>
        <w:spacing w:line="360" w:lineRule="auto"/>
        <w:ind w:firstLine="709"/>
        <w:jc w:val="both"/>
        <w:rPr>
          <w:sz w:val="22"/>
          <w:szCs w:val="22"/>
        </w:rPr>
      </w:pPr>
      <w:r w:rsidRPr="00EF2A33">
        <w:rPr>
          <w:sz w:val="22"/>
          <w:szCs w:val="22"/>
        </w:rPr>
        <w:t xml:space="preserve">Modelo </w:t>
      </w:r>
      <w:r w:rsidR="00C210BA" w:rsidRPr="00EF2A33">
        <w:rPr>
          <w:sz w:val="22"/>
          <w:szCs w:val="22"/>
        </w:rPr>
        <w:t>2</w:t>
      </w:r>
      <w:r w:rsidRPr="00EF2A33">
        <w:rPr>
          <w:sz w:val="22"/>
          <w:szCs w:val="22"/>
        </w:rPr>
        <w:t xml:space="preserve">: </w:t>
      </w:r>
      <m:oMath>
        <m:sSub>
          <m:sSubPr>
            <m:ctrlPr>
              <w:rPr>
                <w:rFonts w:ascii="Cambria Math" w:hAnsi="Cambria Math"/>
                <w:i/>
                <w:sz w:val="22"/>
                <w:szCs w:val="22"/>
              </w:rPr>
            </m:ctrlPr>
          </m:sSubPr>
          <m:e>
            <m:r>
              <m:rPr>
                <m:sty m:val="p"/>
              </m:rPr>
              <w:rPr>
                <w:rFonts w:ascii="Cambria Math" w:hAnsi="Cambria Math"/>
                <w:sz w:val="22"/>
                <w:szCs w:val="22"/>
              </w:rPr>
              <m:t>FinCP/A</m:t>
            </m:r>
          </m:e>
          <m:sub>
            <m:r>
              <w:rPr>
                <w:rFonts w:ascii="Cambria Math" w:hAnsi="Cambria Math"/>
                <w:sz w:val="22"/>
                <w:szCs w:val="22"/>
              </w:rPr>
              <m:t>it</m:t>
            </m:r>
          </m:sub>
        </m:sSub>
        <m:r>
          <w:rPr>
            <w:rFonts w:ascii="Cambria Math" w:hAnsi="Cambria Math"/>
            <w:sz w:val="22"/>
            <w:szCs w:val="22"/>
          </w:rPr>
          <m:t>=α+</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RENT</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TAM</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3</m:t>
            </m:r>
          </m:sub>
        </m:sSub>
        <m:sSub>
          <m:sSubPr>
            <m:ctrlPr>
              <w:rPr>
                <w:rFonts w:ascii="Cambria Math" w:hAnsi="Cambria Math"/>
                <w:i/>
                <w:sz w:val="22"/>
                <w:szCs w:val="22"/>
              </w:rPr>
            </m:ctrlPr>
          </m:sSubPr>
          <m:e>
            <m:r>
              <w:rPr>
                <w:rFonts w:ascii="Cambria Math" w:hAnsi="Cambria Math"/>
                <w:sz w:val="22"/>
                <w:szCs w:val="22"/>
              </w:rPr>
              <m:t>TANG</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4</m:t>
            </m:r>
          </m:sub>
        </m:sSub>
        <m:sSub>
          <m:sSubPr>
            <m:ctrlPr>
              <w:rPr>
                <w:rFonts w:ascii="Cambria Math" w:hAnsi="Cambria Math"/>
                <w:i/>
                <w:sz w:val="22"/>
                <w:szCs w:val="22"/>
              </w:rPr>
            </m:ctrlPr>
          </m:sSubPr>
          <m:e>
            <m:r>
              <w:rPr>
                <w:rFonts w:ascii="Cambria Math" w:hAnsi="Cambria Math"/>
                <w:sz w:val="22"/>
                <w:szCs w:val="22"/>
              </w:rPr>
              <m:t>OPOR</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5</m:t>
            </m:r>
          </m:sub>
        </m:sSub>
        <m:sSub>
          <m:sSubPr>
            <m:ctrlPr>
              <w:rPr>
                <w:rFonts w:ascii="Cambria Math" w:hAnsi="Cambria Math"/>
                <w:i/>
                <w:sz w:val="22"/>
                <w:szCs w:val="22"/>
              </w:rPr>
            </m:ctrlPr>
          </m:sSubPr>
          <m:e>
            <m:r>
              <w:rPr>
                <w:rFonts w:ascii="Cambria Math" w:hAnsi="Cambria Math"/>
                <w:sz w:val="22"/>
                <w:szCs w:val="22"/>
              </w:rPr>
              <m:t>BAS</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6</m:t>
            </m:r>
          </m:sub>
        </m:sSub>
        <m:sSub>
          <m:sSubPr>
            <m:ctrlPr>
              <w:rPr>
                <w:rFonts w:ascii="Cambria Math" w:hAnsi="Cambria Math"/>
                <w:i/>
                <w:sz w:val="22"/>
                <w:szCs w:val="22"/>
              </w:rPr>
            </m:ctrlPr>
          </m:sSubPr>
          <m:e>
            <m:r>
              <w:rPr>
                <w:rFonts w:ascii="Cambria Math" w:hAnsi="Cambria Math"/>
                <w:sz w:val="22"/>
                <w:szCs w:val="22"/>
              </w:rPr>
              <m:t>INTENS</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it</m:t>
            </m:r>
          </m:sub>
        </m:sSub>
      </m:oMath>
    </w:p>
    <w:p w14:paraId="57EBE106" w14:textId="77777777" w:rsidR="00846578" w:rsidRPr="00EF2A33" w:rsidRDefault="00846578" w:rsidP="00592267">
      <w:pPr>
        <w:spacing w:line="360" w:lineRule="auto"/>
        <w:ind w:firstLine="709"/>
        <w:jc w:val="both"/>
        <w:rPr>
          <w:sz w:val="22"/>
          <w:szCs w:val="22"/>
        </w:rPr>
      </w:pPr>
    </w:p>
    <w:p w14:paraId="736FD1BD" w14:textId="50C5806F" w:rsidR="005A40A7" w:rsidRPr="00EF2A33" w:rsidRDefault="00846578" w:rsidP="00592267">
      <w:pPr>
        <w:tabs>
          <w:tab w:val="left" w:pos="3928"/>
        </w:tabs>
        <w:spacing w:line="360" w:lineRule="auto"/>
        <w:ind w:firstLine="709"/>
        <w:jc w:val="both"/>
        <w:rPr>
          <w:sz w:val="22"/>
          <w:szCs w:val="22"/>
        </w:rPr>
      </w:pPr>
      <w:r w:rsidRPr="00EF2A33">
        <w:rPr>
          <w:sz w:val="22"/>
          <w:szCs w:val="22"/>
        </w:rPr>
        <w:t xml:space="preserve">Como já informado, as variáveis foram coletadas na base de dados Economática, que em grande parte já oferece as variáveis prontas, sem necessidade de construção da variável a partir de dados. </w:t>
      </w:r>
      <w:bookmarkStart w:id="34" w:name="_Toc494451364"/>
    </w:p>
    <w:p w14:paraId="43DD0275" w14:textId="61E4114E" w:rsidR="00FC0ACA" w:rsidRPr="00EF2A33" w:rsidRDefault="00FC0ACA" w:rsidP="00592267">
      <w:pPr>
        <w:tabs>
          <w:tab w:val="left" w:pos="3928"/>
        </w:tabs>
        <w:spacing w:line="360" w:lineRule="auto"/>
        <w:ind w:firstLine="709"/>
        <w:jc w:val="both"/>
        <w:rPr>
          <w:sz w:val="22"/>
          <w:szCs w:val="22"/>
        </w:rPr>
      </w:pPr>
      <w:r w:rsidRPr="00EF2A33">
        <w:rPr>
          <w:sz w:val="22"/>
          <w:szCs w:val="22"/>
        </w:rPr>
        <w:t>Por fim, os modelos são diferentes para cada país dado que o número de variáveis ligadas à assimetria disponíveis para as empresas brasileiras é bastante maior do que as disponíveis para as empresas norte-americanas. Portanto, quando a variável brasileira não possuía correspondente para as empresas americanas, na tabela relativa à regressão ela foi assinalada com a sigla N/D (não disponível).</w:t>
      </w:r>
    </w:p>
    <w:p w14:paraId="0578CFFB" w14:textId="1E7117B3" w:rsidR="00FC0ACA" w:rsidRPr="00EF2A33" w:rsidRDefault="00FC0ACA" w:rsidP="00592267">
      <w:pPr>
        <w:tabs>
          <w:tab w:val="left" w:pos="3928"/>
        </w:tabs>
        <w:spacing w:line="360" w:lineRule="auto"/>
        <w:ind w:firstLine="709"/>
        <w:jc w:val="both"/>
        <w:rPr>
          <w:sz w:val="22"/>
          <w:szCs w:val="22"/>
        </w:rPr>
      </w:pPr>
    </w:p>
    <w:p w14:paraId="62D466A0" w14:textId="7C5CDD51" w:rsidR="006C2F5B" w:rsidRPr="00EF2A33" w:rsidRDefault="00340522" w:rsidP="00592267">
      <w:pPr>
        <w:tabs>
          <w:tab w:val="left" w:pos="3928"/>
        </w:tabs>
        <w:spacing w:line="360" w:lineRule="auto"/>
        <w:rPr>
          <w:b/>
          <w:sz w:val="22"/>
          <w:szCs w:val="22"/>
        </w:rPr>
      </w:pPr>
      <w:r w:rsidRPr="00EF2A33">
        <w:rPr>
          <w:b/>
          <w:sz w:val="22"/>
          <w:szCs w:val="22"/>
        </w:rPr>
        <w:t xml:space="preserve">4 </w:t>
      </w:r>
      <w:r w:rsidR="0046168C" w:rsidRPr="00EF2A33">
        <w:rPr>
          <w:b/>
          <w:sz w:val="22"/>
          <w:szCs w:val="22"/>
        </w:rPr>
        <w:t>ANÁLISE E DISCUSSÃO DOS RESULTADOS</w:t>
      </w:r>
      <w:bookmarkEnd w:id="34"/>
    </w:p>
    <w:p w14:paraId="11A355B4" w14:textId="77777777" w:rsidR="00E54F8A" w:rsidRPr="00EF2A33" w:rsidRDefault="00E54F8A" w:rsidP="00592267">
      <w:pPr>
        <w:tabs>
          <w:tab w:val="left" w:pos="3928"/>
        </w:tabs>
        <w:spacing w:line="360" w:lineRule="auto"/>
        <w:rPr>
          <w:b/>
          <w:sz w:val="22"/>
          <w:szCs w:val="22"/>
        </w:rPr>
      </w:pPr>
    </w:p>
    <w:p w14:paraId="7496905E" w14:textId="00ECBEBE" w:rsidR="00786D09" w:rsidRPr="00EF2A33" w:rsidRDefault="00786D09" w:rsidP="00592267">
      <w:pPr>
        <w:spacing w:line="360" w:lineRule="auto"/>
        <w:ind w:firstLine="709"/>
        <w:jc w:val="both"/>
        <w:rPr>
          <w:sz w:val="22"/>
          <w:szCs w:val="22"/>
        </w:rPr>
      </w:pPr>
      <w:r w:rsidRPr="00EF2A33">
        <w:rPr>
          <w:sz w:val="22"/>
          <w:szCs w:val="22"/>
        </w:rPr>
        <w:t>Esse estudo tem por objetivo analisar a influência da assimetria de informações sobre a estrutura de capital das empresas brasileiras e norte-americanas no período de 2011 a 2015, traçando um paralelo entre os resultados, identificando similaridades e discrepâncias.</w:t>
      </w:r>
    </w:p>
    <w:p w14:paraId="69861DBC" w14:textId="21628BDB" w:rsidR="00E3714F" w:rsidRPr="00EF2A33" w:rsidRDefault="00DC7038" w:rsidP="00592267">
      <w:pPr>
        <w:spacing w:line="360" w:lineRule="auto"/>
        <w:ind w:firstLine="709"/>
        <w:jc w:val="both"/>
        <w:rPr>
          <w:sz w:val="22"/>
          <w:szCs w:val="22"/>
        </w:rPr>
      </w:pPr>
      <w:r w:rsidRPr="00EF2A33">
        <w:rPr>
          <w:sz w:val="22"/>
          <w:szCs w:val="22"/>
        </w:rPr>
        <w:t>Antes de avaliarmos os resultados estatísticos, chamamos a atenção para a diferença entre as médias amostrais das principais variáveis do modelo, a com</w:t>
      </w:r>
      <w:r w:rsidR="00204A85" w:rsidRPr="00EF2A33">
        <w:rPr>
          <w:sz w:val="22"/>
          <w:szCs w:val="22"/>
        </w:rPr>
        <w:t xml:space="preserve">eçar pela variável dependente. </w:t>
      </w:r>
      <w:r w:rsidR="00777C55" w:rsidRPr="00EF2A33">
        <w:rPr>
          <w:sz w:val="22"/>
          <w:szCs w:val="22"/>
        </w:rPr>
        <w:t>Em relação às empresas norte-americanas, a média da variável d</w:t>
      </w:r>
      <w:r w:rsidR="00E02F78" w:rsidRPr="00EF2A33">
        <w:rPr>
          <w:sz w:val="22"/>
          <w:szCs w:val="22"/>
        </w:rPr>
        <w:t>ependente (endividamento de curt</w:t>
      </w:r>
      <w:r w:rsidR="00777C55" w:rsidRPr="00EF2A33">
        <w:rPr>
          <w:sz w:val="22"/>
          <w:szCs w:val="22"/>
        </w:rPr>
        <w:t xml:space="preserve">o prazo) foi de </w:t>
      </w:r>
      <w:r w:rsidR="00624E96" w:rsidRPr="00EF2A33">
        <w:rPr>
          <w:sz w:val="22"/>
          <w:szCs w:val="22"/>
        </w:rPr>
        <w:t>0,0</w:t>
      </w:r>
      <w:r w:rsidR="00DF6FCF" w:rsidRPr="00EF2A33">
        <w:rPr>
          <w:sz w:val="22"/>
          <w:szCs w:val="22"/>
        </w:rPr>
        <w:t xml:space="preserve">3 (amostra com empresas grandes) e </w:t>
      </w:r>
      <w:r w:rsidR="008E2574" w:rsidRPr="00EF2A33">
        <w:rPr>
          <w:sz w:val="22"/>
          <w:szCs w:val="22"/>
        </w:rPr>
        <w:t xml:space="preserve">também de </w:t>
      </w:r>
      <w:r w:rsidR="00DF6FCF" w:rsidRPr="00EF2A33">
        <w:rPr>
          <w:sz w:val="22"/>
          <w:szCs w:val="22"/>
        </w:rPr>
        <w:t>0,</w:t>
      </w:r>
      <w:r w:rsidR="008E2574" w:rsidRPr="00EF2A33">
        <w:rPr>
          <w:sz w:val="22"/>
          <w:szCs w:val="22"/>
        </w:rPr>
        <w:t>03</w:t>
      </w:r>
      <w:r w:rsidR="00DF6FCF" w:rsidRPr="00EF2A33">
        <w:rPr>
          <w:sz w:val="22"/>
          <w:szCs w:val="22"/>
        </w:rPr>
        <w:t xml:space="preserve"> (amostra com empresas pequenas)</w:t>
      </w:r>
      <w:r w:rsidR="000346FB" w:rsidRPr="00EF2A33">
        <w:rPr>
          <w:sz w:val="22"/>
          <w:szCs w:val="22"/>
        </w:rPr>
        <w:t xml:space="preserve">, enquanto que a média do endividamento das empresas brasileiras foi de </w:t>
      </w:r>
      <w:r w:rsidR="00DF6FCF" w:rsidRPr="00EF2A33">
        <w:rPr>
          <w:sz w:val="22"/>
          <w:szCs w:val="22"/>
        </w:rPr>
        <w:t>0,06 (empresas grandes) e 0,14 (empresas pequenas)</w:t>
      </w:r>
      <w:r w:rsidR="00C92E09" w:rsidRPr="00EF2A33">
        <w:rPr>
          <w:sz w:val="22"/>
          <w:szCs w:val="22"/>
        </w:rPr>
        <w:t>. A diferença verificada é imensa</w:t>
      </w:r>
      <w:r w:rsidR="00E712B1" w:rsidRPr="00EF2A33">
        <w:rPr>
          <w:sz w:val="22"/>
          <w:szCs w:val="22"/>
        </w:rPr>
        <w:t xml:space="preserve">, o que </w:t>
      </w:r>
      <w:r w:rsidR="00B92A38" w:rsidRPr="00EF2A33">
        <w:rPr>
          <w:sz w:val="22"/>
          <w:szCs w:val="22"/>
        </w:rPr>
        <w:t xml:space="preserve">sugere </w:t>
      </w:r>
      <w:r w:rsidR="00E712B1" w:rsidRPr="00EF2A33">
        <w:rPr>
          <w:sz w:val="22"/>
          <w:szCs w:val="22"/>
        </w:rPr>
        <w:t xml:space="preserve">que as </w:t>
      </w:r>
      <w:r w:rsidR="00DF6FCF" w:rsidRPr="00EF2A33">
        <w:rPr>
          <w:sz w:val="22"/>
          <w:szCs w:val="22"/>
        </w:rPr>
        <w:t xml:space="preserve">grandes empresas </w:t>
      </w:r>
      <w:r w:rsidR="00E712B1" w:rsidRPr="00EF2A33">
        <w:rPr>
          <w:sz w:val="22"/>
          <w:szCs w:val="22"/>
        </w:rPr>
        <w:t xml:space="preserve">brasileiras possuem um endividamento de curto prazo, na média, quase </w:t>
      </w:r>
      <w:r w:rsidR="00DF6FCF" w:rsidRPr="00EF2A33">
        <w:rPr>
          <w:sz w:val="22"/>
          <w:szCs w:val="22"/>
        </w:rPr>
        <w:t xml:space="preserve">duas </w:t>
      </w:r>
      <w:r w:rsidR="00E712B1" w:rsidRPr="00EF2A33">
        <w:rPr>
          <w:sz w:val="22"/>
          <w:szCs w:val="22"/>
        </w:rPr>
        <w:t xml:space="preserve">vezes superior ao endividamento de curto prazo das </w:t>
      </w:r>
      <w:r w:rsidR="00DF6FCF" w:rsidRPr="00EF2A33">
        <w:rPr>
          <w:sz w:val="22"/>
          <w:szCs w:val="22"/>
        </w:rPr>
        <w:t xml:space="preserve">grandes </w:t>
      </w:r>
      <w:r w:rsidR="00E712B1" w:rsidRPr="00EF2A33">
        <w:rPr>
          <w:sz w:val="22"/>
          <w:szCs w:val="22"/>
        </w:rPr>
        <w:t>empresas norte-americanas.</w:t>
      </w:r>
      <w:r w:rsidR="00DF6FCF" w:rsidRPr="00EF2A33">
        <w:rPr>
          <w:sz w:val="22"/>
          <w:szCs w:val="22"/>
        </w:rPr>
        <w:t xml:space="preserve"> </w:t>
      </w:r>
      <w:r w:rsidR="008E2574" w:rsidRPr="00EF2A33">
        <w:rPr>
          <w:sz w:val="22"/>
          <w:szCs w:val="22"/>
        </w:rPr>
        <w:t xml:space="preserve">Isso pode sugerir que, dadas as maiores facilidades na economia norte-americana, e o menor custo de captação de recursos, que as empresas estrangeiras prefiram recursos de longo prazo para financiar suas operações, operando com um volume de dívidas no curto prazo menor, conforme verificado. </w:t>
      </w:r>
      <w:r w:rsidR="00F7433A" w:rsidRPr="00EF2A33">
        <w:rPr>
          <w:sz w:val="22"/>
          <w:szCs w:val="22"/>
        </w:rPr>
        <w:t>No caso do Brasil, dadas as elevadas taxas de juros da economia, quanto maior o prazo do empréstimo, maior o custo do capital, o que talvez explique a preferência de um elevado número de empresas optar pelo financiamento de curto prazo, visando reduzir o custo total do recurso captado.</w:t>
      </w:r>
    </w:p>
    <w:p w14:paraId="34DC04C1" w14:textId="270E39F0" w:rsidR="008E2574" w:rsidRPr="00EF2A33" w:rsidRDefault="00115214" w:rsidP="00592267">
      <w:pPr>
        <w:spacing w:line="360" w:lineRule="auto"/>
        <w:ind w:firstLine="709"/>
        <w:jc w:val="both"/>
        <w:rPr>
          <w:sz w:val="22"/>
          <w:szCs w:val="22"/>
        </w:rPr>
      </w:pPr>
      <w:r w:rsidRPr="00EF2A33">
        <w:rPr>
          <w:sz w:val="22"/>
          <w:szCs w:val="22"/>
        </w:rPr>
        <w:lastRenderedPageBreak/>
        <w:t xml:space="preserve">Ainda analisando descritivamente as variáveis de interesse do estudo, no geral as variáveis apresentaram médias semelhantes entre os dois países. </w:t>
      </w:r>
      <w:r w:rsidR="008E2574" w:rsidRPr="00EF2A33">
        <w:rPr>
          <w:sz w:val="22"/>
          <w:szCs w:val="22"/>
        </w:rPr>
        <w:t>Curioso, no entanto, notar que a rentabilidade das empresas norte-americanas foi bastante superior à das empresas brasileiras. Enquanto que nas duas sub-amostras norte-americanas a rentabilidade foi, na média, de 0,8, a rentabilidade das empresas brasileiras foi de 0,06 para as grandes empresas e 0,03 para as pequenas, o que sugere que o ambiente econômico norte-americano propicia possibilidades para obtenção de maiores ganhos pelas empresas do que no hostil ambiente empresarial brasileiro.</w:t>
      </w:r>
    </w:p>
    <w:p w14:paraId="13913ACC" w14:textId="7AABB6FD" w:rsidR="00F7433A" w:rsidRPr="00EF2A33" w:rsidRDefault="008E2574" w:rsidP="00592267">
      <w:pPr>
        <w:spacing w:line="360" w:lineRule="auto"/>
        <w:ind w:firstLine="709"/>
        <w:jc w:val="both"/>
        <w:rPr>
          <w:sz w:val="22"/>
          <w:szCs w:val="22"/>
        </w:rPr>
      </w:pPr>
      <w:r w:rsidRPr="00EF2A33">
        <w:rPr>
          <w:sz w:val="22"/>
          <w:szCs w:val="22"/>
        </w:rPr>
        <w:t>C</w:t>
      </w:r>
      <w:r w:rsidR="00115214" w:rsidRPr="00EF2A33">
        <w:rPr>
          <w:sz w:val="22"/>
          <w:szCs w:val="22"/>
        </w:rPr>
        <w:t>hama atenção a média da tangibilidade dos ativos</w:t>
      </w:r>
      <w:r w:rsidRPr="00EF2A33">
        <w:rPr>
          <w:sz w:val="22"/>
          <w:szCs w:val="22"/>
        </w:rPr>
        <w:t xml:space="preserve"> para as grandes empresas norte-americanas, que foi de 0,37, enquanto que para as empresas menores dos EUA e as brasileiras a média ficou bastante abaixo de 0,30. Esse dado pode sugerir </w:t>
      </w:r>
      <w:r w:rsidR="00115214" w:rsidRPr="00EF2A33">
        <w:rPr>
          <w:sz w:val="22"/>
          <w:szCs w:val="22"/>
        </w:rPr>
        <w:t xml:space="preserve">que as </w:t>
      </w:r>
      <w:r w:rsidRPr="00EF2A33">
        <w:rPr>
          <w:sz w:val="22"/>
          <w:szCs w:val="22"/>
        </w:rPr>
        <w:t xml:space="preserve">maiores </w:t>
      </w:r>
      <w:r w:rsidR="00115214" w:rsidRPr="00EF2A33">
        <w:rPr>
          <w:sz w:val="22"/>
          <w:szCs w:val="22"/>
        </w:rPr>
        <w:t xml:space="preserve">empresas estrangeiras </w:t>
      </w:r>
      <w:r w:rsidRPr="00EF2A33">
        <w:rPr>
          <w:sz w:val="22"/>
          <w:szCs w:val="22"/>
        </w:rPr>
        <w:t xml:space="preserve">lisadas na amostra </w:t>
      </w:r>
      <w:r w:rsidR="00115214" w:rsidRPr="00EF2A33">
        <w:rPr>
          <w:sz w:val="22"/>
          <w:szCs w:val="22"/>
        </w:rPr>
        <w:t>possuem, em média, mais ativos físicos do que as empresas brasileiras</w:t>
      </w:r>
      <w:r w:rsidRPr="00EF2A33">
        <w:rPr>
          <w:sz w:val="22"/>
          <w:szCs w:val="22"/>
        </w:rPr>
        <w:t xml:space="preserve"> e também as empresas norte-americanas de menor porte</w:t>
      </w:r>
      <w:r w:rsidR="00115214" w:rsidRPr="00EF2A33">
        <w:rPr>
          <w:sz w:val="22"/>
          <w:szCs w:val="22"/>
        </w:rPr>
        <w:t xml:space="preserve">, dado o grau de tangibilidade dos ativos verificado. </w:t>
      </w:r>
      <w:r w:rsidR="007E34E3" w:rsidRPr="00EF2A33">
        <w:rPr>
          <w:sz w:val="22"/>
          <w:szCs w:val="22"/>
        </w:rPr>
        <w:t xml:space="preserve">Considerando que a teoria preconiza que quanto mais ativos tangíveis para oferecimento de garantia </w:t>
      </w:r>
      <w:r w:rsidR="0016154D" w:rsidRPr="00EF2A33">
        <w:rPr>
          <w:sz w:val="22"/>
          <w:szCs w:val="22"/>
        </w:rPr>
        <w:t>maior é a propensão para o endividamento, pelo menos quanto às dívidas de curto prazo esse enunciado mostrou não se aplicar, no geral, para as empresas americanas</w:t>
      </w:r>
      <w:r w:rsidRPr="00EF2A33">
        <w:rPr>
          <w:sz w:val="22"/>
          <w:szCs w:val="22"/>
        </w:rPr>
        <w:t>, dados seus baixos níveis de dívida na amostra</w:t>
      </w:r>
      <w:r w:rsidR="0016154D" w:rsidRPr="00EF2A33">
        <w:rPr>
          <w:sz w:val="22"/>
          <w:szCs w:val="22"/>
        </w:rPr>
        <w:t>.</w:t>
      </w:r>
    </w:p>
    <w:p w14:paraId="289804D1" w14:textId="51C7583E" w:rsidR="008E2574" w:rsidRPr="00EF2A33" w:rsidRDefault="008E2574" w:rsidP="00592267">
      <w:pPr>
        <w:spacing w:line="360" w:lineRule="auto"/>
        <w:ind w:firstLine="709"/>
        <w:jc w:val="both"/>
        <w:rPr>
          <w:sz w:val="22"/>
          <w:szCs w:val="22"/>
        </w:rPr>
      </w:pPr>
      <w:r w:rsidRPr="00EF2A33">
        <w:rPr>
          <w:sz w:val="22"/>
          <w:szCs w:val="22"/>
        </w:rPr>
        <w:t>Quanto ao tamanho, curiosamente, o tamanho média das empresas não é muito diferente, o que permite inferir que as empresas brasileiras estão, em termos de magnitude, no mesmo patamar que as empresas norte-americanas, não havendo grandes diferenças entre as empresas da amostra.</w:t>
      </w:r>
    </w:p>
    <w:p w14:paraId="09A1EEF3" w14:textId="5985528E" w:rsidR="00C34D71" w:rsidRDefault="008E2574" w:rsidP="00835FD0">
      <w:pPr>
        <w:spacing w:line="360" w:lineRule="auto"/>
        <w:ind w:firstLine="709"/>
        <w:jc w:val="both"/>
        <w:rPr>
          <w:sz w:val="22"/>
          <w:szCs w:val="22"/>
        </w:rPr>
      </w:pPr>
      <w:r w:rsidRPr="00EF2A33">
        <w:rPr>
          <w:sz w:val="22"/>
          <w:szCs w:val="22"/>
        </w:rPr>
        <w:t xml:space="preserve">As </w:t>
      </w:r>
      <w:r w:rsidR="00FF6001" w:rsidRPr="00EF2A33">
        <w:rPr>
          <w:sz w:val="22"/>
          <w:szCs w:val="22"/>
        </w:rPr>
        <w:t xml:space="preserve">estatísticas descritivas </w:t>
      </w:r>
      <w:r w:rsidRPr="00EF2A33">
        <w:rPr>
          <w:sz w:val="22"/>
          <w:szCs w:val="22"/>
        </w:rPr>
        <w:t xml:space="preserve">de algumas </w:t>
      </w:r>
      <w:r w:rsidR="00FF6001" w:rsidRPr="00EF2A33">
        <w:rPr>
          <w:sz w:val="22"/>
          <w:szCs w:val="22"/>
        </w:rPr>
        <w:t xml:space="preserve">das variáveis </w:t>
      </w:r>
      <w:r w:rsidRPr="00EF2A33">
        <w:rPr>
          <w:sz w:val="22"/>
          <w:szCs w:val="22"/>
        </w:rPr>
        <w:t xml:space="preserve">listadas </w:t>
      </w:r>
      <w:r w:rsidR="00FF6001" w:rsidRPr="00EF2A33">
        <w:rPr>
          <w:sz w:val="22"/>
          <w:szCs w:val="22"/>
        </w:rPr>
        <w:t>podem ser observadas na tabela 1, abaixo.</w:t>
      </w:r>
    </w:p>
    <w:p w14:paraId="6ABCFD2E" w14:textId="72E37936" w:rsidR="00EF2A33" w:rsidRDefault="00EF2A33" w:rsidP="00835FD0">
      <w:pPr>
        <w:spacing w:line="360" w:lineRule="auto"/>
        <w:ind w:firstLine="709"/>
        <w:jc w:val="both"/>
        <w:rPr>
          <w:sz w:val="22"/>
          <w:szCs w:val="22"/>
        </w:rPr>
      </w:pPr>
    </w:p>
    <w:p w14:paraId="1BADFC90" w14:textId="77777777" w:rsidR="00CA0EDF" w:rsidRPr="00EF2A33" w:rsidRDefault="00CA0EDF" w:rsidP="00835FD0">
      <w:pPr>
        <w:spacing w:line="360" w:lineRule="auto"/>
        <w:ind w:firstLine="709"/>
        <w:jc w:val="both"/>
        <w:rPr>
          <w:sz w:val="22"/>
          <w:szCs w:val="22"/>
        </w:rPr>
      </w:pPr>
    </w:p>
    <w:p w14:paraId="3DC6F64A" w14:textId="20D68318" w:rsidR="00FF6001" w:rsidRPr="00EF2A33" w:rsidRDefault="00FF6001" w:rsidP="00112938">
      <w:pPr>
        <w:spacing w:line="360" w:lineRule="auto"/>
        <w:jc w:val="both"/>
        <w:rPr>
          <w:sz w:val="22"/>
          <w:szCs w:val="22"/>
        </w:rPr>
      </w:pPr>
      <w:r w:rsidRPr="00EF2A33">
        <w:rPr>
          <w:sz w:val="22"/>
          <w:szCs w:val="22"/>
        </w:rPr>
        <w:t>Tabela 1: estatísticas descritivas</w:t>
      </w:r>
      <w:r w:rsidR="00E97CF6">
        <w:tab/>
      </w:r>
      <w:r w:rsidR="00E97CF6">
        <w:tab/>
      </w:r>
      <w:r w:rsidR="00EF2A33">
        <w:tab/>
      </w:r>
      <w:r w:rsidR="00EF2A33">
        <w:tab/>
      </w:r>
      <w:r w:rsidR="00EF2A33">
        <w:tab/>
      </w:r>
      <w:r w:rsidR="00EF2A33">
        <w:tab/>
      </w:r>
      <w:r w:rsidR="00EF2A33">
        <w:tab/>
      </w:r>
      <w:r w:rsidR="00EF2A33">
        <w:tab/>
      </w:r>
      <w:r w:rsidR="00EF2A33" w:rsidRPr="00EF2A33">
        <w:rPr>
          <w:sz w:val="22"/>
          <w:szCs w:val="22"/>
        </w:rPr>
        <w:t>(continua)</w:t>
      </w:r>
    </w:p>
    <w:tbl>
      <w:tblPr>
        <w:tblW w:w="0" w:type="auto"/>
        <w:tblCellMar>
          <w:left w:w="70" w:type="dxa"/>
          <w:right w:w="70" w:type="dxa"/>
        </w:tblCellMar>
        <w:tblLook w:val="04A0" w:firstRow="1" w:lastRow="0" w:firstColumn="1" w:lastColumn="0" w:noHBand="0" w:noVBand="1"/>
      </w:tblPr>
      <w:tblGrid>
        <w:gridCol w:w="1129"/>
        <w:gridCol w:w="1169"/>
        <w:gridCol w:w="1333"/>
        <w:gridCol w:w="1333"/>
        <w:gridCol w:w="1389"/>
        <w:gridCol w:w="1375"/>
        <w:gridCol w:w="1333"/>
      </w:tblGrid>
      <w:tr w:rsidR="008E2574" w:rsidRPr="008E2574" w14:paraId="036A7C6B" w14:textId="77777777" w:rsidTr="00E06367">
        <w:trPr>
          <w:trHeight w:hRule="exact" w:val="170"/>
        </w:trPr>
        <w:tc>
          <w:tcPr>
            <w:tcW w:w="906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44EA8" w14:textId="77777777" w:rsidR="008E2574" w:rsidRPr="008E2574" w:rsidRDefault="008E2574">
            <w:pPr>
              <w:jc w:val="center"/>
              <w:rPr>
                <w:b/>
                <w:bCs/>
                <w:color w:val="000000"/>
                <w:sz w:val="16"/>
                <w:szCs w:val="16"/>
              </w:rPr>
            </w:pPr>
            <w:r w:rsidRPr="008E2574">
              <w:rPr>
                <w:b/>
                <w:bCs/>
                <w:color w:val="000000"/>
                <w:sz w:val="16"/>
                <w:szCs w:val="16"/>
              </w:rPr>
              <w:t>CIAS BR ACIMA MÉDIA</w:t>
            </w:r>
          </w:p>
        </w:tc>
      </w:tr>
      <w:tr w:rsidR="008E2574" w:rsidRPr="008E2574" w14:paraId="2D9DFD4D"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733D23D" w14:textId="77777777" w:rsidR="008E2574" w:rsidRPr="008E2574" w:rsidRDefault="008E2574">
            <w:pPr>
              <w:jc w:val="center"/>
              <w:rPr>
                <w:color w:val="000000"/>
                <w:sz w:val="16"/>
                <w:szCs w:val="16"/>
              </w:rPr>
            </w:pPr>
            <w:r w:rsidRPr="008E2574">
              <w:rPr>
                <w:color w:val="000000"/>
                <w:sz w:val="16"/>
                <w:szCs w:val="16"/>
              </w:rPr>
              <w:t> </w:t>
            </w:r>
          </w:p>
        </w:tc>
        <w:tc>
          <w:tcPr>
            <w:tcW w:w="1169" w:type="dxa"/>
            <w:tcBorders>
              <w:top w:val="nil"/>
              <w:left w:val="nil"/>
              <w:bottom w:val="single" w:sz="4" w:space="0" w:color="auto"/>
              <w:right w:val="single" w:sz="4" w:space="0" w:color="auto"/>
            </w:tcBorders>
            <w:shd w:val="clear" w:color="auto" w:fill="auto"/>
            <w:noWrap/>
            <w:vAlign w:val="bottom"/>
            <w:hideMark/>
          </w:tcPr>
          <w:p w14:paraId="0A153EF0" w14:textId="77777777" w:rsidR="008E2574" w:rsidRPr="008E2574" w:rsidRDefault="008E2574">
            <w:pPr>
              <w:jc w:val="center"/>
              <w:rPr>
                <w:color w:val="000000"/>
                <w:sz w:val="16"/>
                <w:szCs w:val="16"/>
              </w:rPr>
            </w:pPr>
            <w:r w:rsidRPr="008E2574">
              <w:rPr>
                <w:color w:val="000000"/>
                <w:sz w:val="16"/>
                <w:szCs w:val="16"/>
              </w:rPr>
              <w:t>FINCP</w:t>
            </w:r>
          </w:p>
        </w:tc>
        <w:tc>
          <w:tcPr>
            <w:tcW w:w="1333" w:type="dxa"/>
            <w:tcBorders>
              <w:top w:val="nil"/>
              <w:left w:val="nil"/>
              <w:bottom w:val="single" w:sz="4" w:space="0" w:color="auto"/>
              <w:right w:val="single" w:sz="4" w:space="0" w:color="auto"/>
            </w:tcBorders>
            <w:shd w:val="clear" w:color="auto" w:fill="auto"/>
            <w:noWrap/>
            <w:vAlign w:val="bottom"/>
            <w:hideMark/>
          </w:tcPr>
          <w:p w14:paraId="6C1C2951" w14:textId="77777777" w:rsidR="008E2574" w:rsidRPr="008E2574" w:rsidRDefault="008E2574">
            <w:pPr>
              <w:jc w:val="center"/>
              <w:rPr>
                <w:color w:val="000000"/>
                <w:sz w:val="16"/>
                <w:szCs w:val="16"/>
              </w:rPr>
            </w:pPr>
            <w:r w:rsidRPr="008E2574">
              <w:rPr>
                <w:color w:val="000000"/>
                <w:sz w:val="16"/>
                <w:szCs w:val="16"/>
              </w:rPr>
              <w:t>BD</w:t>
            </w:r>
          </w:p>
        </w:tc>
        <w:tc>
          <w:tcPr>
            <w:tcW w:w="1333" w:type="dxa"/>
            <w:tcBorders>
              <w:top w:val="nil"/>
              <w:left w:val="nil"/>
              <w:bottom w:val="single" w:sz="4" w:space="0" w:color="auto"/>
              <w:right w:val="single" w:sz="4" w:space="0" w:color="auto"/>
            </w:tcBorders>
            <w:shd w:val="clear" w:color="auto" w:fill="auto"/>
            <w:noWrap/>
            <w:vAlign w:val="bottom"/>
            <w:hideMark/>
          </w:tcPr>
          <w:p w14:paraId="0F6A081B" w14:textId="77777777" w:rsidR="008E2574" w:rsidRPr="008E2574" w:rsidRDefault="008E2574">
            <w:pPr>
              <w:jc w:val="center"/>
              <w:rPr>
                <w:color w:val="000000"/>
                <w:sz w:val="16"/>
                <w:szCs w:val="16"/>
              </w:rPr>
            </w:pPr>
            <w:r w:rsidRPr="008E2574">
              <w:rPr>
                <w:color w:val="000000"/>
                <w:sz w:val="16"/>
                <w:szCs w:val="16"/>
              </w:rPr>
              <w:t>INT</w:t>
            </w:r>
          </w:p>
        </w:tc>
        <w:tc>
          <w:tcPr>
            <w:tcW w:w="1389" w:type="dxa"/>
            <w:tcBorders>
              <w:top w:val="nil"/>
              <w:left w:val="nil"/>
              <w:bottom w:val="single" w:sz="4" w:space="0" w:color="auto"/>
              <w:right w:val="single" w:sz="4" w:space="0" w:color="auto"/>
            </w:tcBorders>
            <w:shd w:val="clear" w:color="auto" w:fill="auto"/>
            <w:noWrap/>
            <w:vAlign w:val="bottom"/>
            <w:hideMark/>
          </w:tcPr>
          <w:p w14:paraId="71C5BB10" w14:textId="77777777" w:rsidR="008E2574" w:rsidRPr="008E2574" w:rsidRDefault="008E2574">
            <w:pPr>
              <w:jc w:val="center"/>
              <w:rPr>
                <w:color w:val="000000"/>
                <w:sz w:val="16"/>
                <w:szCs w:val="16"/>
              </w:rPr>
            </w:pPr>
            <w:r w:rsidRPr="008E2574">
              <w:rPr>
                <w:color w:val="000000"/>
                <w:sz w:val="16"/>
                <w:szCs w:val="16"/>
              </w:rPr>
              <w:t>RENT</w:t>
            </w:r>
          </w:p>
        </w:tc>
        <w:tc>
          <w:tcPr>
            <w:tcW w:w="1375" w:type="dxa"/>
            <w:tcBorders>
              <w:top w:val="nil"/>
              <w:left w:val="nil"/>
              <w:bottom w:val="single" w:sz="4" w:space="0" w:color="auto"/>
              <w:right w:val="single" w:sz="4" w:space="0" w:color="auto"/>
            </w:tcBorders>
            <w:shd w:val="clear" w:color="auto" w:fill="auto"/>
            <w:noWrap/>
            <w:vAlign w:val="bottom"/>
            <w:hideMark/>
          </w:tcPr>
          <w:p w14:paraId="49A64B0D" w14:textId="77777777" w:rsidR="008E2574" w:rsidRPr="008E2574" w:rsidRDefault="008E2574">
            <w:pPr>
              <w:jc w:val="center"/>
              <w:rPr>
                <w:color w:val="000000"/>
                <w:sz w:val="16"/>
                <w:szCs w:val="16"/>
              </w:rPr>
            </w:pPr>
            <w:r w:rsidRPr="008E2574">
              <w:rPr>
                <w:color w:val="000000"/>
                <w:sz w:val="16"/>
                <w:szCs w:val="16"/>
              </w:rPr>
              <w:t>TAM</w:t>
            </w:r>
          </w:p>
        </w:tc>
        <w:tc>
          <w:tcPr>
            <w:tcW w:w="1333" w:type="dxa"/>
            <w:tcBorders>
              <w:top w:val="nil"/>
              <w:left w:val="nil"/>
              <w:bottom w:val="single" w:sz="4" w:space="0" w:color="auto"/>
              <w:right w:val="single" w:sz="4" w:space="0" w:color="auto"/>
            </w:tcBorders>
            <w:shd w:val="clear" w:color="auto" w:fill="auto"/>
            <w:noWrap/>
            <w:vAlign w:val="bottom"/>
            <w:hideMark/>
          </w:tcPr>
          <w:p w14:paraId="0B99FD7B" w14:textId="77777777" w:rsidR="008E2574" w:rsidRPr="008E2574" w:rsidRDefault="008E2574">
            <w:pPr>
              <w:jc w:val="center"/>
              <w:rPr>
                <w:color w:val="000000"/>
                <w:sz w:val="16"/>
                <w:szCs w:val="16"/>
              </w:rPr>
            </w:pPr>
            <w:r w:rsidRPr="008E2574">
              <w:rPr>
                <w:color w:val="000000"/>
                <w:sz w:val="16"/>
                <w:szCs w:val="16"/>
              </w:rPr>
              <w:t>TANG</w:t>
            </w:r>
          </w:p>
        </w:tc>
      </w:tr>
      <w:tr w:rsidR="008E2574" w:rsidRPr="008E2574" w14:paraId="29D85AE9"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10B2D7E" w14:textId="3DFABE4C" w:rsidR="008E2574" w:rsidRPr="008E2574" w:rsidRDefault="008E2574" w:rsidP="008E2574">
            <w:pPr>
              <w:rPr>
                <w:color w:val="000000"/>
                <w:sz w:val="16"/>
                <w:szCs w:val="16"/>
              </w:rPr>
            </w:pPr>
            <w:r w:rsidRPr="008E2574">
              <w:rPr>
                <w:color w:val="000000"/>
                <w:sz w:val="16"/>
                <w:szCs w:val="16"/>
              </w:rPr>
              <w:t>Mean</w:t>
            </w:r>
          </w:p>
        </w:tc>
        <w:tc>
          <w:tcPr>
            <w:tcW w:w="1169" w:type="dxa"/>
            <w:tcBorders>
              <w:top w:val="nil"/>
              <w:left w:val="nil"/>
              <w:bottom w:val="single" w:sz="4" w:space="0" w:color="auto"/>
              <w:right w:val="single" w:sz="4" w:space="0" w:color="auto"/>
            </w:tcBorders>
            <w:shd w:val="clear" w:color="auto" w:fill="auto"/>
            <w:noWrap/>
            <w:vAlign w:val="bottom"/>
            <w:hideMark/>
          </w:tcPr>
          <w:p w14:paraId="44DD0F4B" w14:textId="1200547C" w:rsidR="008E2574" w:rsidRPr="008E2574" w:rsidRDefault="008E2574" w:rsidP="00E06367">
            <w:pPr>
              <w:jc w:val="center"/>
              <w:rPr>
                <w:color w:val="000000"/>
                <w:sz w:val="16"/>
                <w:szCs w:val="16"/>
              </w:rPr>
            </w:pPr>
            <w:r w:rsidRPr="008E2574">
              <w:rPr>
                <w:color w:val="000000"/>
                <w:sz w:val="16"/>
                <w:szCs w:val="16"/>
              </w:rPr>
              <w:t>0,06</w:t>
            </w:r>
          </w:p>
        </w:tc>
        <w:tc>
          <w:tcPr>
            <w:tcW w:w="1333" w:type="dxa"/>
            <w:tcBorders>
              <w:top w:val="nil"/>
              <w:left w:val="nil"/>
              <w:bottom w:val="single" w:sz="4" w:space="0" w:color="auto"/>
              <w:right w:val="single" w:sz="4" w:space="0" w:color="auto"/>
            </w:tcBorders>
            <w:shd w:val="clear" w:color="auto" w:fill="auto"/>
            <w:noWrap/>
            <w:vAlign w:val="bottom"/>
            <w:hideMark/>
          </w:tcPr>
          <w:p w14:paraId="6FA085E3" w14:textId="31B5E2DA" w:rsidR="008E2574" w:rsidRPr="008E2574" w:rsidRDefault="008E2574" w:rsidP="00E06367">
            <w:pPr>
              <w:jc w:val="center"/>
              <w:rPr>
                <w:color w:val="000000"/>
                <w:sz w:val="16"/>
                <w:szCs w:val="16"/>
              </w:rPr>
            </w:pPr>
            <w:r w:rsidRPr="008E2574">
              <w:rPr>
                <w:color w:val="000000"/>
                <w:sz w:val="16"/>
                <w:szCs w:val="16"/>
              </w:rPr>
              <w:t>0,57</w:t>
            </w:r>
          </w:p>
        </w:tc>
        <w:tc>
          <w:tcPr>
            <w:tcW w:w="1333" w:type="dxa"/>
            <w:tcBorders>
              <w:top w:val="nil"/>
              <w:left w:val="nil"/>
              <w:bottom w:val="single" w:sz="4" w:space="0" w:color="auto"/>
              <w:right w:val="single" w:sz="4" w:space="0" w:color="auto"/>
            </w:tcBorders>
            <w:shd w:val="clear" w:color="auto" w:fill="auto"/>
            <w:noWrap/>
            <w:vAlign w:val="bottom"/>
            <w:hideMark/>
          </w:tcPr>
          <w:p w14:paraId="7C3D46E7" w14:textId="0E956EE2" w:rsidR="008E2574" w:rsidRPr="008E2574" w:rsidRDefault="008E2574" w:rsidP="007D3CFE">
            <w:pPr>
              <w:jc w:val="center"/>
              <w:rPr>
                <w:color w:val="000000"/>
                <w:sz w:val="16"/>
                <w:szCs w:val="16"/>
              </w:rPr>
            </w:pPr>
            <w:r w:rsidRPr="008E2574">
              <w:rPr>
                <w:color w:val="000000"/>
                <w:sz w:val="16"/>
                <w:szCs w:val="16"/>
              </w:rPr>
              <w:t>1.121.731,00</w:t>
            </w:r>
          </w:p>
        </w:tc>
        <w:tc>
          <w:tcPr>
            <w:tcW w:w="1389" w:type="dxa"/>
            <w:tcBorders>
              <w:top w:val="nil"/>
              <w:left w:val="nil"/>
              <w:bottom w:val="single" w:sz="4" w:space="0" w:color="auto"/>
              <w:right w:val="single" w:sz="4" w:space="0" w:color="auto"/>
            </w:tcBorders>
            <w:shd w:val="clear" w:color="auto" w:fill="auto"/>
            <w:noWrap/>
            <w:vAlign w:val="bottom"/>
            <w:hideMark/>
          </w:tcPr>
          <w:p w14:paraId="55D60C6B" w14:textId="2078A7E2" w:rsidR="008E2574" w:rsidRPr="008E2574" w:rsidRDefault="00E06367" w:rsidP="00E06367">
            <w:pPr>
              <w:jc w:val="center"/>
              <w:rPr>
                <w:color w:val="000000"/>
                <w:sz w:val="16"/>
                <w:szCs w:val="16"/>
              </w:rPr>
            </w:pPr>
            <w:r>
              <w:rPr>
                <w:color w:val="000000"/>
                <w:sz w:val="16"/>
                <w:szCs w:val="16"/>
              </w:rPr>
              <w:t>0,06</w:t>
            </w:r>
          </w:p>
        </w:tc>
        <w:tc>
          <w:tcPr>
            <w:tcW w:w="1375" w:type="dxa"/>
            <w:tcBorders>
              <w:top w:val="nil"/>
              <w:left w:val="nil"/>
              <w:bottom w:val="single" w:sz="4" w:space="0" w:color="auto"/>
              <w:right w:val="single" w:sz="4" w:space="0" w:color="auto"/>
            </w:tcBorders>
            <w:shd w:val="clear" w:color="auto" w:fill="auto"/>
            <w:noWrap/>
            <w:vAlign w:val="bottom"/>
            <w:hideMark/>
          </w:tcPr>
          <w:p w14:paraId="0FA7527F" w14:textId="66FA681A" w:rsidR="008E2574" w:rsidRPr="008E2574" w:rsidRDefault="008E2574" w:rsidP="00E06367">
            <w:pPr>
              <w:jc w:val="center"/>
              <w:rPr>
                <w:color w:val="000000"/>
                <w:sz w:val="16"/>
                <w:szCs w:val="16"/>
              </w:rPr>
            </w:pPr>
            <w:r w:rsidRPr="008E2574">
              <w:rPr>
                <w:color w:val="000000"/>
                <w:sz w:val="16"/>
                <w:szCs w:val="16"/>
              </w:rPr>
              <w:t>7.015.441,00</w:t>
            </w:r>
          </w:p>
        </w:tc>
        <w:tc>
          <w:tcPr>
            <w:tcW w:w="1333" w:type="dxa"/>
            <w:tcBorders>
              <w:top w:val="nil"/>
              <w:left w:val="nil"/>
              <w:bottom w:val="single" w:sz="4" w:space="0" w:color="auto"/>
              <w:right w:val="single" w:sz="4" w:space="0" w:color="auto"/>
            </w:tcBorders>
            <w:shd w:val="clear" w:color="auto" w:fill="auto"/>
            <w:noWrap/>
            <w:vAlign w:val="bottom"/>
            <w:hideMark/>
          </w:tcPr>
          <w:p w14:paraId="21147BA6" w14:textId="2F789BD1" w:rsidR="008E2574" w:rsidRPr="008E2574" w:rsidRDefault="008E2574" w:rsidP="00E06367">
            <w:pPr>
              <w:jc w:val="center"/>
              <w:rPr>
                <w:color w:val="000000"/>
                <w:sz w:val="16"/>
                <w:szCs w:val="16"/>
              </w:rPr>
            </w:pPr>
            <w:r w:rsidRPr="008E2574">
              <w:rPr>
                <w:color w:val="000000"/>
                <w:sz w:val="16"/>
                <w:szCs w:val="16"/>
              </w:rPr>
              <w:t>0,26</w:t>
            </w:r>
          </w:p>
        </w:tc>
      </w:tr>
      <w:tr w:rsidR="008E2574" w:rsidRPr="008E2574" w14:paraId="142CD204"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C245AAF" w14:textId="1391BD1C" w:rsidR="008E2574" w:rsidRPr="008E2574" w:rsidRDefault="008E2574" w:rsidP="008E2574">
            <w:pPr>
              <w:rPr>
                <w:color w:val="000000"/>
                <w:sz w:val="16"/>
                <w:szCs w:val="16"/>
              </w:rPr>
            </w:pPr>
            <w:r w:rsidRPr="008E2574">
              <w:rPr>
                <w:color w:val="000000"/>
                <w:sz w:val="16"/>
                <w:szCs w:val="16"/>
              </w:rPr>
              <w:t>Median</w:t>
            </w:r>
          </w:p>
        </w:tc>
        <w:tc>
          <w:tcPr>
            <w:tcW w:w="1169" w:type="dxa"/>
            <w:tcBorders>
              <w:top w:val="nil"/>
              <w:left w:val="nil"/>
              <w:bottom w:val="single" w:sz="4" w:space="0" w:color="auto"/>
              <w:right w:val="single" w:sz="4" w:space="0" w:color="auto"/>
            </w:tcBorders>
            <w:shd w:val="clear" w:color="auto" w:fill="auto"/>
            <w:noWrap/>
            <w:vAlign w:val="bottom"/>
            <w:hideMark/>
          </w:tcPr>
          <w:p w14:paraId="49B7D4B3" w14:textId="29CC9BD0" w:rsidR="008E2574" w:rsidRPr="008E2574" w:rsidRDefault="008E2574" w:rsidP="00E06367">
            <w:pPr>
              <w:jc w:val="center"/>
              <w:rPr>
                <w:color w:val="000000"/>
                <w:sz w:val="16"/>
                <w:szCs w:val="16"/>
              </w:rPr>
            </w:pPr>
            <w:r w:rsidRPr="008E2574">
              <w:rPr>
                <w:color w:val="000000"/>
                <w:sz w:val="16"/>
                <w:szCs w:val="16"/>
              </w:rPr>
              <w:t>0,04</w:t>
            </w:r>
          </w:p>
        </w:tc>
        <w:tc>
          <w:tcPr>
            <w:tcW w:w="1333" w:type="dxa"/>
            <w:tcBorders>
              <w:top w:val="nil"/>
              <w:left w:val="nil"/>
              <w:bottom w:val="single" w:sz="4" w:space="0" w:color="auto"/>
              <w:right w:val="single" w:sz="4" w:space="0" w:color="auto"/>
            </w:tcBorders>
            <w:shd w:val="clear" w:color="auto" w:fill="auto"/>
            <w:noWrap/>
            <w:vAlign w:val="bottom"/>
            <w:hideMark/>
          </w:tcPr>
          <w:p w14:paraId="2C67AAE0" w14:textId="29825381" w:rsidR="008E2574" w:rsidRPr="008E2574" w:rsidRDefault="008E2574" w:rsidP="00E06367">
            <w:pPr>
              <w:jc w:val="center"/>
              <w:rPr>
                <w:color w:val="000000"/>
                <w:sz w:val="16"/>
                <w:szCs w:val="16"/>
              </w:rPr>
            </w:pPr>
            <w:r w:rsidRPr="008E2574">
              <w:rPr>
                <w:color w:val="000000"/>
                <w:sz w:val="16"/>
                <w:szCs w:val="16"/>
              </w:rPr>
              <w:t>0,47</w:t>
            </w:r>
          </w:p>
        </w:tc>
        <w:tc>
          <w:tcPr>
            <w:tcW w:w="1333" w:type="dxa"/>
            <w:tcBorders>
              <w:top w:val="nil"/>
              <w:left w:val="nil"/>
              <w:bottom w:val="single" w:sz="4" w:space="0" w:color="auto"/>
              <w:right w:val="single" w:sz="4" w:space="0" w:color="auto"/>
            </w:tcBorders>
            <w:shd w:val="clear" w:color="auto" w:fill="auto"/>
            <w:noWrap/>
            <w:vAlign w:val="bottom"/>
            <w:hideMark/>
          </w:tcPr>
          <w:p w14:paraId="201310AB" w14:textId="1F5943C5" w:rsidR="008E2574" w:rsidRPr="008E2574" w:rsidRDefault="008E2574" w:rsidP="007D3CFE">
            <w:pPr>
              <w:jc w:val="center"/>
              <w:rPr>
                <w:color w:val="000000"/>
                <w:sz w:val="16"/>
                <w:szCs w:val="16"/>
              </w:rPr>
            </w:pPr>
            <w:r w:rsidRPr="008E2574">
              <w:rPr>
                <w:color w:val="000000"/>
                <w:sz w:val="16"/>
                <w:szCs w:val="16"/>
              </w:rPr>
              <w:t>2.632.623,00</w:t>
            </w:r>
          </w:p>
        </w:tc>
        <w:tc>
          <w:tcPr>
            <w:tcW w:w="1389" w:type="dxa"/>
            <w:tcBorders>
              <w:top w:val="nil"/>
              <w:left w:val="nil"/>
              <w:bottom w:val="single" w:sz="4" w:space="0" w:color="auto"/>
              <w:right w:val="single" w:sz="4" w:space="0" w:color="auto"/>
            </w:tcBorders>
            <w:shd w:val="clear" w:color="auto" w:fill="auto"/>
            <w:noWrap/>
            <w:vAlign w:val="bottom"/>
            <w:hideMark/>
          </w:tcPr>
          <w:p w14:paraId="167339EE" w14:textId="20A6F6F9" w:rsidR="008E2574" w:rsidRPr="008E2574" w:rsidRDefault="008E2574" w:rsidP="00E06367">
            <w:pPr>
              <w:jc w:val="center"/>
              <w:rPr>
                <w:color w:val="000000"/>
                <w:sz w:val="16"/>
                <w:szCs w:val="16"/>
              </w:rPr>
            </w:pPr>
            <w:r w:rsidRPr="008E2574">
              <w:rPr>
                <w:color w:val="000000"/>
                <w:sz w:val="16"/>
                <w:szCs w:val="16"/>
              </w:rPr>
              <w:t>0,07</w:t>
            </w:r>
          </w:p>
        </w:tc>
        <w:tc>
          <w:tcPr>
            <w:tcW w:w="1375" w:type="dxa"/>
            <w:tcBorders>
              <w:top w:val="nil"/>
              <w:left w:val="nil"/>
              <w:bottom w:val="single" w:sz="4" w:space="0" w:color="auto"/>
              <w:right w:val="single" w:sz="4" w:space="0" w:color="auto"/>
            </w:tcBorders>
            <w:shd w:val="clear" w:color="auto" w:fill="auto"/>
            <w:noWrap/>
            <w:vAlign w:val="bottom"/>
            <w:hideMark/>
          </w:tcPr>
          <w:p w14:paraId="5D820FB7" w14:textId="40FE69C2" w:rsidR="008E2574" w:rsidRPr="008E2574" w:rsidRDefault="008E2574" w:rsidP="00E06367">
            <w:pPr>
              <w:jc w:val="center"/>
              <w:rPr>
                <w:color w:val="000000"/>
                <w:sz w:val="16"/>
                <w:szCs w:val="16"/>
              </w:rPr>
            </w:pPr>
            <w:r w:rsidRPr="008E2574">
              <w:rPr>
                <w:color w:val="000000"/>
                <w:sz w:val="16"/>
                <w:szCs w:val="16"/>
              </w:rPr>
              <w:t>6.947.827,00</w:t>
            </w:r>
          </w:p>
        </w:tc>
        <w:tc>
          <w:tcPr>
            <w:tcW w:w="1333" w:type="dxa"/>
            <w:tcBorders>
              <w:top w:val="nil"/>
              <w:left w:val="nil"/>
              <w:bottom w:val="single" w:sz="4" w:space="0" w:color="auto"/>
              <w:right w:val="single" w:sz="4" w:space="0" w:color="auto"/>
            </w:tcBorders>
            <w:shd w:val="clear" w:color="auto" w:fill="auto"/>
            <w:noWrap/>
            <w:vAlign w:val="bottom"/>
            <w:hideMark/>
          </w:tcPr>
          <w:p w14:paraId="61A1B86B" w14:textId="7B2C003B" w:rsidR="008E2574" w:rsidRPr="008E2574" w:rsidRDefault="008E2574" w:rsidP="00E06367">
            <w:pPr>
              <w:jc w:val="center"/>
              <w:rPr>
                <w:color w:val="000000"/>
                <w:sz w:val="16"/>
                <w:szCs w:val="16"/>
              </w:rPr>
            </w:pPr>
            <w:r w:rsidRPr="008E2574">
              <w:rPr>
                <w:color w:val="000000"/>
                <w:sz w:val="16"/>
                <w:szCs w:val="16"/>
              </w:rPr>
              <w:t>0,21</w:t>
            </w:r>
          </w:p>
        </w:tc>
      </w:tr>
      <w:tr w:rsidR="008E2574" w:rsidRPr="008E2574" w14:paraId="67D6EC02"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81A192" w14:textId="0C9AB6B9" w:rsidR="008E2574" w:rsidRPr="008E2574" w:rsidRDefault="008E2574" w:rsidP="008E2574">
            <w:pPr>
              <w:rPr>
                <w:color w:val="000000"/>
                <w:sz w:val="16"/>
                <w:szCs w:val="16"/>
              </w:rPr>
            </w:pPr>
            <w:r w:rsidRPr="008E2574">
              <w:rPr>
                <w:color w:val="000000"/>
                <w:sz w:val="16"/>
                <w:szCs w:val="16"/>
              </w:rPr>
              <w:t>Maximum</w:t>
            </w:r>
          </w:p>
        </w:tc>
        <w:tc>
          <w:tcPr>
            <w:tcW w:w="1169" w:type="dxa"/>
            <w:tcBorders>
              <w:top w:val="nil"/>
              <w:left w:val="nil"/>
              <w:bottom w:val="single" w:sz="4" w:space="0" w:color="auto"/>
              <w:right w:val="single" w:sz="4" w:space="0" w:color="auto"/>
            </w:tcBorders>
            <w:shd w:val="clear" w:color="auto" w:fill="auto"/>
            <w:noWrap/>
            <w:vAlign w:val="bottom"/>
            <w:hideMark/>
          </w:tcPr>
          <w:p w14:paraId="062027C6" w14:textId="07CA46A5" w:rsidR="008E2574" w:rsidRPr="008E2574" w:rsidRDefault="008E2574" w:rsidP="00E06367">
            <w:pPr>
              <w:jc w:val="center"/>
              <w:rPr>
                <w:color w:val="000000"/>
                <w:sz w:val="16"/>
                <w:szCs w:val="16"/>
              </w:rPr>
            </w:pPr>
            <w:r w:rsidRPr="008E2574">
              <w:rPr>
                <w:color w:val="000000"/>
                <w:sz w:val="16"/>
                <w:szCs w:val="16"/>
              </w:rPr>
              <w:t>0,47</w:t>
            </w:r>
          </w:p>
        </w:tc>
        <w:tc>
          <w:tcPr>
            <w:tcW w:w="1333" w:type="dxa"/>
            <w:tcBorders>
              <w:top w:val="nil"/>
              <w:left w:val="nil"/>
              <w:bottom w:val="single" w:sz="4" w:space="0" w:color="auto"/>
              <w:right w:val="single" w:sz="4" w:space="0" w:color="auto"/>
            </w:tcBorders>
            <w:shd w:val="clear" w:color="auto" w:fill="auto"/>
            <w:noWrap/>
            <w:vAlign w:val="bottom"/>
            <w:hideMark/>
          </w:tcPr>
          <w:p w14:paraId="1AA28038" w14:textId="7604E60E" w:rsidR="008E2574" w:rsidRPr="008E2574" w:rsidRDefault="008E2574" w:rsidP="00E06367">
            <w:pPr>
              <w:jc w:val="center"/>
              <w:rPr>
                <w:color w:val="000000"/>
                <w:sz w:val="16"/>
                <w:szCs w:val="16"/>
              </w:rPr>
            </w:pPr>
            <w:r w:rsidRPr="008E2574">
              <w:rPr>
                <w:color w:val="000000"/>
                <w:sz w:val="16"/>
                <w:szCs w:val="16"/>
              </w:rPr>
              <w:t>1.856.761,00</w:t>
            </w:r>
          </w:p>
        </w:tc>
        <w:tc>
          <w:tcPr>
            <w:tcW w:w="1333" w:type="dxa"/>
            <w:tcBorders>
              <w:top w:val="nil"/>
              <w:left w:val="nil"/>
              <w:bottom w:val="single" w:sz="4" w:space="0" w:color="auto"/>
              <w:right w:val="single" w:sz="4" w:space="0" w:color="auto"/>
            </w:tcBorders>
            <w:shd w:val="clear" w:color="auto" w:fill="auto"/>
            <w:noWrap/>
            <w:vAlign w:val="bottom"/>
            <w:hideMark/>
          </w:tcPr>
          <w:p w14:paraId="671D9B0A" w14:textId="3E89A699" w:rsidR="008E2574" w:rsidRPr="008E2574" w:rsidRDefault="008E2574" w:rsidP="007D3CFE">
            <w:pPr>
              <w:jc w:val="center"/>
              <w:rPr>
                <w:color w:val="000000"/>
                <w:sz w:val="16"/>
                <w:szCs w:val="16"/>
              </w:rPr>
            </w:pPr>
            <w:r w:rsidRPr="008E2574">
              <w:rPr>
                <w:color w:val="000000"/>
                <w:sz w:val="16"/>
                <w:szCs w:val="16"/>
              </w:rPr>
              <w:t>6.340.193,00</w:t>
            </w:r>
          </w:p>
        </w:tc>
        <w:tc>
          <w:tcPr>
            <w:tcW w:w="1389" w:type="dxa"/>
            <w:tcBorders>
              <w:top w:val="nil"/>
              <w:left w:val="nil"/>
              <w:bottom w:val="single" w:sz="4" w:space="0" w:color="auto"/>
              <w:right w:val="single" w:sz="4" w:space="0" w:color="auto"/>
            </w:tcBorders>
            <w:shd w:val="clear" w:color="auto" w:fill="auto"/>
            <w:noWrap/>
            <w:vAlign w:val="bottom"/>
            <w:hideMark/>
          </w:tcPr>
          <w:p w14:paraId="75D1BF66" w14:textId="453C4B93" w:rsidR="008E2574" w:rsidRPr="008E2574" w:rsidRDefault="008E2574" w:rsidP="00E06367">
            <w:pPr>
              <w:jc w:val="center"/>
              <w:rPr>
                <w:color w:val="000000"/>
                <w:sz w:val="16"/>
                <w:szCs w:val="16"/>
              </w:rPr>
            </w:pPr>
            <w:r w:rsidRPr="008E2574">
              <w:rPr>
                <w:color w:val="000000"/>
                <w:sz w:val="16"/>
                <w:szCs w:val="16"/>
              </w:rPr>
              <w:t>0,42</w:t>
            </w:r>
          </w:p>
        </w:tc>
        <w:tc>
          <w:tcPr>
            <w:tcW w:w="1375" w:type="dxa"/>
            <w:tcBorders>
              <w:top w:val="nil"/>
              <w:left w:val="nil"/>
              <w:bottom w:val="single" w:sz="4" w:space="0" w:color="auto"/>
              <w:right w:val="single" w:sz="4" w:space="0" w:color="auto"/>
            </w:tcBorders>
            <w:shd w:val="clear" w:color="auto" w:fill="auto"/>
            <w:noWrap/>
            <w:vAlign w:val="bottom"/>
            <w:hideMark/>
          </w:tcPr>
          <w:p w14:paraId="0AA8940F" w14:textId="6211BF95" w:rsidR="008E2574" w:rsidRPr="008E2574" w:rsidRDefault="008E2574" w:rsidP="00E06367">
            <w:pPr>
              <w:jc w:val="center"/>
              <w:rPr>
                <w:color w:val="000000"/>
                <w:sz w:val="16"/>
                <w:szCs w:val="16"/>
              </w:rPr>
            </w:pPr>
            <w:r w:rsidRPr="008E2574">
              <w:rPr>
                <w:color w:val="000000"/>
                <w:sz w:val="16"/>
                <w:szCs w:val="16"/>
              </w:rPr>
              <w:t>8.236.022,00</w:t>
            </w:r>
          </w:p>
        </w:tc>
        <w:tc>
          <w:tcPr>
            <w:tcW w:w="1333" w:type="dxa"/>
            <w:tcBorders>
              <w:top w:val="nil"/>
              <w:left w:val="nil"/>
              <w:bottom w:val="single" w:sz="4" w:space="0" w:color="auto"/>
              <w:right w:val="single" w:sz="4" w:space="0" w:color="auto"/>
            </w:tcBorders>
            <w:shd w:val="clear" w:color="auto" w:fill="auto"/>
            <w:noWrap/>
            <w:vAlign w:val="bottom"/>
            <w:hideMark/>
          </w:tcPr>
          <w:p w14:paraId="0044BB6D" w14:textId="5DEFA38C" w:rsidR="008E2574" w:rsidRPr="008E2574" w:rsidRDefault="008E2574" w:rsidP="00E06367">
            <w:pPr>
              <w:jc w:val="center"/>
              <w:rPr>
                <w:color w:val="000000"/>
                <w:sz w:val="16"/>
                <w:szCs w:val="16"/>
              </w:rPr>
            </w:pPr>
            <w:r w:rsidRPr="008E2574">
              <w:rPr>
                <w:color w:val="000000"/>
                <w:sz w:val="16"/>
                <w:szCs w:val="16"/>
              </w:rPr>
              <w:t>0,85</w:t>
            </w:r>
          </w:p>
        </w:tc>
      </w:tr>
      <w:tr w:rsidR="008E2574" w:rsidRPr="008E2574" w14:paraId="264B6895"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B28F766" w14:textId="0D13EBF0" w:rsidR="008E2574" w:rsidRPr="008E2574" w:rsidRDefault="008E2574" w:rsidP="008E2574">
            <w:pPr>
              <w:rPr>
                <w:color w:val="000000"/>
                <w:sz w:val="16"/>
                <w:szCs w:val="16"/>
              </w:rPr>
            </w:pPr>
            <w:r w:rsidRPr="008E2574">
              <w:rPr>
                <w:color w:val="000000"/>
                <w:sz w:val="16"/>
                <w:szCs w:val="16"/>
              </w:rPr>
              <w:t>Minimum</w:t>
            </w:r>
          </w:p>
        </w:tc>
        <w:tc>
          <w:tcPr>
            <w:tcW w:w="1169" w:type="dxa"/>
            <w:tcBorders>
              <w:top w:val="nil"/>
              <w:left w:val="nil"/>
              <w:bottom w:val="single" w:sz="4" w:space="0" w:color="auto"/>
              <w:right w:val="single" w:sz="4" w:space="0" w:color="auto"/>
            </w:tcBorders>
            <w:shd w:val="clear" w:color="auto" w:fill="auto"/>
            <w:noWrap/>
            <w:vAlign w:val="bottom"/>
            <w:hideMark/>
          </w:tcPr>
          <w:p w14:paraId="2DA7D0C8" w14:textId="34FA972E" w:rsidR="008E2574" w:rsidRPr="008E2574" w:rsidRDefault="008E2574" w:rsidP="00E06367">
            <w:pPr>
              <w:jc w:val="center"/>
              <w:rPr>
                <w:color w:val="000000"/>
                <w:sz w:val="16"/>
                <w:szCs w:val="16"/>
              </w:rPr>
            </w:pPr>
            <w:r w:rsidRPr="008E2574">
              <w:rPr>
                <w:color w:val="000000"/>
                <w:sz w:val="16"/>
                <w:szCs w:val="16"/>
              </w:rPr>
              <w:t>0,00</w:t>
            </w:r>
          </w:p>
        </w:tc>
        <w:tc>
          <w:tcPr>
            <w:tcW w:w="1333" w:type="dxa"/>
            <w:tcBorders>
              <w:top w:val="nil"/>
              <w:left w:val="nil"/>
              <w:bottom w:val="single" w:sz="4" w:space="0" w:color="auto"/>
              <w:right w:val="single" w:sz="4" w:space="0" w:color="auto"/>
            </w:tcBorders>
            <w:shd w:val="clear" w:color="auto" w:fill="auto"/>
            <w:noWrap/>
            <w:vAlign w:val="bottom"/>
            <w:hideMark/>
          </w:tcPr>
          <w:p w14:paraId="1A01627F" w14:textId="0C868F5D" w:rsidR="008E2574" w:rsidRPr="008E2574" w:rsidRDefault="008E2574" w:rsidP="00E06367">
            <w:pPr>
              <w:jc w:val="center"/>
              <w:rPr>
                <w:color w:val="000000"/>
                <w:sz w:val="16"/>
                <w:szCs w:val="16"/>
              </w:rPr>
            </w:pPr>
            <w:r w:rsidRPr="008E2574">
              <w:rPr>
                <w:color w:val="000000"/>
                <w:sz w:val="16"/>
                <w:szCs w:val="16"/>
              </w:rPr>
              <w:t>0,15</w:t>
            </w:r>
          </w:p>
        </w:tc>
        <w:tc>
          <w:tcPr>
            <w:tcW w:w="1333" w:type="dxa"/>
            <w:tcBorders>
              <w:top w:val="nil"/>
              <w:left w:val="nil"/>
              <w:bottom w:val="single" w:sz="4" w:space="0" w:color="auto"/>
              <w:right w:val="single" w:sz="4" w:space="0" w:color="auto"/>
            </w:tcBorders>
            <w:shd w:val="clear" w:color="auto" w:fill="auto"/>
            <w:noWrap/>
            <w:vAlign w:val="bottom"/>
            <w:hideMark/>
          </w:tcPr>
          <w:p w14:paraId="422C73CF" w14:textId="41C900BE" w:rsidR="008E2574" w:rsidRPr="008E2574" w:rsidRDefault="008E2574" w:rsidP="007D3CFE">
            <w:pPr>
              <w:jc w:val="center"/>
              <w:rPr>
                <w:color w:val="000000"/>
                <w:sz w:val="16"/>
                <w:szCs w:val="16"/>
              </w:rPr>
            </w:pPr>
            <w:r w:rsidRPr="008E2574">
              <w:rPr>
                <w:color w:val="000000"/>
                <w:sz w:val="16"/>
                <w:szCs w:val="16"/>
              </w:rPr>
              <w:t>0,44</w:t>
            </w:r>
          </w:p>
        </w:tc>
        <w:tc>
          <w:tcPr>
            <w:tcW w:w="1389" w:type="dxa"/>
            <w:tcBorders>
              <w:top w:val="nil"/>
              <w:left w:val="nil"/>
              <w:bottom w:val="single" w:sz="4" w:space="0" w:color="auto"/>
              <w:right w:val="single" w:sz="4" w:space="0" w:color="auto"/>
            </w:tcBorders>
            <w:shd w:val="clear" w:color="auto" w:fill="auto"/>
            <w:noWrap/>
            <w:vAlign w:val="bottom"/>
            <w:hideMark/>
          </w:tcPr>
          <w:p w14:paraId="3E63A597" w14:textId="178E395E" w:rsidR="008E2574" w:rsidRPr="008E2574" w:rsidRDefault="008E2574" w:rsidP="00E06367">
            <w:pPr>
              <w:jc w:val="center"/>
              <w:rPr>
                <w:color w:val="000000"/>
                <w:sz w:val="16"/>
                <w:szCs w:val="16"/>
              </w:rPr>
            </w:pPr>
            <w:r>
              <w:rPr>
                <w:color w:val="000000"/>
                <w:sz w:val="16"/>
                <w:szCs w:val="16"/>
              </w:rPr>
              <w:t>-</w:t>
            </w:r>
            <w:r w:rsidRPr="008E2574">
              <w:rPr>
                <w:color w:val="000000"/>
                <w:sz w:val="16"/>
                <w:szCs w:val="16"/>
              </w:rPr>
              <w:t>1.016.430,00</w:t>
            </w:r>
          </w:p>
        </w:tc>
        <w:tc>
          <w:tcPr>
            <w:tcW w:w="1375" w:type="dxa"/>
            <w:tcBorders>
              <w:top w:val="nil"/>
              <w:left w:val="nil"/>
              <w:bottom w:val="single" w:sz="4" w:space="0" w:color="auto"/>
              <w:right w:val="single" w:sz="4" w:space="0" w:color="auto"/>
            </w:tcBorders>
            <w:shd w:val="clear" w:color="auto" w:fill="auto"/>
            <w:noWrap/>
            <w:vAlign w:val="bottom"/>
            <w:hideMark/>
          </w:tcPr>
          <w:p w14:paraId="0FD46015" w14:textId="4D622BB1" w:rsidR="008E2574" w:rsidRPr="008E2574" w:rsidRDefault="008E2574" w:rsidP="00E06367">
            <w:pPr>
              <w:jc w:val="center"/>
              <w:rPr>
                <w:color w:val="000000"/>
                <w:sz w:val="16"/>
                <w:szCs w:val="16"/>
              </w:rPr>
            </w:pPr>
            <w:r w:rsidRPr="008E2574">
              <w:rPr>
                <w:color w:val="000000"/>
                <w:sz w:val="16"/>
                <w:szCs w:val="16"/>
              </w:rPr>
              <w:t>6.437.459,00</w:t>
            </w:r>
          </w:p>
        </w:tc>
        <w:tc>
          <w:tcPr>
            <w:tcW w:w="1333" w:type="dxa"/>
            <w:tcBorders>
              <w:top w:val="nil"/>
              <w:left w:val="nil"/>
              <w:bottom w:val="single" w:sz="4" w:space="0" w:color="auto"/>
              <w:right w:val="single" w:sz="4" w:space="0" w:color="auto"/>
            </w:tcBorders>
            <w:shd w:val="clear" w:color="auto" w:fill="auto"/>
            <w:noWrap/>
            <w:vAlign w:val="bottom"/>
            <w:hideMark/>
          </w:tcPr>
          <w:p w14:paraId="6176D161" w14:textId="4A330C7A" w:rsidR="008E2574" w:rsidRPr="008E2574" w:rsidRDefault="008E2574" w:rsidP="00E06367">
            <w:pPr>
              <w:jc w:val="center"/>
              <w:rPr>
                <w:color w:val="000000"/>
                <w:sz w:val="16"/>
                <w:szCs w:val="16"/>
              </w:rPr>
            </w:pPr>
            <w:r w:rsidRPr="008E2574">
              <w:rPr>
                <w:color w:val="000000"/>
                <w:sz w:val="16"/>
                <w:szCs w:val="16"/>
              </w:rPr>
              <w:t>0,00</w:t>
            </w:r>
          </w:p>
        </w:tc>
      </w:tr>
      <w:tr w:rsidR="008E2574" w:rsidRPr="008E2574" w14:paraId="77376042"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5F7D6A6" w14:textId="0CBA6EE3" w:rsidR="008E2574" w:rsidRPr="008E2574" w:rsidRDefault="008E2574" w:rsidP="008E2574">
            <w:pPr>
              <w:rPr>
                <w:color w:val="000000"/>
                <w:sz w:val="16"/>
                <w:szCs w:val="16"/>
              </w:rPr>
            </w:pPr>
            <w:r w:rsidRPr="008E2574">
              <w:rPr>
                <w:color w:val="000000"/>
                <w:sz w:val="16"/>
                <w:szCs w:val="16"/>
              </w:rPr>
              <w:t>Std. Dev.</w:t>
            </w:r>
          </w:p>
        </w:tc>
        <w:tc>
          <w:tcPr>
            <w:tcW w:w="1169" w:type="dxa"/>
            <w:tcBorders>
              <w:top w:val="nil"/>
              <w:left w:val="nil"/>
              <w:bottom w:val="single" w:sz="4" w:space="0" w:color="auto"/>
              <w:right w:val="single" w:sz="4" w:space="0" w:color="auto"/>
            </w:tcBorders>
            <w:shd w:val="clear" w:color="auto" w:fill="auto"/>
            <w:noWrap/>
            <w:vAlign w:val="bottom"/>
            <w:hideMark/>
          </w:tcPr>
          <w:p w14:paraId="7FF272D2" w14:textId="61E171BF" w:rsidR="008E2574" w:rsidRPr="008E2574" w:rsidRDefault="008E2574" w:rsidP="00E06367">
            <w:pPr>
              <w:jc w:val="center"/>
              <w:rPr>
                <w:color w:val="000000"/>
                <w:sz w:val="16"/>
                <w:szCs w:val="16"/>
              </w:rPr>
            </w:pPr>
            <w:r w:rsidRPr="008E2574">
              <w:rPr>
                <w:color w:val="000000"/>
                <w:sz w:val="16"/>
                <w:szCs w:val="16"/>
              </w:rPr>
              <w:t>0,05</w:t>
            </w:r>
          </w:p>
        </w:tc>
        <w:tc>
          <w:tcPr>
            <w:tcW w:w="1333" w:type="dxa"/>
            <w:tcBorders>
              <w:top w:val="nil"/>
              <w:left w:val="nil"/>
              <w:bottom w:val="single" w:sz="4" w:space="0" w:color="auto"/>
              <w:right w:val="single" w:sz="4" w:space="0" w:color="auto"/>
            </w:tcBorders>
            <w:shd w:val="clear" w:color="auto" w:fill="auto"/>
            <w:noWrap/>
            <w:vAlign w:val="bottom"/>
            <w:hideMark/>
          </w:tcPr>
          <w:p w14:paraId="132BDE4C" w14:textId="2136997C" w:rsidR="008E2574" w:rsidRPr="008E2574" w:rsidRDefault="008E2574" w:rsidP="00E06367">
            <w:pPr>
              <w:jc w:val="center"/>
              <w:rPr>
                <w:color w:val="000000"/>
                <w:sz w:val="16"/>
                <w:szCs w:val="16"/>
              </w:rPr>
            </w:pPr>
            <w:r w:rsidRPr="008E2574">
              <w:rPr>
                <w:color w:val="000000"/>
                <w:sz w:val="16"/>
                <w:szCs w:val="16"/>
              </w:rPr>
              <w:t>0,32</w:t>
            </w:r>
          </w:p>
        </w:tc>
        <w:tc>
          <w:tcPr>
            <w:tcW w:w="1333" w:type="dxa"/>
            <w:tcBorders>
              <w:top w:val="nil"/>
              <w:left w:val="nil"/>
              <w:bottom w:val="single" w:sz="4" w:space="0" w:color="auto"/>
              <w:right w:val="single" w:sz="4" w:space="0" w:color="auto"/>
            </w:tcBorders>
            <w:shd w:val="clear" w:color="auto" w:fill="auto"/>
            <w:noWrap/>
            <w:vAlign w:val="bottom"/>
            <w:hideMark/>
          </w:tcPr>
          <w:p w14:paraId="14FBD4C4" w14:textId="572E4599" w:rsidR="008E2574" w:rsidRPr="008E2574" w:rsidRDefault="008E2574" w:rsidP="007D3CFE">
            <w:pPr>
              <w:jc w:val="center"/>
              <w:rPr>
                <w:color w:val="000000"/>
                <w:sz w:val="16"/>
                <w:szCs w:val="16"/>
              </w:rPr>
            </w:pPr>
            <w:r w:rsidRPr="008E2574">
              <w:rPr>
                <w:color w:val="000000"/>
                <w:sz w:val="16"/>
                <w:szCs w:val="16"/>
              </w:rPr>
              <w:t>4.923.739,00</w:t>
            </w:r>
          </w:p>
        </w:tc>
        <w:tc>
          <w:tcPr>
            <w:tcW w:w="1389" w:type="dxa"/>
            <w:tcBorders>
              <w:top w:val="nil"/>
              <w:left w:val="nil"/>
              <w:bottom w:val="single" w:sz="4" w:space="0" w:color="auto"/>
              <w:right w:val="single" w:sz="4" w:space="0" w:color="auto"/>
            </w:tcBorders>
            <w:shd w:val="clear" w:color="auto" w:fill="auto"/>
            <w:noWrap/>
            <w:vAlign w:val="bottom"/>
            <w:hideMark/>
          </w:tcPr>
          <w:p w14:paraId="1C1E1DCD" w14:textId="12A50436" w:rsidR="008E2574" w:rsidRPr="008E2574" w:rsidRDefault="008E2574" w:rsidP="00E06367">
            <w:pPr>
              <w:jc w:val="center"/>
              <w:rPr>
                <w:color w:val="000000"/>
                <w:sz w:val="16"/>
                <w:szCs w:val="16"/>
              </w:rPr>
            </w:pPr>
            <w:r w:rsidRPr="008E2574">
              <w:rPr>
                <w:color w:val="000000"/>
                <w:sz w:val="16"/>
                <w:szCs w:val="16"/>
              </w:rPr>
              <w:t>0,12</w:t>
            </w:r>
          </w:p>
        </w:tc>
        <w:tc>
          <w:tcPr>
            <w:tcW w:w="1375" w:type="dxa"/>
            <w:tcBorders>
              <w:top w:val="nil"/>
              <w:left w:val="nil"/>
              <w:bottom w:val="single" w:sz="4" w:space="0" w:color="auto"/>
              <w:right w:val="single" w:sz="4" w:space="0" w:color="auto"/>
            </w:tcBorders>
            <w:shd w:val="clear" w:color="auto" w:fill="auto"/>
            <w:noWrap/>
            <w:vAlign w:val="bottom"/>
            <w:hideMark/>
          </w:tcPr>
          <w:p w14:paraId="4A69F699" w14:textId="237282BB" w:rsidR="008E2574" w:rsidRPr="008E2574" w:rsidRDefault="008E2574" w:rsidP="00E06367">
            <w:pPr>
              <w:jc w:val="center"/>
              <w:rPr>
                <w:color w:val="000000"/>
                <w:sz w:val="16"/>
                <w:szCs w:val="16"/>
              </w:rPr>
            </w:pPr>
            <w:r w:rsidRPr="008E2574">
              <w:rPr>
                <w:color w:val="000000"/>
                <w:sz w:val="16"/>
                <w:szCs w:val="16"/>
              </w:rPr>
              <w:t>0,40</w:t>
            </w:r>
          </w:p>
        </w:tc>
        <w:tc>
          <w:tcPr>
            <w:tcW w:w="1333" w:type="dxa"/>
            <w:tcBorders>
              <w:top w:val="nil"/>
              <w:left w:val="nil"/>
              <w:bottom w:val="single" w:sz="4" w:space="0" w:color="auto"/>
              <w:right w:val="single" w:sz="4" w:space="0" w:color="auto"/>
            </w:tcBorders>
            <w:shd w:val="clear" w:color="auto" w:fill="auto"/>
            <w:noWrap/>
            <w:vAlign w:val="bottom"/>
            <w:hideMark/>
          </w:tcPr>
          <w:p w14:paraId="5E261D1A" w14:textId="7B0E14AD" w:rsidR="008E2574" w:rsidRPr="008E2574" w:rsidRDefault="008E2574" w:rsidP="00E06367">
            <w:pPr>
              <w:jc w:val="center"/>
              <w:rPr>
                <w:color w:val="000000"/>
                <w:sz w:val="16"/>
                <w:szCs w:val="16"/>
              </w:rPr>
            </w:pPr>
            <w:r w:rsidRPr="008E2574">
              <w:rPr>
                <w:color w:val="000000"/>
                <w:sz w:val="16"/>
                <w:szCs w:val="16"/>
              </w:rPr>
              <w:t>0,23</w:t>
            </w:r>
          </w:p>
        </w:tc>
      </w:tr>
      <w:tr w:rsidR="008E2574" w:rsidRPr="008E2574" w14:paraId="000490E5"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74C0CF" w14:textId="0028AC5C" w:rsidR="008E2574" w:rsidRPr="008E2574" w:rsidRDefault="008E2574" w:rsidP="008E2574">
            <w:pPr>
              <w:rPr>
                <w:color w:val="000000"/>
                <w:sz w:val="16"/>
                <w:szCs w:val="16"/>
              </w:rPr>
            </w:pPr>
            <w:r w:rsidRPr="008E2574">
              <w:rPr>
                <w:color w:val="000000"/>
                <w:sz w:val="16"/>
                <w:szCs w:val="16"/>
              </w:rPr>
              <w:t>Observations</w:t>
            </w:r>
          </w:p>
        </w:tc>
        <w:tc>
          <w:tcPr>
            <w:tcW w:w="1169" w:type="dxa"/>
            <w:tcBorders>
              <w:top w:val="nil"/>
              <w:left w:val="nil"/>
              <w:bottom w:val="single" w:sz="4" w:space="0" w:color="auto"/>
              <w:right w:val="single" w:sz="4" w:space="0" w:color="auto"/>
            </w:tcBorders>
            <w:shd w:val="clear" w:color="auto" w:fill="auto"/>
            <w:noWrap/>
            <w:vAlign w:val="bottom"/>
            <w:hideMark/>
          </w:tcPr>
          <w:p w14:paraId="74159059" w14:textId="46AAF473" w:rsidR="008E2574" w:rsidRPr="008E2574" w:rsidRDefault="008E2574" w:rsidP="00E06367">
            <w:pPr>
              <w:jc w:val="center"/>
              <w:rPr>
                <w:color w:val="000000"/>
                <w:sz w:val="16"/>
                <w:szCs w:val="16"/>
              </w:rPr>
            </w:pPr>
            <w:r w:rsidRPr="008E2574">
              <w:rPr>
                <w:color w:val="000000"/>
                <w:sz w:val="16"/>
                <w:szCs w:val="16"/>
              </w:rPr>
              <w:t>315,00</w:t>
            </w:r>
          </w:p>
        </w:tc>
        <w:tc>
          <w:tcPr>
            <w:tcW w:w="1333" w:type="dxa"/>
            <w:tcBorders>
              <w:top w:val="nil"/>
              <w:left w:val="nil"/>
              <w:bottom w:val="single" w:sz="4" w:space="0" w:color="auto"/>
              <w:right w:val="single" w:sz="4" w:space="0" w:color="auto"/>
            </w:tcBorders>
            <w:shd w:val="clear" w:color="auto" w:fill="auto"/>
            <w:noWrap/>
            <w:vAlign w:val="bottom"/>
            <w:hideMark/>
          </w:tcPr>
          <w:p w14:paraId="7A4FADA6" w14:textId="2770C7C8" w:rsidR="008E2574" w:rsidRPr="008E2574" w:rsidRDefault="008E2574" w:rsidP="00E06367">
            <w:pPr>
              <w:jc w:val="center"/>
              <w:rPr>
                <w:color w:val="000000"/>
                <w:sz w:val="16"/>
                <w:szCs w:val="16"/>
              </w:rPr>
            </w:pPr>
            <w:r w:rsidRPr="008E2574">
              <w:rPr>
                <w:color w:val="000000"/>
                <w:sz w:val="16"/>
                <w:szCs w:val="16"/>
              </w:rPr>
              <w:t>315,00</w:t>
            </w:r>
          </w:p>
        </w:tc>
        <w:tc>
          <w:tcPr>
            <w:tcW w:w="1333" w:type="dxa"/>
            <w:tcBorders>
              <w:top w:val="nil"/>
              <w:left w:val="nil"/>
              <w:bottom w:val="single" w:sz="4" w:space="0" w:color="auto"/>
              <w:right w:val="single" w:sz="4" w:space="0" w:color="auto"/>
            </w:tcBorders>
            <w:shd w:val="clear" w:color="auto" w:fill="auto"/>
            <w:noWrap/>
            <w:vAlign w:val="bottom"/>
          </w:tcPr>
          <w:p w14:paraId="5DC5BB4E" w14:textId="2530F0DA" w:rsidR="008E2574" w:rsidRPr="008E2574" w:rsidRDefault="008E2574" w:rsidP="007D3CFE">
            <w:pPr>
              <w:jc w:val="center"/>
              <w:rPr>
                <w:color w:val="000000"/>
                <w:sz w:val="16"/>
                <w:szCs w:val="16"/>
              </w:rPr>
            </w:pPr>
            <w:r w:rsidRPr="008E2574">
              <w:rPr>
                <w:color w:val="000000"/>
                <w:sz w:val="16"/>
                <w:szCs w:val="16"/>
              </w:rPr>
              <w:t>315,00</w:t>
            </w:r>
          </w:p>
        </w:tc>
        <w:tc>
          <w:tcPr>
            <w:tcW w:w="1389" w:type="dxa"/>
            <w:tcBorders>
              <w:top w:val="nil"/>
              <w:left w:val="nil"/>
              <w:bottom w:val="single" w:sz="4" w:space="0" w:color="auto"/>
              <w:right w:val="single" w:sz="4" w:space="0" w:color="auto"/>
            </w:tcBorders>
            <w:shd w:val="clear" w:color="auto" w:fill="auto"/>
            <w:noWrap/>
            <w:vAlign w:val="bottom"/>
          </w:tcPr>
          <w:p w14:paraId="05AF7EE0" w14:textId="55CD7198" w:rsidR="008E2574" w:rsidRPr="008E2574" w:rsidRDefault="008E2574" w:rsidP="008E2574">
            <w:pPr>
              <w:jc w:val="center"/>
              <w:rPr>
                <w:color w:val="000000"/>
                <w:sz w:val="16"/>
                <w:szCs w:val="16"/>
              </w:rPr>
            </w:pPr>
            <w:r w:rsidRPr="008E2574">
              <w:rPr>
                <w:color w:val="000000"/>
                <w:sz w:val="16"/>
                <w:szCs w:val="16"/>
              </w:rPr>
              <w:t xml:space="preserve">315,00 </w:t>
            </w:r>
          </w:p>
        </w:tc>
        <w:tc>
          <w:tcPr>
            <w:tcW w:w="1375" w:type="dxa"/>
            <w:tcBorders>
              <w:top w:val="nil"/>
              <w:left w:val="nil"/>
              <w:bottom w:val="single" w:sz="4" w:space="0" w:color="auto"/>
              <w:right w:val="single" w:sz="4" w:space="0" w:color="auto"/>
            </w:tcBorders>
            <w:shd w:val="clear" w:color="auto" w:fill="auto"/>
            <w:noWrap/>
            <w:vAlign w:val="bottom"/>
          </w:tcPr>
          <w:p w14:paraId="38A2FB31" w14:textId="663C1B65" w:rsidR="008E2574" w:rsidRPr="008E2574" w:rsidRDefault="008E2574" w:rsidP="00E06367">
            <w:pPr>
              <w:jc w:val="center"/>
              <w:rPr>
                <w:color w:val="000000"/>
                <w:sz w:val="16"/>
                <w:szCs w:val="16"/>
              </w:rPr>
            </w:pPr>
            <w:r>
              <w:rPr>
                <w:color w:val="000000"/>
                <w:sz w:val="16"/>
                <w:szCs w:val="16"/>
              </w:rPr>
              <w:t>3</w:t>
            </w:r>
            <w:r w:rsidRPr="008E2574">
              <w:rPr>
                <w:color w:val="000000"/>
                <w:sz w:val="16"/>
                <w:szCs w:val="16"/>
              </w:rPr>
              <w:t>15,00</w:t>
            </w:r>
          </w:p>
        </w:tc>
        <w:tc>
          <w:tcPr>
            <w:tcW w:w="1333" w:type="dxa"/>
            <w:tcBorders>
              <w:top w:val="nil"/>
              <w:left w:val="nil"/>
              <w:bottom w:val="single" w:sz="4" w:space="0" w:color="auto"/>
              <w:right w:val="single" w:sz="4" w:space="0" w:color="auto"/>
            </w:tcBorders>
            <w:shd w:val="clear" w:color="auto" w:fill="auto"/>
            <w:noWrap/>
            <w:vAlign w:val="bottom"/>
          </w:tcPr>
          <w:p w14:paraId="5F8B59E5" w14:textId="2AF3D6EC" w:rsidR="008E2574" w:rsidRPr="008E2574" w:rsidRDefault="008E2574" w:rsidP="00E06367">
            <w:pPr>
              <w:jc w:val="center"/>
              <w:rPr>
                <w:color w:val="000000"/>
                <w:sz w:val="16"/>
                <w:szCs w:val="16"/>
              </w:rPr>
            </w:pPr>
            <w:r w:rsidRPr="008E2574">
              <w:rPr>
                <w:color w:val="000000"/>
                <w:sz w:val="16"/>
                <w:szCs w:val="16"/>
              </w:rPr>
              <w:t>315,00</w:t>
            </w:r>
          </w:p>
        </w:tc>
      </w:tr>
      <w:tr w:rsidR="008E2574" w:rsidRPr="008E2574" w14:paraId="45BE0C8E" w14:textId="77777777" w:rsidTr="00E06367">
        <w:trPr>
          <w:trHeight w:hRule="exact" w:val="170"/>
        </w:trPr>
        <w:tc>
          <w:tcPr>
            <w:tcW w:w="906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7477B" w14:textId="77777777" w:rsidR="008E2574" w:rsidRPr="008E2574" w:rsidRDefault="008E2574" w:rsidP="008E2574">
            <w:pPr>
              <w:jc w:val="center"/>
              <w:rPr>
                <w:b/>
                <w:bCs/>
                <w:color w:val="000000"/>
                <w:sz w:val="16"/>
                <w:szCs w:val="16"/>
              </w:rPr>
            </w:pPr>
            <w:r w:rsidRPr="008E2574">
              <w:rPr>
                <w:b/>
                <w:bCs/>
                <w:color w:val="000000"/>
                <w:sz w:val="16"/>
                <w:szCs w:val="16"/>
              </w:rPr>
              <w:t>CIAS BR ABAIXO MÉDIA</w:t>
            </w:r>
          </w:p>
        </w:tc>
      </w:tr>
      <w:tr w:rsidR="008E2574" w:rsidRPr="008E2574" w14:paraId="13389747"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6F4873E" w14:textId="77777777" w:rsidR="008E2574" w:rsidRPr="008E2574" w:rsidRDefault="008E2574" w:rsidP="008E2574">
            <w:pPr>
              <w:jc w:val="center"/>
              <w:rPr>
                <w:color w:val="000000"/>
                <w:sz w:val="16"/>
                <w:szCs w:val="16"/>
              </w:rPr>
            </w:pPr>
            <w:r w:rsidRPr="008E2574">
              <w:rPr>
                <w:color w:val="000000"/>
                <w:sz w:val="16"/>
                <w:szCs w:val="16"/>
              </w:rPr>
              <w:t> </w:t>
            </w:r>
          </w:p>
        </w:tc>
        <w:tc>
          <w:tcPr>
            <w:tcW w:w="1169" w:type="dxa"/>
            <w:tcBorders>
              <w:top w:val="nil"/>
              <w:left w:val="nil"/>
              <w:bottom w:val="single" w:sz="4" w:space="0" w:color="auto"/>
              <w:right w:val="single" w:sz="4" w:space="0" w:color="auto"/>
            </w:tcBorders>
            <w:shd w:val="clear" w:color="auto" w:fill="auto"/>
            <w:noWrap/>
            <w:vAlign w:val="bottom"/>
            <w:hideMark/>
          </w:tcPr>
          <w:p w14:paraId="0DF51F55" w14:textId="77777777" w:rsidR="008E2574" w:rsidRPr="008E2574" w:rsidRDefault="008E2574" w:rsidP="008E2574">
            <w:pPr>
              <w:jc w:val="center"/>
              <w:rPr>
                <w:color w:val="000000"/>
                <w:sz w:val="16"/>
                <w:szCs w:val="16"/>
              </w:rPr>
            </w:pPr>
            <w:r w:rsidRPr="008E2574">
              <w:rPr>
                <w:color w:val="000000"/>
                <w:sz w:val="16"/>
                <w:szCs w:val="16"/>
              </w:rPr>
              <w:t>FINCP</w:t>
            </w:r>
          </w:p>
        </w:tc>
        <w:tc>
          <w:tcPr>
            <w:tcW w:w="1333" w:type="dxa"/>
            <w:tcBorders>
              <w:top w:val="nil"/>
              <w:left w:val="nil"/>
              <w:bottom w:val="single" w:sz="4" w:space="0" w:color="auto"/>
              <w:right w:val="single" w:sz="4" w:space="0" w:color="auto"/>
            </w:tcBorders>
            <w:shd w:val="clear" w:color="auto" w:fill="auto"/>
            <w:noWrap/>
            <w:vAlign w:val="bottom"/>
            <w:hideMark/>
          </w:tcPr>
          <w:p w14:paraId="0FBFB023" w14:textId="77777777" w:rsidR="008E2574" w:rsidRPr="008E2574" w:rsidRDefault="008E2574" w:rsidP="008E2574">
            <w:pPr>
              <w:jc w:val="center"/>
              <w:rPr>
                <w:color w:val="000000"/>
                <w:sz w:val="16"/>
                <w:szCs w:val="16"/>
              </w:rPr>
            </w:pPr>
            <w:r w:rsidRPr="008E2574">
              <w:rPr>
                <w:color w:val="000000"/>
                <w:sz w:val="16"/>
                <w:szCs w:val="16"/>
              </w:rPr>
              <w:t>BD</w:t>
            </w:r>
          </w:p>
        </w:tc>
        <w:tc>
          <w:tcPr>
            <w:tcW w:w="1333" w:type="dxa"/>
            <w:tcBorders>
              <w:top w:val="nil"/>
              <w:left w:val="nil"/>
              <w:bottom w:val="single" w:sz="4" w:space="0" w:color="auto"/>
              <w:right w:val="single" w:sz="4" w:space="0" w:color="auto"/>
            </w:tcBorders>
            <w:shd w:val="clear" w:color="auto" w:fill="auto"/>
            <w:noWrap/>
            <w:vAlign w:val="bottom"/>
            <w:hideMark/>
          </w:tcPr>
          <w:p w14:paraId="47D4E14B" w14:textId="77777777" w:rsidR="008E2574" w:rsidRPr="008E2574" w:rsidRDefault="008E2574" w:rsidP="008E2574">
            <w:pPr>
              <w:jc w:val="center"/>
              <w:rPr>
                <w:color w:val="000000"/>
                <w:sz w:val="16"/>
                <w:szCs w:val="16"/>
              </w:rPr>
            </w:pPr>
            <w:r w:rsidRPr="008E2574">
              <w:rPr>
                <w:color w:val="000000"/>
                <w:sz w:val="16"/>
                <w:szCs w:val="16"/>
              </w:rPr>
              <w:t>INT</w:t>
            </w:r>
          </w:p>
        </w:tc>
        <w:tc>
          <w:tcPr>
            <w:tcW w:w="1389" w:type="dxa"/>
            <w:tcBorders>
              <w:top w:val="nil"/>
              <w:left w:val="nil"/>
              <w:bottom w:val="single" w:sz="4" w:space="0" w:color="auto"/>
              <w:right w:val="single" w:sz="4" w:space="0" w:color="auto"/>
            </w:tcBorders>
            <w:shd w:val="clear" w:color="auto" w:fill="auto"/>
            <w:noWrap/>
            <w:vAlign w:val="bottom"/>
            <w:hideMark/>
          </w:tcPr>
          <w:p w14:paraId="4CD3C506" w14:textId="77777777" w:rsidR="008E2574" w:rsidRPr="008E2574" w:rsidRDefault="008E2574" w:rsidP="008E2574">
            <w:pPr>
              <w:jc w:val="center"/>
              <w:rPr>
                <w:color w:val="000000"/>
                <w:sz w:val="16"/>
                <w:szCs w:val="16"/>
              </w:rPr>
            </w:pPr>
            <w:r w:rsidRPr="008E2574">
              <w:rPr>
                <w:color w:val="000000"/>
                <w:sz w:val="16"/>
                <w:szCs w:val="16"/>
              </w:rPr>
              <w:t>RENT</w:t>
            </w:r>
          </w:p>
        </w:tc>
        <w:tc>
          <w:tcPr>
            <w:tcW w:w="1375" w:type="dxa"/>
            <w:tcBorders>
              <w:top w:val="nil"/>
              <w:left w:val="nil"/>
              <w:bottom w:val="single" w:sz="4" w:space="0" w:color="auto"/>
              <w:right w:val="single" w:sz="4" w:space="0" w:color="auto"/>
            </w:tcBorders>
            <w:shd w:val="clear" w:color="auto" w:fill="auto"/>
            <w:noWrap/>
            <w:vAlign w:val="bottom"/>
            <w:hideMark/>
          </w:tcPr>
          <w:p w14:paraId="733A5BA8" w14:textId="77777777" w:rsidR="008E2574" w:rsidRPr="008E2574" w:rsidRDefault="008E2574" w:rsidP="008E2574">
            <w:pPr>
              <w:jc w:val="center"/>
              <w:rPr>
                <w:color w:val="000000"/>
                <w:sz w:val="16"/>
                <w:szCs w:val="16"/>
              </w:rPr>
            </w:pPr>
            <w:r w:rsidRPr="008E2574">
              <w:rPr>
                <w:color w:val="000000"/>
                <w:sz w:val="16"/>
                <w:szCs w:val="16"/>
              </w:rPr>
              <w:t>TAM</w:t>
            </w:r>
          </w:p>
        </w:tc>
        <w:tc>
          <w:tcPr>
            <w:tcW w:w="1333" w:type="dxa"/>
            <w:tcBorders>
              <w:top w:val="nil"/>
              <w:left w:val="nil"/>
              <w:bottom w:val="single" w:sz="4" w:space="0" w:color="auto"/>
              <w:right w:val="single" w:sz="4" w:space="0" w:color="auto"/>
            </w:tcBorders>
            <w:shd w:val="clear" w:color="auto" w:fill="auto"/>
            <w:noWrap/>
            <w:vAlign w:val="bottom"/>
            <w:hideMark/>
          </w:tcPr>
          <w:p w14:paraId="20DB2C20" w14:textId="77777777" w:rsidR="008E2574" w:rsidRPr="008E2574" w:rsidRDefault="008E2574" w:rsidP="008E2574">
            <w:pPr>
              <w:jc w:val="center"/>
              <w:rPr>
                <w:color w:val="000000"/>
                <w:sz w:val="16"/>
                <w:szCs w:val="16"/>
              </w:rPr>
            </w:pPr>
            <w:r w:rsidRPr="008E2574">
              <w:rPr>
                <w:color w:val="000000"/>
                <w:sz w:val="16"/>
                <w:szCs w:val="16"/>
              </w:rPr>
              <w:t>TANG</w:t>
            </w:r>
          </w:p>
        </w:tc>
      </w:tr>
      <w:tr w:rsidR="008E2574" w:rsidRPr="008E2574" w14:paraId="35F0BE09"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D10357D" w14:textId="7D1A4D63" w:rsidR="008E2574" w:rsidRPr="008E2574" w:rsidRDefault="008E2574" w:rsidP="008E2574">
            <w:pPr>
              <w:rPr>
                <w:color w:val="000000"/>
                <w:sz w:val="16"/>
                <w:szCs w:val="16"/>
              </w:rPr>
            </w:pPr>
            <w:r w:rsidRPr="008E2574">
              <w:rPr>
                <w:color w:val="000000"/>
                <w:sz w:val="16"/>
                <w:szCs w:val="16"/>
              </w:rPr>
              <w:t>Mean</w:t>
            </w:r>
          </w:p>
        </w:tc>
        <w:tc>
          <w:tcPr>
            <w:tcW w:w="1169" w:type="dxa"/>
            <w:tcBorders>
              <w:top w:val="nil"/>
              <w:left w:val="nil"/>
              <w:bottom w:val="single" w:sz="4" w:space="0" w:color="auto"/>
              <w:right w:val="single" w:sz="4" w:space="0" w:color="auto"/>
            </w:tcBorders>
            <w:shd w:val="clear" w:color="auto" w:fill="auto"/>
            <w:noWrap/>
            <w:vAlign w:val="bottom"/>
            <w:hideMark/>
          </w:tcPr>
          <w:p w14:paraId="71E0ED2D" w14:textId="2B968A4D" w:rsidR="008E2574" w:rsidRPr="008E2574" w:rsidRDefault="008E2574" w:rsidP="00E06367">
            <w:pPr>
              <w:jc w:val="center"/>
              <w:rPr>
                <w:color w:val="000000"/>
                <w:sz w:val="16"/>
                <w:szCs w:val="16"/>
              </w:rPr>
            </w:pPr>
            <w:r w:rsidRPr="008E2574">
              <w:rPr>
                <w:color w:val="000000"/>
                <w:sz w:val="16"/>
                <w:szCs w:val="16"/>
              </w:rPr>
              <w:t>0,14</w:t>
            </w:r>
          </w:p>
        </w:tc>
        <w:tc>
          <w:tcPr>
            <w:tcW w:w="1333" w:type="dxa"/>
            <w:tcBorders>
              <w:top w:val="nil"/>
              <w:left w:val="nil"/>
              <w:bottom w:val="single" w:sz="4" w:space="0" w:color="auto"/>
              <w:right w:val="single" w:sz="4" w:space="0" w:color="auto"/>
            </w:tcBorders>
            <w:shd w:val="clear" w:color="auto" w:fill="auto"/>
            <w:noWrap/>
            <w:vAlign w:val="bottom"/>
            <w:hideMark/>
          </w:tcPr>
          <w:p w14:paraId="5CF7BF6C" w14:textId="0374A8BB" w:rsidR="008E2574" w:rsidRPr="008E2574" w:rsidRDefault="008E2574" w:rsidP="00E06367">
            <w:pPr>
              <w:jc w:val="center"/>
              <w:rPr>
                <w:color w:val="000000"/>
                <w:sz w:val="16"/>
                <w:szCs w:val="16"/>
              </w:rPr>
            </w:pPr>
            <w:r w:rsidRPr="008E2574">
              <w:rPr>
                <w:color w:val="000000"/>
                <w:sz w:val="16"/>
                <w:szCs w:val="16"/>
              </w:rPr>
              <w:t>0,62</w:t>
            </w:r>
          </w:p>
        </w:tc>
        <w:tc>
          <w:tcPr>
            <w:tcW w:w="1333" w:type="dxa"/>
            <w:tcBorders>
              <w:top w:val="nil"/>
              <w:left w:val="nil"/>
              <w:bottom w:val="single" w:sz="4" w:space="0" w:color="auto"/>
              <w:right w:val="single" w:sz="4" w:space="0" w:color="auto"/>
            </w:tcBorders>
            <w:shd w:val="clear" w:color="auto" w:fill="auto"/>
            <w:noWrap/>
            <w:vAlign w:val="bottom"/>
            <w:hideMark/>
          </w:tcPr>
          <w:p w14:paraId="2777779D" w14:textId="27BA8512" w:rsidR="008E2574" w:rsidRPr="008E2574" w:rsidRDefault="008E2574" w:rsidP="00E06367">
            <w:pPr>
              <w:jc w:val="center"/>
              <w:rPr>
                <w:color w:val="000000"/>
                <w:sz w:val="16"/>
                <w:szCs w:val="16"/>
              </w:rPr>
            </w:pPr>
            <w:r w:rsidRPr="008E2574">
              <w:rPr>
                <w:color w:val="000000"/>
                <w:sz w:val="16"/>
                <w:szCs w:val="16"/>
              </w:rPr>
              <w:t>5.712.186,00</w:t>
            </w:r>
          </w:p>
        </w:tc>
        <w:tc>
          <w:tcPr>
            <w:tcW w:w="1389" w:type="dxa"/>
            <w:tcBorders>
              <w:top w:val="nil"/>
              <w:left w:val="nil"/>
              <w:bottom w:val="single" w:sz="4" w:space="0" w:color="auto"/>
              <w:right w:val="single" w:sz="4" w:space="0" w:color="auto"/>
            </w:tcBorders>
            <w:shd w:val="clear" w:color="auto" w:fill="auto"/>
            <w:noWrap/>
            <w:vAlign w:val="bottom"/>
            <w:hideMark/>
          </w:tcPr>
          <w:p w14:paraId="2D3492A9" w14:textId="52703F26" w:rsidR="008E2574" w:rsidRPr="008E2574" w:rsidRDefault="008E2574" w:rsidP="00E06367">
            <w:pPr>
              <w:jc w:val="center"/>
              <w:rPr>
                <w:color w:val="000000"/>
                <w:sz w:val="16"/>
                <w:szCs w:val="16"/>
              </w:rPr>
            </w:pPr>
            <w:r w:rsidRPr="008E2574">
              <w:rPr>
                <w:color w:val="000000"/>
                <w:sz w:val="16"/>
                <w:szCs w:val="16"/>
              </w:rPr>
              <w:t>0,03</w:t>
            </w:r>
          </w:p>
        </w:tc>
        <w:tc>
          <w:tcPr>
            <w:tcW w:w="1375" w:type="dxa"/>
            <w:tcBorders>
              <w:top w:val="nil"/>
              <w:left w:val="nil"/>
              <w:bottom w:val="single" w:sz="4" w:space="0" w:color="auto"/>
              <w:right w:val="single" w:sz="4" w:space="0" w:color="auto"/>
            </w:tcBorders>
            <w:shd w:val="clear" w:color="auto" w:fill="auto"/>
            <w:noWrap/>
            <w:vAlign w:val="bottom"/>
            <w:hideMark/>
          </w:tcPr>
          <w:p w14:paraId="54EB21F4" w14:textId="4115FFB1" w:rsidR="008E2574" w:rsidRPr="008E2574" w:rsidRDefault="008E2574" w:rsidP="00E06367">
            <w:pPr>
              <w:jc w:val="center"/>
              <w:rPr>
                <w:color w:val="000000"/>
                <w:sz w:val="16"/>
                <w:szCs w:val="16"/>
              </w:rPr>
            </w:pPr>
            <w:r w:rsidRPr="008E2574">
              <w:rPr>
                <w:color w:val="000000"/>
                <w:sz w:val="16"/>
                <w:szCs w:val="16"/>
              </w:rPr>
              <w:t>5.690.918,00</w:t>
            </w:r>
          </w:p>
        </w:tc>
        <w:tc>
          <w:tcPr>
            <w:tcW w:w="1333" w:type="dxa"/>
            <w:tcBorders>
              <w:top w:val="nil"/>
              <w:left w:val="nil"/>
              <w:bottom w:val="single" w:sz="4" w:space="0" w:color="auto"/>
              <w:right w:val="single" w:sz="4" w:space="0" w:color="auto"/>
            </w:tcBorders>
            <w:shd w:val="clear" w:color="auto" w:fill="auto"/>
            <w:noWrap/>
            <w:vAlign w:val="bottom"/>
            <w:hideMark/>
          </w:tcPr>
          <w:p w14:paraId="5B826F32" w14:textId="03FEF728" w:rsidR="008E2574" w:rsidRPr="008E2574" w:rsidRDefault="008E2574" w:rsidP="00E06367">
            <w:pPr>
              <w:jc w:val="center"/>
              <w:rPr>
                <w:color w:val="000000"/>
                <w:sz w:val="16"/>
                <w:szCs w:val="16"/>
              </w:rPr>
            </w:pPr>
            <w:r w:rsidRPr="008E2574">
              <w:rPr>
                <w:color w:val="000000"/>
                <w:sz w:val="16"/>
                <w:szCs w:val="16"/>
              </w:rPr>
              <w:t>0,21</w:t>
            </w:r>
          </w:p>
        </w:tc>
      </w:tr>
      <w:tr w:rsidR="008E2574" w:rsidRPr="008E2574" w14:paraId="719A6B9B"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FB7362F" w14:textId="2F33E232" w:rsidR="008E2574" w:rsidRPr="008E2574" w:rsidRDefault="008E2574" w:rsidP="00797D2B">
            <w:pPr>
              <w:rPr>
                <w:color w:val="000000"/>
                <w:sz w:val="16"/>
                <w:szCs w:val="16"/>
              </w:rPr>
            </w:pPr>
            <w:r w:rsidRPr="008E2574">
              <w:rPr>
                <w:color w:val="000000"/>
                <w:sz w:val="16"/>
                <w:szCs w:val="16"/>
              </w:rPr>
              <w:t>Median</w:t>
            </w:r>
          </w:p>
        </w:tc>
        <w:tc>
          <w:tcPr>
            <w:tcW w:w="1169" w:type="dxa"/>
            <w:tcBorders>
              <w:top w:val="nil"/>
              <w:left w:val="nil"/>
              <w:bottom w:val="single" w:sz="4" w:space="0" w:color="auto"/>
              <w:right w:val="single" w:sz="4" w:space="0" w:color="auto"/>
            </w:tcBorders>
            <w:shd w:val="clear" w:color="auto" w:fill="auto"/>
            <w:noWrap/>
            <w:vAlign w:val="bottom"/>
            <w:hideMark/>
          </w:tcPr>
          <w:p w14:paraId="62A69DE3" w14:textId="49447EC5" w:rsidR="008E2574" w:rsidRPr="008E2574" w:rsidRDefault="008E2574" w:rsidP="00E06367">
            <w:pPr>
              <w:jc w:val="center"/>
              <w:rPr>
                <w:color w:val="000000"/>
                <w:sz w:val="16"/>
                <w:szCs w:val="16"/>
              </w:rPr>
            </w:pPr>
            <w:r w:rsidRPr="008E2574">
              <w:rPr>
                <w:color w:val="000000"/>
                <w:sz w:val="16"/>
                <w:szCs w:val="16"/>
              </w:rPr>
              <w:t>0,08</w:t>
            </w:r>
          </w:p>
        </w:tc>
        <w:tc>
          <w:tcPr>
            <w:tcW w:w="1333" w:type="dxa"/>
            <w:tcBorders>
              <w:top w:val="nil"/>
              <w:left w:val="nil"/>
              <w:bottom w:val="single" w:sz="4" w:space="0" w:color="auto"/>
              <w:right w:val="single" w:sz="4" w:space="0" w:color="auto"/>
            </w:tcBorders>
            <w:shd w:val="clear" w:color="auto" w:fill="auto"/>
            <w:noWrap/>
            <w:vAlign w:val="bottom"/>
            <w:hideMark/>
          </w:tcPr>
          <w:p w14:paraId="2D03EE33" w14:textId="2D79CBAD" w:rsidR="008E2574" w:rsidRPr="008E2574" w:rsidRDefault="008E2574" w:rsidP="00E06367">
            <w:pPr>
              <w:jc w:val="center"/>
              <w:rPr>
                <w:color w:val="000000"/>
                <w:sz w:val="16"/>
                <w:szCs w:val="16"/>
              </w:rPr>
            </w:pPr>
            <w:r w:rsidRPr="008E2574">
              <w:rPr>
                <w:color w:val="000000"/>
                <w:sz w:val="16"/>
                <w:szCs w:val="16"/>
              </w:rPr>
              <w:t>0,55</w:t>
            </w:r>
          </w:p>
        </w:tc>
        <w:tc>
          <w:tcPr>
            <w:tcW w:w="1333" w:type="dxa"/>
            <w:tcBorders>
              <w:top w:val="nil"/>
              <w:left w:val="nil"/>
              <w:bottom w:val="single" w:sz="4" w:space="0" w:color="auto"/>
              <w:right w:val="single" w:sz="4" w:space="0" w:color="auto"/>
            </w:tcBorders>
            <w:shd w:val="clear" w:color="auto" w:fill="auto"/>
            <w:noWrap/>
            <w:vAlign w:val="bottom"/>
            <w:hideMark/>
          </w:tcPr>
          <w:p w14:paraId="0AD5E11D" w14:textId="398FB96A" w:rsidR="008E2574" w:rsidRPr="008E2574" w:rsidRDefault="008E2574" w:rsidP="00E06367">
            <w:pPr>
              <w:jc w:val="center"/>
              <w:rPr>
                <w:color w:val="000000"/>
                <w:sz w:val="16"/>
                <w:szCs w:val="16"/>
              </w:rPr>
            </w:pPr>
            <w:r w:rsidRPr="008E2574">
              <w:rPr>
                <w:color w:val="000000"/>
                <w:sz w:val="16"/>
                <w:szCs w:val="16"/>
              </w:rPr>
              <w:t>2.761.876,00</w:t>
            </w:r>
          </w:p>
        </w:tc>
        <w:tc>
          <w:tcPr>
            <w:tcW w:w="1389" w:type="dxa"/>
            <w:tcBorders>
              <w:top w:val="nil"/>
              <w:left w:val="nil"/>
              <w:bottom w:val="single" w:sz="4" w:space="0" w:color="auto"/>
              <w:right w:val="single" w:sz="4" w:space="0" w:color="auto"/>
            </w:tcBorders>
            <w:shd w:val="clear" w:color="auto" w:fill="auto"/>
            <w:noWrap/>
            <w:vAlign w:val="bottom"/>
            <w:hideMark/>
          </w:tcPr>
          <w:p w14:paraId="4A29CD0F" w14:textId="3733698D" w:rsidR="008E2574" w:rsidRPr="008E2574" w:rsidRDefault="008E2574" w:rsidP="00E06367">
            <w:pPr>
              <w:jc w:val="center"/>
              <w:rPr>
                <w:color w:val="000000"/>
                <w:sz w:val="16"/>
                <w:szCs w:val="16"/>
              </w:rPr>
            </w:pPr>
            <w:r w:rsidRPr="008E2574">
              <w:rPr>
                <w:color w:val="000000"/>
                <w:sz w:val="16"/>
                <w:szCs w:val="16"/>
              </w:rPr>
              <w:t>0,06</w:t>
            </w:r>
          </w:p>
        </w:tc>
        <w:tc>
          <w:tcPr>
            <w:tcW w:w="1375" w:type="dxa"/>
            <w:tcBorders>
              <w:top w:val="nil"/>
              <w:left w:val="nil"/>
              <w:bottom w:val="single" w:sz="4" w:space="0" w:color="auto"/>
              <w:right w:val="single" w:sz="4" w:space="0" w:color="auto"/>
            </w:tcBorders>
            <w:shd w:val="clear" w:color="auto" w:fill="auto"/>
            <w:noWrap/>
            <w:vAlign w:val="bottom"/>
            <w:hideMark/>
          </w:tcPr>
          <w:p w14:paraId="40AC82C7" w14:textId="675C6271" w:rsidR="008E2574" w:rsidRPr="008E2574" w:rsidRDefault="008E2574" w:rsidP="00E06367">
            <w:pPr>
              <w:jc w:val="center"/>
              <w:rPr>
                <w:color w:val="000000"/>
                <w:sz w:val="16"/>
                <w:szCs w:val="16"/>
              </w:rPr>
            </w:pPr>
            <w:r w:rsidRPr="008E2574">
              <w:rPr>
                <w:color w:val="000000"/>
                <w:sz w:val="16"/>
                <w:szCs w:val="16"/>
              </w:rPr>
              <w:t>5.803.860,00</w:t>
            </w:r>
          </w:p>
        </w:tc>
        <w:tc>
          <w:tcPr>
            <w:tcW w:w="1333" w:type="dxa"/>
            <w:tcBorders>
              <w:top w:val="nil"/>
              <w:left w:val="nil"/>
              <w:bottom w:val="single" w:sz="4" w:space="0" w:color="auto"/>
              <w:right w:val="single" w:sz="4" w:space="0" w:color="auto"/>
            </w:tcBorders>
            <w:shd w:val="clear" w:color="auto" w:fill="auto"/>
            <w:noWrap/>
            <w:vAlign w:val="bottom"/>
            <w:hideMark/>
          </w:tcPr>
          <w:p w14:paraId="3521ED53" w14:textId="5E3969A2" w:rsidR="008E2574" w:rsidRPr="008E2574" w:rsidRDefault="008E2574" w:rsidP="00E06367">
            <w:pPr>
              <w:jc w:val="center"/>
              <w:rPr>
                <w:color w:val="000000"/>
                <w:sz w:val="16"/>
                <w:szCs w:val="16"/>
              </w:rPr>
            </w:pPr>
            <w:r w:rsidRPr="008E2574">
              <w:rPr>
                <w:color w:val="000000"/>
                <w:sz w:val="16"/>
                <w:szCs w:val="16"/>
              </w:rPr>
              <w:t>0,16</w:t>
            </w:r>
          </w:p>
        </w:tc>
      </w:tr>
      <w:tr w:rsidR="008E2574" w:rsidRPr="008E2574" w14:paraId="3CC75112"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C1F0D13" w14:textId="6EB908D5" w:rsidR="008E2574" w:rsidRPr="008E2574" w:rsidRDefault="008E2574" w:rsidP="00797D2B">
            <w:pPr>
              <w:rPr>
                <w:color w:val="000000"/>
                <w:sz w:val="16"/>
                <w:szCs w:val="16"/>
              </w:rPr>
            </w:pPr>
            <w:r w:rsidRPr="008E2574">
              <w:rPr>
                <w:color w:val="000000"/>
                <w:sz w:val="16"/>
                <w:szCs w:val="16"/>
              </w:rPr>
              <w:t>Maximum</w:t>
            </w:r>
          </w:p>
        </w:tc>
        <w:tc>
          <w:tcPr>
            <w:tcW w:w="1169" w:type="dxa"/>
            <w:tcBorders>
              <w:top w:val="nil"/>
              <w:left w:val="nil"/>
              <w:bottom w:val="single" w:sz="4" w:space="0" w:color="auto"/>
              <w:right w:val="single" w:sz="4" w:space="0" w:color="auto"/>
            </w:tcBorders>
            <w:shd w:val="clear" w:color="auto" w:fill="auto"/>
            <w:noWrap/>
            <w:vAlign w:val="bottom"/>
            <w:hideMark/>
          </w:tcPr>
          <w:p w14:paraId="5E455DCE" w14:textId="63C01A64" w:rsidR="008E2574" w:rsidRPr="008E2574" w:rsidRDefault="008E2574" w:rsidP="00E06367">
            <w:pPr>
              <w:jc w:val="center"/>
              <w:rPr>
                <w:color w:val="000000"/>
                <w:sz w:val="16"/>
                <w:szCs w:val="16"/>
              </w:rPr>
            </w:pPr>
            <w:r w:rsidRPr="008E2574">
              <w:rPr>
                <w:color w:val="000000"/>
                <w:sz w:val="16"/>
                <w:szCs w:val="16"/>
              </w:rPr>
              <w:t>1.556.916,00</w:t>
            </w:r>
          </w:p>
        </w:tc>
        <w:tc>
          <w:tcPr>
            <w:tcW w:w="1333" w:type="dxa"/>
            <w:tcBorders>
              <w:top w:val="nil"/>
              <w:left w:val="nil"/>
              <w:bottom w:val="single" w:sz="4" w:space="0" w:color="auto"/>
              <w:right w:val="single" w:sz="4" w:space="0" w:color="auto"/>
            </w:tcBorders>
            <w:shd w:val="clear" w:color="auto" w:fill="auto"/>
            <w:noWrap/>
            <w:vAlign w:val="bottom"/>
            <w:hideMark/>
          </w:tcPr>
          <w:p w14:paraId="262C81C0" w14:textId="3487791A" w:rsidR="008E2574" w:rsidRPr="008E2574" w:rsidRDefault="008E2574" w:rsidP="00E06367">
            <w:pPr>
              <w:jc w:val="center"/>
              <w:rPr>
                <w:color w:val="000000"/>
                <w:sz w:val="16"/>
                <w:szCs w:val="16"/>
              </w:rPr>
            </w:pPr>
            <w:r w:rsidRPr="008E2574">
              <w:rPr>
                <w:color w:val="000000"/>
                <w:sz w:val="16"/>
                <w:szCs w:val="16"/>
              </w:rPr>
              <w:t>1.709.091,00</w:t>
            </w:r>
          </w:p>
        </w:tc>
        <w:tc>
          <w:tcPr>
            <w:tcW w:w="1333" w:type="dxa"/>
            <w:tcBorders>
              <w:top w:val="nil"/>
              <w:left w:val="nil"/>
              <w:bottom w:val="single" w:sz="4" w:space="0" w:color="auto"/>
              <w:right w:val="single" w:sz="4" w:space="0" w:color="auto"/>
            </w:tcBorders>
            <w:shd w:val="clear" w:color="auto" w:fill="auto"/>
            <w:noWrap/>
            <w:vAlign w:val="bottom"/>
            <w:hideMark/>
          </w:tcPr>
          <w:p w14:paraId="147A7B65" w14:textId="59C8E1FC" w:rsidR="008E2574" w:rsidRPr="008E2574" w:rsidRDefault="008E2574" w:rsidP="00E06367">
            <w:pPr>
              <w:jc w:val="center"/>
              <w:rPr>
                <w:color w:val="000000"/>
                <w:sz w:val="16"/>
                <w:szCs w:val="16"/>
              </w:rPr>
            </w:pPr>
            <w:r w:rsidRPr="008E2574">
              <w:rPr>
                <w:color w:val="000000"/>
                <w:sz w:val="16"/>
                <w:szCs w:val="16"/>
              </w:rPr>
              <w:t>2.214.868,00</w:t>
            </w:r>
          </w:p>
        </w:tc>
        <w:tc>
          <w:tcPr>
            <w:tcW w:w="1389" w:type="dxa"/>
            <w:tcBorders>
              <w:top w:val="nil"/>
              <w:left w:val="nil"/>
              <w:bottom w:val="single" w:sz="4" w:space="0" w:color="auto"/>
              <w:right w:val="single" w:sz="4" w:space="0" w:color="auto"/>
            </w:tcBorders>
            <w:shd w:val="clear" w:color="auto" w:fill="auto"/>
            <w:noWrap/>
            <w:vAlign w:val="bottom"/>
            <w:hideMark/>
          </w:tcPr>
          <w:p w14:paraId="39DC8099" w14:textId="4A650A68" w:rsidR="008E2574" w:rsidRPr="008E2574" w:rsidRDefault="008E2574" w:rsidP="00E06367">
            <w:pPr>
              <w:jc w:val="center"/>
              <w:rPr>
                <w:color w:val="000000"/>
                <w:sz w:val="16"/>
                <w:szCs w:val="16"/>
              </w:rPr>
            </w:pPr>
            <w:r w:rsidRPr="008E2574">
              <w:rPr>
                <w:color w:val="000000"/>
                <w:sz w:val="16"/>
                <w:szCs w:val="16"/>
              </w:rPr>
              <w:t>0,50</w:t>
            </w:r>
          </w:p>
        </w:tc>
        <w:tc>
          <w:tcPr>
            <w:tcW w:w="1375" w:type="dxa"/>
            <w:tcBorders>
              <w:top w:val="nil"/>
              <w:left w:val="nil"/>
              <w:bottom w:val="single" w:sz="4" w:space="0" w:color="auto"/>
              <w:right w:val="single" w:sz="4" w:space="0" w:color="auto"/>
            </w:tcBorders>
            <w:shd w:val="clear" w:color="auto" w:fill="auto"/>
            <w:noWrap/>
            <w:vAlign w:val="bottom"/>
            <w:hideMark/>
          </w:tcPr>
          <w:p w14:paraId="5B3E3C2E" w14:textId="5B964ADC" w:rsidR="008E2574" w:rsidRPr="008E2574" w:rsidRDefault="008E2574" w:rsidP="00E06367">
            <w:pPr>
              <w:jc w:val="center"/>
              <w:rPr>
                <w:color w:val="000000"/>
                <w:sz w:val="16"/>
                <w:szCs w:val="16"/>
              </w:rPr>
            </w:pPr>
            <w:r w:rsidRPr="008E2574">
              <w:rPr>
                <w:color w:val="000000"/>
                <w:sz w:val="16"/>
                <w:szCs w:val="16"/>
              </w:rPr>
              <w:t>6.426.225,00</w:t>
            </w:r>
          </w:p>
        </w:tc>
        <w:tc>
          <w:tcPr>
            <w:tcW w:w="1333" w:type="dxa"/>
            <w:tcBorders>
              <w:top w:val="nil"/>
              <w:left w:val="nil"/>
              <w:bottom w:val="single" w:sz="4" w:space="0" w:color="auto"/>
              <w:right w:val="single" w:sz="4" w:space="0" w:color="auto"/>
            </w:tcBorders>
            <w:shd w:val="clear" w:color="auto" w:fill="auto"/>
            <w:noWrap/>
            <w:vAlign w:val="bottom"/>
            <w:hideMark/>
          </w:tcPr>
          <w:p w14:paraId="7D979F4D" w14:textId="2FC2C00D" w:rsidR="008E2574" w:rsidRPr="008E2574" w:rsidRDefault="008E2574" w:rsidP="00E06367">
            <w:pPr>
              <w:jc w:val="center"/>
              <w:rPr>
                <w:color w:val="000000"/>
                <w:sz w:val="16"/>
                <w:szCs w:val="16"/>
              </w:rPr>
            </w:pPr>
            <w:r w:rsidRPr="008E2574">
              <w:rPr>
                <w:color w:val="000000"/>
                <w:sz w:val="16"/>
                <w:szCs w:val="16"/>
              </w:rPr>
              <w:t>0,88</w:t>
            </w:r>
          </w:p>
        </w:tc>
      </w:tr>
      <w:tr w:rsidR="008E2574" w:rsidRPr="008E2574" w14:paraId="5613A022"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57E025F" w14:textId="2308009C" w:rsidR="008E2574" w:rsidRPr="008E2574" w:rsidRDefault="008E2574" w:rsidP="00797D2B">
            <w:pPr>
              <w:rPr>
                <w:color w:val="000000"/>
                <w:sz w:val="16"/>
                <w:szCs w:val="16"/>
              </w:rPr>
            </w:pPr>
            <w:r w:rsidRPr="008E2574">
              <w:rPr>
                <w:color w:val="000000"/>
                <w:sz w:val="16"/>
                <w:szCs w:val="16"/>
              </w:rPr>
              <w:t>Minimum</w:t>
            </w:r>
          </w:p>
        </w:tc>
        <w:tc>
          <w:tcPr>
            <w:tcW w:w="1169" w:type="dxa"/>
            <w:tcBorders>
              <w:top w:val="nil"/>
              <w:left w:val="nil"/>
              <w:bottom w:val="single" w:sz="4" w:space="0" w:color="auto"/>
              <w:right w:val="single" w:sz="4" w:space="0" w:color="auto"/>
            </w:tcBorders>
            <w:shd w:val="clear" w:color="auto" w:fill="auto"/>
            <w:noWrap/>
            <w:vAlign w:val="bottom"/>
            <w:hideMark/>
          </w:tcPr>
          <w:p w14:paraId="0E2DC065" w14:textId="5BC14B76" w:rsidR="008E2574" w:rsidRPr="008E2574" w:rsidRDefault="008E2574" w:rsidP="00E06367">
            <w:pPr>
              <w:jc w:val="center"/>
              <w:rPr>
                <w:color w:val="000000"/>
                <w:sz w:val="16"/>
                <w:szCs w:val="16"/>
              </w:rPr>
            </w:pPr>
            <w:r w:rsidRPr="008E2574">
              <w:rPr>
                <w:color w:val="000000"/>
                <w:sz w:val="16"/>
                <w:szCs w:val="16"/>
              </w:rPr>
              <w:t>0,00</w:t>
            </w:r>
          </w:p>
        </w:tc>
        <w:tc>
          <w:tcPr>
            <w:tcW w:w="1333" w:type="dxa"/>
            <w:tcBorders>
              <w:top w:val="nil"/>
              <w:left w:val="nil"/>
              <w:bottom w:val="single" w:sz="4" w:space="0" w:color="auto"/>
              <w:right w:val="single" w:sz="4" w:space="0" w:color="auto"/>
            </w:tcBorders>
            <w:shd w:val="clear" w:color="auto" w:fill="auto"/>
            <w:noWrap/>
            <w:vAlign w:val="bottom"/>
            <w:hideMark/>
          </w:tcPr>
          <w:p w14:paraId="0C3A99EB" w14:textId="4C3D9856" w:rsidR="008E2574" w:rsidRPr="008E2574" w:rsidRDefault="008E2574" w:rsidP="00E06367">
            <w:pPr>
              <w:jc w:val="center"/>
              <w:rPr>
                <w:color w:val="000000"/>
                <w:sz w:val="16"/>
                <w:szCs w:val="16"/>
              </w:rPr>
            </w:pPr>
            <w:r w:rsidRPr="008E2574">
              <w:rPr>
                <w:color w:val="000000"/>
                <w:sz w:val="16"/>
                <w:szCs w:val="16"/>
              </w:rPr>
              <w:t>0,20</w:t>
            </w:r>
          </w:p>
        </w:tc>
        <w:tc>
          <w:tcPr>
            <w:tcW w:w="1333" w:type="dxa"/>
            <w:tcBorders>
              <w:top w:val="nil"/>
              <w:left w:val="nil"/>
              <w:bottom w:val="single" w:sz="4" w:space="0" w:color="auto"/>
              <w:right w:val="single" w:sz="4" w:space="0" w:color="auto"/>
            </w:tcBorders>
            <w:shd w:val="clear" w:color="auto" w:fill="auto"/>
            <w:noWrap/>
            <w:vAlign w:val="bottom"/>
            <w:hideMark/>
          </w:tcPr>
          <w:p w14:paraId="3F2F7AD4" w14:textId="0A926F85" w:rsidR="008E2574" w:rsidRPr="008E2574" w:rsidRDefault="008E2574" w:rsidP="00E06367">
            <w:pPr>
              <w:jc w:val="center"/>
              <w:rPr>
                <w:color w:val="000000"/>
                <w:sz w:val="16"/>
                <w:szCs w:val="16"/>
              </w:rPr>
            </w:pPr>
            <w:r w:rsidRPr="008E2574">
              <w:rPr>
                <w:color w:val="000000"/>
                <w:sz w:val="16"/>
                <w:szCs w:val="16"/>
              </w:rPr>
              <w:t>0,27</w:t>
            </w:r>
          </w:p>
        </w:tc>
        <w:tc>
          <w:tcPr>
            <w:tcW w:w="1389" w:type="dxa"/>
            <w:tcBorders>
              <w:top w:val="nil"/>
              <w:left w:val="nil"/>
              <w:bottom w:val="single" w:sz="4" w:space="0" w:color="auto"/>
              <w:right w:val="single" w:sz="4" w:space="0" w:color="auto"/>
            </w:tcBorders>
            <w:shd w:val="clear" w:color="auto" w:fill="auto"/>
            <w:noWrap/>
            <w:vAlign w:val="bottom"/>
            <w:hideMark/>
          </w:tcPr>
          <w:p w14:paraId="1B87E22C" w14:textId="214D1CDD" w:rsidR="008E2574" w:rsidRPr="008E2574" w:rsidRDefault="008E2574" w:rsidP="00E06367">
            <w:pPr>
              <w:jc w:val="center"/>
              <w:rPr>
                <w:color w:val="000000"/>
                <w:sz w:val="16"/>
                <w:szCs w:val="16"/>
              </w:rPr>
            </w:pPr>
            <w:r>
              <w:rPr>
                <w:color w:val="000000"/>
                <w:sz w:val="16"/>
                <w:szCs w:val="16"/>
              </w:rPr>
              <w:t>-</w:t>
            </w:r>
            <w:r w:rsidRPr="008E2574">
              <w:rPr>
                <w:color w:val="000000"/>
                <w:sz w:val="16"/>
                <w:szCs w:val="16"/>
              </w:rPr>
              <w:t>1.443.117,00</w:t>
            </w:r>
          </w:p>
        </w:tc>
        <w:tc>
          <w:tcPr>
            <w:tcW w:w="1375" w:type="dxa"/>
            <w:tcBorders>
              <w:top w:val="nil"/>
              <w:left w:val="nil"/>
              <w:bottom w:val="single" w:sz="4" w:space="0" w:color="auto"/>
              <w:right w:val="single" w:sz="4" w:space="0" w:color="auto"/>
            </w:tcBorders>
            <w:shd w:val="clear" w:color="auto" w:fill="auto"/>
            <w:noWrap/>
            <w:vAlign w:val="bottom"/>
            <w:hideMark/>
          </w:tcPr>
          <w:p w14:paraId="46FC6C94" w14:textId="5D4E7C4D" w:rsidR="008E2574" w:rsidRPr="008E2574" w:rsidRDefault="008E2574" w:rsidP="00E06367">
            <w:pPr>
              <w:jc w:val="center"/>
              <w:rPr>
                <w:color w:val="000000"/>
                <w:sz w:val="16"/>
                <w:szCs w:val="16"/>
              </w:rPr>
            </w:pPr>
            <w:r w:rsidRPr="008E2574">
              <w:rPr>
                <w:color w:val="000000"/>
                <w:sz w:val="16"/>
                <w:szCs w:val="16"/>
              </w:rPr>
              <w:t>3.920.541,00</w:t>
            </w:r>
          </w:p>
        </w:tc>
        <w:tc>
          <w:tcPr>
            <w:tcW w:w="1333" w:type="dxa"/>
            <w:tcBorders>
              <w:top w:val="nil"/>
              <w:left w:val="nil"/>
              <w:bottom w:val="single" w:sz="4" w:space="0" w:color="auto"/>
              <w:right w:val="single" w:sz="4" w:space="0" w:color="auto"/>
            </w:tcBorders>
            <w:shd w:val="clear" w:color="auto" w:fill="auto"/>
            <w:noWrap/>
            <w:vAlign w:val="bottom"/>
            <w:hideMark/>
          </w:tcPr>
          <w:p w14:paraId="5CDE4540" w14:textId="27037E0D" w:rsidR="008E2574" w:rsidRPr="008E2574" w:rsidRDefault="008E2574" w:rsidP="00E06367">
            <w:pPr>
              <w:jc w:val="center"/>
              <w:rPr>
                <w:color w:val="000000"/>
                <w:sz w:val="16"/>
                <w:szCs w:val="16"/>
              </w:rPr>
            </w:pPr>
            <w:r w:rsidRPr="008E2574">
              <w:rPr>
                <w:color w:val="000000"/>
                <w:sz w:val="16"/>
                <w:szCs w:val="16"/>
              </w:rPr>
              <w:t>0,00</w:t>
            </w:r>
          </w:p>
        </w:tc>
      </w:tr>
      <w:tr w:rsidR="008E2574" w:rsidRPr="008E2574" w14:paraId="3295F1D2"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9F32A2B" w14:textId="3C39DE4C" w:rsidR="008E2574" w:rsidRPr="008E2574" w:rsidRDefault="008E2574" w:rsidP="00797D2B">
            <w:pPr>
              <w:rPr>
                <w:color w:val="000000"/>
                <w:sz w:val="16"/>
                <w:szCs w:val="16"/>
              </w:rPr>
            </w:pPr>
            <w:r w:rsidRPr="008E2574">
              <w:rPr>
                <w:color w:val="000000"/>
                <w:sz w:val="16"/>
                <w:szCs w:val="16"/>
              </w:rPr>
              <w:t>Std. Dev.</w:t>
            </w:r>
          </w:p>
        </w:tc>
        <w:tc>
          <w:tcPr>
            <w:tcW w:w="1169" w:type="dxa"/>
            <w:tcBorders>
              <w:top w:val="nil"/>
              <w:left w:val="nil"/>
              <w:bottom w:val="single" w:sz="4" w:space="0" w:color="auto"/>
              <w:right w:val="single" w:sz="4" w:space="0" w:color="auto"/>
            </w:tcBorders>
            <w:shd w:val="clear" w:color="auto" w:fill="auto"/>
            <w:noWrap/>
            <w:vAlign w:val="bottom"/>
            <w:hideMark/>
          </w:tcPr>
          <w:p w14:paraId="10A58A17" w14:textId="2178E59B" w:rsidR="008E2574" w:rsidRPr="008E2574" w:rsidRDefault="008E2574" w:rsidP="00E06367">
            <w:pPr>
              <w:jc w:val="center"/>
              <w:rPr>
                <w:color w:val="000000"/>
                <w:sz w:val="16"/>
                <w:szCs w:val="16"/>
              </w:rPr>
            </w:pPr>
            <w:r w:rsidRPr="008E2574">
              <w:rPr>
                <w:color w:val="000000"/>
                <w:sz w:val="16"/>
                <w:szCs w:val="16"/>
              </w:rPr>
              <w:t>0,16</w:t>
            </w:r>
          </w:p>
        </w:tc>
        <w:tc>
          <w:tcPr>
            <w:tcW w:w="1333" w:type="dxa"/>
            <w:tcBorders>
              <w:top w:val="nil"/>
              <w:left w:val="nil"/>
              <w:bottom w:val="single" w:sz="4" w:space="0" w:color="auto"/>
              <w:right w:val="single" w:sz="4" w:space="0" w:color="auto"/>
            </w:tcBorders>
            <w:shd w:val="clear" w:color="auto" w:fill="auto"/>
            <w:noWrap/>
            <w:vAlign w:val="bottom"/>
            <w:hideMark/>
          </w:tcPr>
          <w:p w14:paraId="39AF5F5C" w14:textId="7209F66D" w:rsidR="008E2574" w:rsidRPr="008E2574" w:rsidRDefault="008E2574" w:rsidP="00E06367">
            <w:pPr>
              <w:jc w:val="center"/>
              <w:rPr>
                <w:color w:val="000000"/>
                <w:sz w:val="16"/>
                <w:szCs w:val="16"/>
              </w:rPr>
            </w:pPr>
            <w:r w:rsidRPr="008E2574">
              <w:rPr>
                <w:color w:val="000000"/>
                <w:sz w:val="16"/>
                <w:szCs w:val="16"/>
              </w:rPr>
              <w:t>0,32</w:t>
            </w:r>
          </w:p>
        </w:tc>
        <w:tc>
          <w:tcPr>
            <w:tcW w:w="1333" w:type="dxa"/>
            <w:tcBorders>
              <w:top w:val="nil"/>
              <w:left w:val="nil"/>
              <w:bottom w:val="single" w:sz="4" w:space="0" w:color="auto"/>
              <w:right w:val="single" w:sz="4" w:space="0" w:color="auto"/>
            </w:tcBorders>
            <w:shd w:val="clear" w:color="auto" w:fill="auto"/>
            <w:noWrap/>
            <w:vAlign w:val="bottom"/>
            <w:hideMark/>
          </w:tcPr>
          <w:p w14:paraId="17EA1F72" w14:textId="2ECCF52B" w:rsidR="008E2574" w:rsidRPr="008E2574" w:rsidRDefault="008E2574" w:rsidP="00E06367">
            <w:pPr>
              <w:jc w:val="center"/>
              <w:rPr>
                <w:color w:val="000000"/>
                <w:sz w:val="16"/>
                <w:szCs w:val="16"/>
              </w:rPr>
            </w:pPr>
            <w:r w:rsidRPr="008E2574">
              <w:rPr>
                <w:color w:val="000000"/>
                <w:sz w:val="16"/>
                <w:szCs w:val="16"/>
              </w:rPr>
              <w:t>1.867.682,00</w:t>
            </w:r>
          </w:p>
        </w:tc>
        <w:tc>
          <w:tcPr>
            <w:tcW w:w="1389" w:type="dxa"/>
            <w:tcBorders>
              <w:top w:val="nil"/>
              <w:left w:val="nil"/>
              <w:bottom w:val="single" w:sz="4" w:space="0" w:color="auto"/>
              <w:right w:val="single" w:sz="4" w:space="0" w:color="auto"/>
            </w:tcBorders>
            <w:shd w:val="clear" w:color="auto" w:fill="auto"/>
            <w:noWrap/>
            <w:vAlign w:val="bottom"/>
            <w:hideMark/>
          </w:tcPr>
          <w:p w14:paraId="0BC515C9" w14:textId="2658FF09" w:rsidR="008E2574" w:rsidRPr="008E2574" w:rsidRDefault="008E2574" w:rsidP="00E06367">
            <w:pPr>
              <w:jc w:val="center"/>
              <w:rPr>
                <w:color w:val="000000"/>
                <w:sz w:val="16"/>
                <w:szCs w:val="16"/>
              </w:rPr>
            </w:pPr>
            <w:r w:rsidRPr="008E2574">
              <w:rPr>
                <w:color w:val="000000"/>
                <w:sz w:val="16"/>
                <w:szCs w:val="16"/>
              </w:rPr>
              <w:t>0,21</w:t>
            </w:r>
          </w:p>
        </w:tc>
        <w:tc>
          <w:tcPr>
            <w:tcW w:w="1375" w:type="dxa"/>
            <w:tcBorders>
              <w:top w:val="nil"/>
              <w:left w:val="nil"/>
              <w:bottom w:val="single" w:sz="4" w:space="0" w:color="auto"/>
              <w:right w:val="single" w:sz="4" w:space="0" w:color="auto"/>
            </w:tcBorders>
            <w:shd w:val="clear" w:color="auto" w:fill="auto"/>
            <w:noWrap/>
            <w:vAlign w:val="bottom"/>
            <w:hideMark/>
          </w:tcPr>
          <w:p w14:paraId="22E16A6E" w14:textId="4C0777A9" w:rsidR="008E2574" w:rsidRPr="008E2574" w:rsidRDefault="008E2574" w:rsidP="00E06367">
            <w:pPr>
              <w:jc w:val="center"/>
              <w:rPr>
                <w:color w:val="000000"/>
                <w:sz w:val="16"/>
                <w:szCs w:val="16"/>
              </w:rPr>
            </w:pPr>
            <w:r w:rsidRPr="008E2574">
              <w:rPr>
                <w:color w:val="000000"/>
                <w:sz w:val="16"/>
                <w:szCs w:val="16"/>
              </w:rPr>
              <w:t>0,50</w:t>
            </w:r>
          </w:p>
        </w:tc>
        <w:tc>
          <w:tcPr>
            <w:tcW w:w="1333" w:type="dxa"/>
            <w:tcBorders>
              <w:top w:val="nil"/>
              <w:left w:val="nil"/>
              <w:bottom w:val="single" w:sz="4" w:space="0" w:color="auto"/>
              <w:right w:val="single" w:sz="4" w:space="0" w:color="auto"/>
            </w:tcBorders>
            <w:shd w:val="clear" w:color="auto" w:fill="auto"/>
            <w:noWrap/>
            <w:vAlign w:val="bottom"/>
            <w:hideMark/>
          </w:tcPr>
          <w:p w14:paraId="3CBCD075" w14:textId="55867E69" w:rsidR="008E2574" w:rsidRPr="008E2574" w:rsidRDefault="008E2574" w:rsidP="00E06367">
            <w:pPr>
              <w:jc w:val="center"/>
              <w:rPr>
                <w:color w:val="000000"/>
                <w:sz w:val="16"/>
                <w:szCs w:val="16"/>
              </w:rPr>
            </w:pPr>
            <w:r w:rsidRPr="008E2574">
              <w:rPr>
                <w:color w:val="000000"/>
                <w:sz w:val="16"/>
                <w:szCs w:val="16"/>
              </w:rPr>
              <w:t>0,22</w:t>
            </w:r>
          </w:p>
        </w:tc>
      </w:tr>
      <w:tr w:rsidR="008E2574" w:rsidRPr="008E2574" w14:paraId="00E02530"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D6ACC8C" w14:textId="2CA38EBE" w:rsidR="008E2574" w:rsidRPr="008E2574" w:rsidRDefault="008E2574" w:rsidP="00797D2B">
            <w:pPr>
              <w:rPr>
                <w:color w:val="000000"/>
                <w:sz w:val="16"/>
                <w:szCs w:val="16"/>
              </w:rPr>
            </w:pPr>
            <w:r w:rsidRPr="008E2574">
              <w:rPr>
                <w:color w:val="000000"/>
                <w:sz w:val="16"/>
                <w:szCs w:val="16"/>
              </w:rPr>
              <w:t>Observations</w:t>
            </w:r>
          </w:p>
        </w:tc>
        <w:tc>
          <w:tcPr>
            <w:tcW w:w="1169" w:type="dxa"/>
            <w:tcBorders>
              <w:top w:val="nil"/>
              <w:left w:val="nil"/>
              <w:bottom w:val="single" w:sz="4" w:space="0" w:color="auto"/>
              <w:right w:val="single" w:sz="4" w:space="0" w:color="auto"/>
            </w:tcBorders>
            <w:shd w:val="clear" w:color="auto" w:fill="auto"/>
            <w:noWrap/>
            <w:vAlign w:val="bottom"/>
            <w:hideMark/>
          </w:tcPr>
          <w:p w14:paraId="4535E6BC" w14:textId="360D28D3" w:rsidR="008E2574" w:rsidRPr="008E2574" w:rsidRDefault="008E2574" w:rsidP="00E06367">
            <w:pPr>
              <w:jc w:val="center"/>
              <w:rPr>
                <w:color w:val="000000"/>
                <w:sz w:val="16"/>
                <w:szCs w:val="16"/>
              </w:rPr>
            </w:pPr>
            <w:r w:rsidRPr="008E2574">
              <w:rPr>
                <w:color w:val="000000"/>
                <w:sz w:val="16"/>
                <w:szCs w:val="16"/>
              </w:rPr>
              <w:t>245,00</w:t>
            </w:r>
          </w:p>
        </w:tc>
        <w:tc>
          <w:tcPr>
            <w:tcW w:w="1333" w:type="dxa"/>
            <w:tcBorders>
              <w:top w:val="nil"/>
              <w:left w:val="nil"/>
              <w:bottom w:val="single" w:sz="4" w:space="0" w:color="auto"/>
              <w:right w:val="single" w:sz="4" w:space="0" w:color="auto"/>
            </w:tcBorders>
            <w:shd w:val="clear" w:color="auto" w:fill="auto"/>
            <w:noWrap/>
            <w:vAlign w:val="bottom"/>
            <w:hideMark/>
          </w:tcPr>
          <w:p w14:paraId="3FE185E6" w14:textId="033FB5FA" w:rsidR="008E2574" w:rsidRPr="008E2574" w:rsidRDefault="008E2574" w:rsidP="00E06367">
            <w:pPr>
              <w:jc w:val="center"/>
              <w:rPr>
                <w:color w:val="000000"/>
                <w:sz w:val="16"/>
                <w:szCs w:val="16"/>
              </w:rPr>
            </w:pPr>
            <w:r w:rsidRPr="008E2574">
              <w:rPr>
                <w:color w:val="000000"/>
                <w:sz w:val="16"/>
                <w:szCs w:val="16"/>
              </w:rPr>
              <w:t>245,00</w:t>
            </w:r>
          </w:p>
        </w:tc>
        <w:tc>
          <w:tcPr>
            <w:tcW w:w="1333" w:type="dxa"/>
            <w:tcBorders>
              <w:top w:val="nil"/>
              <w:left w:val="nil"/>
              <w:bottom w:val="single" w:sz="4" w:space="0" w:color="auto"/>
              <w:right w:val="single" w:sz="4" w:space="0" w:color="auto"/>
            </w:tcBorders>
            <w:shd w:val="clear" w:color="auto" w:fill="auto"/>
            <w:noWrap/>
            <w:vAlign w:val="bottom"/>
            <w:hideMark/>
          </w:tcPr>
          <w:p w14:paraId="49DAACF5" w14:textId="07E640C6" w:rsidR="008E2574" w:rsidRPr="008E2574" w:rsidRDefault="008E2574" w:rsidP="00E06367">
            <w:pPr>
              <w:jc w:val="center"/>
              <w:rPr>
                <w:color w:val="000000"/>
                <w:sz w:val="16"/>
                <w:szCs w:val="16"/>
              </w:rPr>
            </w:pPr>
            <w:r w:rsidRPr="008E2574">
              <w:rPr>
                <w:color w:val="000000"/>
                <w:sz w:val="16"/>
                <w:szCs w:val="16"/>
              </w:rPr>
              <w:t>245,00</w:t>
            </w:r>
          </w:p>
        </w:tc>
        <w:tc>
          <w:tcPr>
            <w:tcW w:w="1389" w:type="dxa"/>
            <w:tcBorders>
              <w:top w:val="nil"/>
              <w:left w:val="nil"/>
              <w:bottom w:val="single" w:sz="4" w:space="0" w:color="auto"/>
              <w:right w:val="single" w:sz="4" w:space="0" w:color="auto"/>
            </w:tcBorders>
            <w:shd w:val="clear" w:color="auto" w:fill="auto"/>
            <w:noWrap/>
            <w:vAlign w:val="bottom"/>
            <w:hideMark/>
          </w:tcPr>
          <w:p w14:paraId="652A1C20" w14:textId="3F3CD150" w:rsidR="008E2574" w:rsidRPr="008E2574" w:rsidRDefault="008E2574" w:rsidP="00E06367">
            <w:pPr>
              <w:jc w:val="center"/>
              <w:rPr>
                <w:color w:val="000000"/>
                <w:sz w:val="16"/>
                <w:szCs w:val="16"/>
              </w:rPr>
            </w:pPr>
            <w:r w:rsidRPr="008E2574">
              <w:rPr>
                <w:color w:val="000000"/>
                <w:sz w:val="16"/>
                <w:szCs w:val="16"/>
              </w:rPr>
              <w:t>245,00</w:t>
            </w:r>
          </w:p>
        </w:tc>
        <w:tc>
          <w:tcPr>
            <w:tcW w:w="1375" w:type="dxa"/>
            <w:tcBorders>
              <w:top w:val="nil"/>
              <w:left w:val="nil"/>
              <w:bottom w:val="single" w:sz="4" w:space="0" w:color="auto"/>
              <w:right w:val="single" w:sz="4" w:space="0" w:color="auto"/>
            </w:tcBorders>
            <w:shd w:val="clear" w:color="auto" w:fill="auto"/>
            <w:noWrap/>
            <w:vAlign w:val="bottom"/>
            <w:hideMark/>
          </w:tcPr>
          <w:p w14:paraId="1B85F1C3" w14:textId="23AC7131" w:rsidR="008E2574" w:rsidRPr="008E2574" w:rsidRDefault="008E2574" w:rsidP="00E06367">
            <w:pPr>
              <w:jc w:val="center"/>
              <w:rPr>
                <w:color w:val="000000"/>
                <w:sz w:val="16"/>
                <w:szCs w:val="16"/>
              </w:rPr>
            </w:pPr>
            <w:r w:rsidRPr="008E2574">
              <w:rPr>
                <w:color w:val="000000"/>
                <w:sz w:val="16"/>
                <w:szCs w:val="16"/>
              </w:rPr>
              <w:t>245,00</w:t>
            </w:r>
          </w:p>
        </w:tc>
        <w:tc>
          <w:tcPr>
            <w:tcW w:w="1333" w:type="dxa"/>
            <w:tcBorders>
              <w:top w:val="nil"/>
              <w:left w:val="nil"/>
              <w:bottom w:val="single" w:sz="4" w:space="0" w:color="auto"/>
              <w:right w:val="single" w:sz="4" w:space="0" w:color="auto"/>
            </w:tcBorders>
            <w:shd w:val="clear" w:color="auto" w:fill="auto"/>
            <w:noWrap/>
            <w:vAlign w:val="bottom"/>
            <w:hideMark/>
          </w:tcPr>
          <w:p w14:paraId="7C987C29" w14:textId="297F1F9F" w:rsidR="008E2574" w:rsidRPr="008E2574" w:rsidRDefault="008E2574" w:rsidP="00E06367">
            <w:pPr>
              <w:jc w:val="center"/>
              <w:rPr>
                <w:color w:val="000000"/>
                <w:sz w:val="16"/>
                <w:szCs w:val="16"/>
              </w:rPr>
            </w:pPr>
            <w:r w:rsidRPr="008E2574">
              <w:rPr>
                <w:color w:val="000000"/>
                <w:sz w:val="16"/>
                <w:szCs w:val="16"/>
              </w:rPr>
              <w:t>245,00</w:t>
            </w:r>
          </w:p>
        </w:tc>
      </w:tr>
      <w:tr w:rsidR="008E2574" w:rsidRPr="008E2574" w14:paraId="2B05C9E4" w14:textId="77777777" w:rsidTr="00E06367">
        <w:trPr>
          <w:trHeight w:hRule="exact" w:val="170"/>
        </w:trPr>
        <w:tc>
          <w:tcPr>
            <w:tcW w:w="906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F5251" w14:textId="77777777" w:rsidR="008E2574" w:rsidRPr="008E2574" w:rsidRDefault="008E2574" w:rsidP="00797D2B">
            <w:pPr>
              <w:jc w:val="center"/>
              <w:rPr>
                <w:b/>
                <w:bCs/>
                <w:color w:val="000000"/>
                <w:sz w:val="16"/>
                <w:szCs w:val="16"/>
              </w:rPr>
            </w:pPr>
            <w:r w:rsidRPr="008E2574">
              <w:rPr>
                <w:b/>
                <w:bCs/>
                <w:color w:val="000000"/>
                <w:sz w:val="16"/>
                <w:szCs w:val="16"/>
              </w:rPr>
              <w:t>CIAS EUA ACIMA MÉDIA</w:t>
            </w:r>
          </w:p>
        </w:tc>
      </w:tr>
      <w:tr w:rsidR="008E2574" w:rsidRPr="008E2574" w14:paraId="7FFD53DC"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81EF45A" w14:textId="77777777" w:rsidR="008E2574" w:rsidRPr="008E2574" w:rsidRDefault="008E2574" w:rsidP="00797D2B">
            <w:pPr>
              <w:rPr>
                <w:color w:val="000000"/>
                <w:sz w:val="16"/>
                <w:szCs w:val="16"/>
              </w:rPr>
            </w:pPr>
            <w:r w:rsidRPr="008E2574">
              <w:rPr>
                <w:color w:val="000000"/>
                <w:sz w:val="16"/>
                <w:szCs w:val="16"/>
              </w:rPr>
              <w:t> </w:t>
            </w:r>
          </w:p>
        </w:tc>
        <w:tc>
          <w:tcPr>
            <w:tcW w:w="1169" w:type="dxa"/>
            <w:tcBorders>
              <w:top w:val="nil"/>
              <w:left w:val="nil"/>
              <w:bottom w:val="single" w:sz="4" w:space="0" w:color="auto"/>
              <w:right w:val="single" w:sz="4" w:space="0" w:color="auto"/>
            </w:tcBorders>
            <w:shd w:val="clear" w:color="auto" w:fill="auto"/>
            <w:noWrap/>
            <w:vAlign w:val="bottom"/>
            <w:hideMark/>
          </w:tcPr>
          <w:p w14:paraId="7690EB95" w14:textId="77777777" w:rsidR="008E2574" w:rsidRPr="008E2574" w:rsidRDefault="008E2574" w:rsidP="008E2574">
            <w:pPr>
              <w:jc w:val="center"/>
              <w:rPr>
                <w:color w:val="000000"/>
                <w:sz w:val="16"/>
                <w:szCs w:val="16"/>
              </w:rPr>
            </w:pPr>
            <w:r w:rsidRPr="008E2574">
              <w:rPr>
                <w:color w:val="000000"/>
                <w:sz w:val="16"/>
                <w:szCs w:val="16"/>
              </w:rPr>
              <w:t>FINCP</w:t>
            </w:r>
          </w:p>
        </w:tc>
        <w:tc>
          <w:tcPr>
            <w:tcW w:w="1333" w:type="dxa"/>
            <w:tcBorders>
              <w:top w:val="nil"/>
              <w:left w:val="nil"/>
              <w:bottom w:val="single" w:sz="4" w:space="0" w:color="auto"/>
              <w:right w:val="single" w:sz="4" w:space="0" w:color="auto"/>
            </w:tcBorders>
            <w:shd w:val="clear" w:color="auto" w:fill="auto"/>
            <w:noWrap/>
            <w:vAlign w:val="bottom"/>
            <w:hideMark/>
          </w:tcPr>
          <w:p w14:paraId="30AAB53E" w14:textId="77777777" w:rsidR="008E2574" w:rsidRPr="008E2574" w:rsidRDefault="008E2574" w:rsidP="008E2574">
            <w:pPr>
              <w:jc w:val="center"/>
              <w:rPr>
                <w:color w:val="000000"/>
                <w:sz w:val="16"/>
                <w:szCs w:val="16"/>
              </w:rPr>
            </w:pPr>
            <w:r w:rsidRPr="008E2574">
              <w:rPr>
                <w:color w:val="000000"/>
                <w:sz w:val="16"/>
                <w:szCs w:val="16"/>
              </w:rPr>
              <w:t>BD</w:t>
            </w:r>
          </w:p>
        </w:tc>
        <w:tc>
          <w:tcPr>
            <w:tcW w:w="1333" w:type="dxa"/>
            <w:tcBorders>
              <w:top w:val="nil"/>
              <w:left w:val="nil"/>
              <w:bottom w:val="single" w:sz="4" w:space="0" w:color="auto"/>
              <w:right w:val="single" w:sz="4" w:space="0" w:color="auto"/>
            </w:tcBorders>
            <w:shd w:val="clear" w:color="auto" w:fill="auto"/>
            <w:noWrap/>
            <w:vAlign w:val="bottom"/>
            <w:hideMark/>
          </w:tcPr>
          <w:p w14:paraId="1FF7E25E" w14:textId="77777777" w:rsidR="008E2574" w:rsidRPr="008E2574" w:rsidRDefault="008E2574" w:rsidP="008E2574">
            <w:pPr>
              <w:jc w:val="center"/>
              <w:rPr>
                <w:color w:val="000000"/>
                <w:sz w:val="16"/>
                <w:szCs w:val="16"/>
              </w:rPr>
            </w:pPr>
            <w:r w:rsidRPr="008E2574">
              <w:rPr>
                <w:color w:val="000000"/>
                <w:sz w:val="16"/>
                <w:szCs w:val="16"/>
              </w:rPr>
              <w:t>INT</w:t>
            </w:r>
          </w:p>
        </w:tc>
        <w:tc>
          <w:tcPr>
            <w:tcW w:w="1389" w:type="dxa"/>
            <w:tcBorders>
              <w:top w:val="nil"/>
              <w:left w:val="nil"/>
              <w:bottom w:val="single" w:sz="4" w:space="0" w:color="auto"/>
              <w:right w:val="single" w:sz="4" w:space="0" w:color="auto"/>
            </w:tcBorders>
            <w:shd w:val="clear" w:color="auto" w:fill="auto"/>
            <w:noWrap/>
            <w:vAlign w:val="bottom"/>
            <w:hideMark/>
          </w:tcPr>
          <w:p w14:paraId="03B3F7A2" w14:textId="77777777" w:rsidR="008E2574" w:rsidRPr="008E2574" w:rsidRDefault="008E2574" w:rsidP="008E2574">
            <w:pPr>
              <w:jc w:val="center"/>
              <w:rPr>
                <w:color w:val="000000"/>
                <w:sz w:val="16"/>
                <w:szCs w:val="16"/>
              </w:rPr>
            </w:pPr>
            <w:r w:rsidRPr="008E2574">
              <w:rPr>
                <w:color w:val="000000"/>
                <w:sz w:val="16"/>
                <w:szCs w:val="16"/>
              </w:rPr>
              <w:t>RENT</w:t>
            </w:r>
          </w:p>
        </w:tc>
        <w:tc>
          <w:tcPr>
            <w:tcW w:w="1375" w:type="dxa"/>
            <w:tcBorders>
              <w:top w:val="nil"/>
              <w:left w:val="nil"/>
              <w:bottom w:val="single" w:sz="4" w:space="0" w:color="auto"/>
              <w:right w:val="single" w:sz="4" w:space="0" w:color="auto"/>
            </w:tcBorders>
            <w:shd w:val="clear" w:color="auto" w:fill="auto"/>
            <w:noWrap/>
            <w:vAlign w:val="bottom"/>
            <w:hideMark/>
          </w:tcPr>
          <w:p w14:paraId="2A2FC045" w14:textId="77777777" w:rsidR="008E2574" w:rsidRPr="008E2574" w:rsidRDefault="008E2574" w:rsidP="008E2574">
            <w:pPr>
              <w:jc w:val="center"/>
              <w:rPr>
                <w:color w:val="000000"/>
                <w:sz w:val="16"/>
                <w:szCs w:val="16"/>
              </w:rPr>
            </w:pPr>
            <w:r w:rsidRPr="008E2574">
              <w:rPr>
                <w:color w:val="000000"/>
                <w:sz w:val="16"/>
                <w:szCs w:val="16"/>
              </w:rPr>
              <w:t>TAM</w:t>
            </w:r>
          </w:p>
        </w:tc>
        <w:tc>
          <w:tcPr>
            <w:tcW w:w="1333" w:type="dxa"/>
            <w:tcBorders>
              <w:top w:val="nil"/>
              <w:left w:val="nil"/>
              <w:bottom w:val="single" w:sz="4" w:space="0" w:color="auto"/>
              <w:right w:val="single" w:sz="4" w:space="0" w:color="auto"/>
            </w:tcBorders>
            <w:shd w:val="clear" w:color="auto" w:fill="auto"/>
            <w:noWrap/>
            <w:vAlign w:val="bottom"/>
            <w:hideMark/>
          </w:tcPr>
          <w:p w14:paraId="04EFD64F" w14:textId="77777777" w:rsidR="008E2574" w:rsidRPr="008E2574" w:rsidRDefault="008E2574" w:rsidP="008E2574">
            <w:pPr>
              <w:jc w:val="center"/>
              <w:rPr>
                <w:color w:val="000000"/>
                <w:sz w:val="16"/>
                <w:szCs w:val="16"/>
              </w:rPr>
            </w:pPr>
            <w:r w:rsidRPr="008E2574">
              <w:rPr>
                <w:color w:val="000000"/>
                <w:sz w:val="16"/>
                <w:szCs w:val="16"/>
              </w:rPr>
              <w:t>TANG</w:t>
            </w:r>
          </w:p>
        </w:tc>
      </w:tr>
      <w:tr w:rsidR="008E2574" w:rsidRPr="008E2574" w14:paraId="7AA8895D"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48723D8" w14:textId="2450542C" w:rsidR="008E2574" w:rsidRPr="008E2574" w:rsidRDefault="008E2574" w:rsidP="00797D2B">
            <w:pPr>
              <w:rPr>
                <w:color w:val="000000"/>
                <w:sz w:val="16"/>
                <w:szCs w:val="16"/>
              </w:rPr>
            </w:pPr>
            <w:r w:rsidRPr="008E2574">
              <w:rPr>
                <w:color w:val="000000"/>
                <w:sz w:val="16"/>
                <w:szCs w:val="16"/>
              </w:rPr>
              <w:t>Mean</w:t>
            </w:r>
          </w:p>
        </w:tc>
        <w:tc>
          <w:tcPr>
            <w:tcW w:w="1169" w:type="dxa"/>
            <w:tcBorders>
              <w:top w:val="nil"/>
              <w:left w:val="nil"/>
              <w:bottom w:val="single" w:sz="4" w:space="0" w:color="auto"/>
              <w:right w:val="single" w:sz="4" w:space="0" w:color="auto"/>
            </w:tcBorders>
            <w:shd w:val="clear" w:color="auto" w:fill="auto"/>
            <w:noWrap/>
            <w:vAlign w:val="bottom"/>
            <w:hideMark/>
          </w:tcPr>
          <w:p w14:paraId="3F76F84D" w14:textId="7CF68A4D" w:rsidR="008E2574" w:rsidRPr="008E2574" w:rsidRDefault="008E2574" w:rsidP="00797D2B">
            <w:pPr>
              <w:jc w:val="center"/>
              <w:rPr>
                <w:color w:val="000000"/>
                <w:sz w:val="16"/>
                <w:szCs w:val="16"/>
              </w:rPr>
            </w:pPr>
            <w:r w:rsidRPr="008E2574">
              <w:rPr>
                <w:color w:val="000000"/>
                <w:sz w:val="16"/>
                <w:szCs w:val="16"/>
              </w:rPr>
              <w:t>0,03</w:t>
            </w:r>
          </w:p>
        </w:tc>
        <w:tc>
          <w:tcPr>
            <w:tcW w:w="1333" w:type="dxa"/>
            <w:tcBorders>
              <w:top w:val="nil"/>
              <w:left w:val="nil"/>
              <w:bottom w:val="single" w:sz="4" w:space="0" w:color="auto"/>
              <w:right w:val="single" w:sz="4" w:space="0" w:color="auto"/>
            </w:tcBorders>
            <w:shd w:val="clear" w:color="auto" w:fill="auto"/>
            <w:noWrap/>
            <w:vAlign w:val="bottom"/>
            <w:hideMark/>
          </w:tcPr>
          <w:p w14:paraId="52206BDA" w14:textId="1924B578" w:rsidR="008E2574" w:rsidRPr="008E2574" w:rsidRDefault="008E2574" w:rsidP="00797D2B">
            <w:pPr>
              <w:jc w:val="center"/>
              <w:rPr>
                <w:color w:val="000000"/>
                <w:sz w:val="16"/>
                <w:szCs w:val="16"/>
              </w:rPr>
            </w:pPr>
            <w:r w:rsidRPr="008E2574">
              <w:rPr>
                <w:color w:val="000000"/>
                <w:sz w:val="16"/>
                <w:szCs w:val="16"/>
              </w:rPr>
              <w:t>0,35</w:t>
            </w:r>
          </w:p>
        </w:tc>
        <w:tc>
          <w:tcPr>
            <w:tcW w:w="1333" w:type="dxa"/>
            <w:tcBorders>
              <w:top w:val="nil"/>
              <w:left w:val="nil"/>
              <w:bottom w:val="single" w:sz="4" w:space="0" w:color="auto"/>
              <w:right w:val="single" w:sz="4" w:space="0" w:color="auto"/>
            </w:tcBorders>
            <w:shd w:val="clear" w:color="auto" w:fill="auto"/>
            <w:noWrap/>
            <w:vAlign w:val="bottom"/>
            <w:hideMark/>
          </w:tcPr>
          <w:p w14:paraId="40D667C8" w14:textId="30527C0F" w:rsidR="008E2574" w:rsidRPr="008E2574" w:rsidRDefault="008E2574" w:rsidP="00797D2B">
            <w:pPr>
              <w:jc w:val="center"/>
              <w:rPr>
                <w:color w:val="000000"/>
                <w:sz w:val="16"/>
                <w:szCs w:val="16"/>
              </w:rPr>
            </w:pPr>
            <w:r w:rsidRPr="008E2574">
              <w:rPr>
                <w:color w:val="000000"/>
                <w:sz w:val="16"/>
                <w:szCs w:val="16"/>
              </w:rPr>
              <w:t>231.027,60</w:t>
            </w:r>
          </w:p>
        </w:tc>
        <w:tc>
          <w:tcPr>
            <w:tcW w:w="1389" w:type="dxa"/>
            <w:tcBorders>
              <w:top w:val="nil"/>
              <w:left w:val="nil"/>
              <w:bottom w:val="single" w:sz="4" w:space="0" w:color="auto"/>
              <w:right w:val="single" w:sz="4" w:space="0" w:color="auto"/>
            </w:tcBorders>
            <w:shd w:val="clear" w:color="auto" w:fill="auto"/>
            <w:noWrap/>
            <w:vAlign w:val="bottom"/>
            <w:hideMark/>
          </w:tcPr>
          <w:p w14:paraId="7C583879" w14:textId="676E1F84" w:rsidR="008E2574" w:rsidRPr="008E2574" w:rsidRDefault="008E2574" w:rsidP="00797D2B">
            <w:pPr>
              <w:jc w:val="center"/>
              <w:rPr>
                <w:color w:val="000000"/>
                <w:sz w:val="16"/>
                <w:szCs w:val="16"/>
              </w:rPr>
            </w:pPr>
            <w:r w:rsidRPr="008E2574">
              <w:rPr>
                <w:color w:val="000000"/>
                <w:sz w:val="16"/>
                <w:szCs w:val="16"/>
              </w:rPr>
              <w:t>0,08</w:t>
            </w:r>
          </w:p>
        </w:tc>
        <w:tc>
          <w:tcPr>
            <w:tcW w:w="1375" w:type="dxa"/>
            <w:tcBorders>
              <w:top w:val="nil"/>
              <w:left w:val="nil"/>
              <w:bottom w:val="single" w:sz="4" w:space="0" w:color="auto"/>
              <w:right w:val="single" w:sz="4" w:space="0" w:color="auto"/>
            </w:tcBorders>
            <w:shd w:val="clear" w:color="auto" w:fill="auto"/>
            <w:noWrap/>
            <w:vAlign w:val="bottom"/>
            <w:hideMark/>
          </w:tcPr>
          <w:p w14:paraId="5F7B6B79" w14:textId="06BC0384" w:rsidR="008E2574" w:rsidRPr="008E2574" w:rsidRDefault="008E2574" w:rsidP="00797D2B">
            <w:pPr>
              <w:jc w:val="center"/>
              <w:rPr>
                <w:color w:val="000000"/>
                <w:sz w:val="16"/>
                <w:szCs w:val="16"/>
              </w:rPr>
            </w:pPr>
            <w:r w:rsidRPr="008E2574">
              <w:rPr>
                <w:color w:val="000000"/>
                <w:sz w:val="16"/>
                <w:szCs w:val="16"/>
              </w:rPr>
              <w:t>7.434.754,00</w:t>
            </w:r>
          </w:p>
        </w:tc>
        <w:tc>
          <w:tcPr>
            <w:tcW w:w="1333" w:type="dxa"/>
            <w:tcBorders>
              <w:top w:val="nil"/>
              <w:left w:val="nil"/>
              <w:bottom w:val="single" w:sz="4" w:space="0" w:color="auto"/>
              <w:right w:val="single" w:sz="4" w:space="0" w:color="auto"/>
            </w:tcBorders>
            <w:shd w:val="clear" w:color="auto" w:fill="auto"/>
            <w:noWrap/>
            <w:vAlign w:val="bottom"/>
            <w:hideMark/>
          </w:tcPr>
          <w:p w14:paraId="1CD6E1FE" w14:textId="75DF9C64" w:rsidR="008E2574" w:rsidRPr="008E2574" w:rsidRDefault="008E2574" w:rsidP="00797D2B">
            <w:pPr>
              <w:jc w:val="center"/>
              <w:rPr>
                <w:color w:val="000000"/>
                <w:sz w:val="16"/>
                <w:szCs w:val="16"/>
              </w:rPr>
            </w:pPr>
            <w:r w:rsidRPr="008E2574">
              <w:rPr>
                <w:color w:val="000000"/>
                <w:sz w:val="16"/>
                <w:szCs w:val="16"/>
              </w:rPr>
              <w:t>0,37</w:t>
            </w:r>
          </w:p>
        </w:tc>
      </w:tr>
      <w:tr w:rsidR="008E2574" w:rsidRPr="008E2574" w14:paraId="1FCB520C"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EAAA88D" w14:textId="4D9D596A" w:rsidR="008E2574" w:rsidRPr="008E2574" w:rsidRDefault="008E2574" w:rsidP="00797D2B">
            <w:pPr>
              <w:rPr>
                <w:color w:val="000000"/>
                <w:sz w:val="16"/>
                <w:szCs w:val="16"/>
              </w:rPr>
            </w:pPr>
            <w:r w:rsidRPr="008E2574">
              <w:rPr>
                <w:color w:val="000000"/>
                <w:sz w:val="16"/>
                <w:szCs w:val="16"/>
              </w:rPr>
              <w:t>Median</w:t>
            </w:r>
          </w:p>
        </w:tc>
        <w:tc>
          <w:tcPr>
            <w:tcW w:w="1169" w:type="dxa"/>
            <w:tcBorders>
              <w:top w:val="nil"/>
              <w:left w:val="nil"/>
              <w:bottom w:val="single" w:sz="4" w:space="0" w:color="auto"/>
              <w:right w:val="single" w:sz="4" w:space="0" w:color="auto"/>
            </w:tcBorders>
            <w:shd w:val="clear" w:color="auto" w:fill="auto"/>
            <w:noWrap/>
            <w:vAlign w:val="bottom"/>
            <w:hideMark/>
          </w:tcPr>
          <w:p w14:paraId="6410F520" w14:textId="1E7FA66F" w:rsidR="008E2574" w:rsidRPr="008E2574" w:rsidRDefault="008E2574" w:rsidP="00797D2B">
            <w:pPr>
              <w:jc w:val="center"/>
              <w:rPr>
                <w:color w:val="000000"/>
                <w:sz w:val="16"/>
                <w:szCs w:val="16"/>
              </w:rPr>
            </w:pPr>
            <w:r w:rsidRPr="008E2574">
              <w:rPr>
                <w:color w:val="000000"/>
                <w:sz w:val="16"/>
                <w:szCs w:val="16"/>
              </w:rPr>
              <w:t>0,02</w:t>
            </w:r>
          </w:p>
        </w:tc>
        <w:tc>
          <w:tcPr>
            <w:tcW w:w="1333" w:type="dxa"/>
            <w:tcBorders>
              <w:top w:val="nil"/>
              <w:left w:val="nil"/>
              <w:bottom w:val="single" w:sz="4" w:space="0" w:color="auto"/>
              <w:right w:val="single" w:sz="4" w:space="0" w:color="auto"/>
            </w:tcBorders>
            <w:shd w:val="clear" w:color="auto" w:fill="auto"/>
            <w:noWrap/>
            <w:vAlign w:val="bottom"/>
            <w:hideMark/>
          </w:tcPr>
          <w:p w14:paraId="7998A689" w14:textId="2220BEC7" w:rsidR="008E2574" w:rsidRPr="008E2574" w:rsidRDefault="008E2574" w:rsidP="00797D2B">
            <w:pPr>
              <w:jc w:val="center"/>
              <w:rPr>
                <w:color w:val="000000"/>
                <w:sz w:val="16"/>
                <w:szCs w:val="16"/>
              </w:rPr>
            </w:pPr>
            <w:r w:rsidRPr="008E2574">
              <w:rPr>
                <w:color w:val="000000"/>
                <w:sz w:val="16"/>
                <w:szCs w:val="16"/>
              </w:rPr>
              <w:t>0,31</w:t>
            </w:r>
          </w:p>
        </w:tc>
        <w:tc>
          <w:tcPr>
            <w:tcW w:w="1333" w:type="dxa"/>
            <w:tcBorders>
              <w:top w:val="nil"/>
              <w:left w:val="nil"/>
              <w:bottom w:val="single" w:sz="4" w:space="0" w:color="auto"/>
              <w:right w:val="single" w:sz="4" w:space="0" w:color="auto"/>
            </w:tcBorders>
            <w:shd w:val="clear" w:color="auto" w:fill="auto"/>
            <w:noWrap/>
            <w:vAlign w:val="bottom"/>
            <w:hideMark/>
          </w:tcPr>
          <w:p w14:paraId="7039D4C5" w14:textId="5D439296" w:rsidR="008E2574" w:rsidRPr="008E2574" w:rsidRDefault="008E2574" w:rsidP="00797D2B">
            <w:pPr>
              <w:jc w:val="center"/>
              <w:rPr>
                <w:color w:val="000000"/>
                <w:sz w:val="16"/>
                <w:szCs w:val="16"/>
              </w:rPr>
            </w:pPr>
            <w:r w:rsidRPr="008E2574">
              <w:rPr>
                <w:color w:val="000000"/>
                <w:sz w:val="16"/>
                <w:szCs w:val="16"/>
              </w:rPr>
              <w:t>146.440,40</w:t>
            </w:r>
          </w:p>
        </w:tc>
        <w:tc>
          <w:tcPr>
            <w:tcW w:w="1389" w:type="dxa"/>
            <w:tcBorders>
              <w:top w:val="nil"/>
              <w:left w:val="nil"/>
              <w:bottom w:val="single" w:sz="4" w:space="0" w:color="auto"/>
              <w:right w:val="single" w:sz="4" w:space="0" w:color="auto"/>
            </w:tcBorders>
            <w:shd w:val="clear" w:color="auto" w:fill="auto"/>
            <w:noWrap/>
            <w:vAlign w:val="bottom"/>
            <w:hideMark/>
          </w:tcPr>
          <w:p w14:paraId="75A48545" w14:textId="045B6A79" w:rsidR="008E2574" w:rsidRPr="008E2574" w:rsidRDefault="008E2574" w:rsidP="00797D2B">
            <w:pPr>
              <w:jc w:val="center"/>
              <w:rPr>
                <w:color w:val="000000"/>
                <w:sz w:val="16"/>
                <w:szCs w:val="16"/>
              </w:rPr>
            </w:pPr>
            <w:r w:rsidRPr="008E2574">
              <w:rPr>
                <w:color w:val="000000"/>
                <w:sz w:val="16"/>
                <w:szCs w:val="16"/>
              </w:rPr>
              <w:t>0,07</w:t>
            </w:r>
          </w:p>
        </w:tc>
        <w:tc>
          <w:tcPr>
            <w:tcW w:w="1375" w:type="dxa"/>
            <w:tcBorders>
              <w:top w:val="nil"/>
              <w:left w:val="nil"/>
              <w:bottom w:val="single" w:sz="4" w:space="0" w:color="auto"/>
              <w:right w:val="single" w:sz="4" w:space="0" w:color="auto"/>
            </w:tcBorders>
            <w:shd w:val="clear" w:color="auto" w:fill="auto"/>
            <w:noWrap/>
            <w:vAlign w:val="bottom"/>
            <w:hideMark/>
          </w:tcPr>
          <w:p w14:paraId="4399A413" w14:textId="42105F9A" w:rsidR="008E2574" w:rsidRPr="008E2574" w:rsidRDefault="008E2574" w:rsidP="00797D2B">
            <w:pPr>
              <w:jc w:val="center"/>
              <w:rPr>
                <w:color w:val="000000"/>
                <w:sz w:val="16"/>
                <w:szCs w:val="16"/>
              </w:rPr>
            </w:pPr>
            <w:r w:rsidRPr="008E2574">
              <w:rPr>
                <w:color w:val="000000"/>
                <w:sz w:val="16"/>
                <w:szCs w:val="16"/>
              </w:rPr>
              <w:t>7.367.169,00</w:t>
            </w:r>
          </w:p>
        </w:tc>
        <w:tc>
          <w:tcPr>
            <w:tcW w:w="1333" w:type="dxa"/>
            <w:tcBorders>
              <w:top w:val="nil"/>
              <w:left w:val="nil"/>
              <w:bottom w:val="single" w:sz="4" w:space="0" w:color="auto"/>
              <w:right w:val="single" w:sz="4" w:space="0" w:color="auto"/>
            </w:tcBorders>
            <w:shd w:val="clear" w:color="auto" w:fill="auto"/>
            <w:noWrap/>
            <w:vAlign w:val="bottom"/>
            <w:hideMark/>
          </w:tcPr>
          <w:p w14:paraId="7838380D" w14:textId="093060E7" w:rsidR="008E2574" w:rsidRPr="008E2574" w:rsidRDefault="008E2574" w:rsidP="00797D2B">
            <w:pPr>
              <w:jc w:val="center"/>
              <w:rPr>
                <w:color w:val="000000"/>
                <w:sz w:val="16"/>
                <w:szCs w:val="16"/>
              </w:rPr>
            </w:pPr>
            <w:r w:rsidRPr="008E2574">
              <w:rPr>
                <w:color w:val="000000"/>
                <w:sz w:val="16"/>
                <w:szCs w:val="16"/>
              </w:rPr>
              <w:t>0,32</w:t>
            </w:r>
          </w:p>
        </w:tc>
      </w:tr>
      <w:tr w:rsidR="008E2574" w:rsidRPr="008E2574" w14:paraId="541A7C30"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6174BA2" w14:textId="3C5BC1DD" w:rsidR="008E2574" w:rsidRPr="008E2574" w:rsidRDefault="008E2574" w:rsidP="00797D2B">
            <w:pPr>
              <w:rPr>
                <w:color w:val="000000"/>
                <w:sz w:val="16"/>
                <w:szCs w:val="16"/>
              </w:rPr>
            </w:pPr>
            <w:r w:rsidRPr="008E2574">
              <w:rPr>
                <w:color w:val="000000"/>
                <w:sz w:val="16"/>
                <w:szCs w:val="16"/>
              </w:rPr>
              <w:t>Maximum</w:t>
            </w:r>
          </w:p>
        </w:tc>
        <w:tc>
          <w:tcPr>
            <w:tcW w:w="1169" w:type="dxa"/>
            <w:tcBorders>
              <w:top w:val="nil"/>
              <w:left w:val="nil"/>
              <w:bottom w:val="single" w:sz="4" w:space="0" w:color="auto"/>
              <w:right w:val="single" w:sz="4" w:space="0" w:color="auto"/>
            </w:tcBorders>
            <w:shd w:val="clear" w:color="auto" w:fill="auto"/>
            <w:noWrap/>
            <w:vAlign w:val="bottom"/>
            <w:hideMark/>
          </w:tcPr>
          <w:p w14:paraId="56BD654F" w14:textId="20023C1C" w:rsidR="008E2574" w:rsidRPr="008E2574" w:rsidRDefault="008E2574" w:rsidP="00797D2B">
            <w:pPr>
              <w:jc w:val="center"/>
              <w:rPr>
                <w:color w:val="000000"/>
                <w:sz w:val="16"/>
                <w:szCs w:val="16"/>
              </w:rPr>
            </w:pPr>
            <w:r w:rsidRPr="008E2574">
              <w:rPr>
                <w:color w:val="000000"/>
                <w:sz w:val="16"/>
                <w:szCs w:val="16"/>
              </w:rPr>
              <w:t>0,25</w:t>
            </w:r>
          </w:p>
        </w:tc>
        <w:tc>
          <w:tcPr>
            <w:tcW w:w="1333" w:type="dxa"/>
            <w:tcBorders>
              <w:top w:val="nil"/>
              <w:left w:val="nil"/>
              <w:bottom w:val="single" w:sz="4" w:space="0" w:color="auto"/>
              <w:right w:val="single" w:sz="4" w:space="0" w:color="auto"/>
            </w:tcBorders>
            <w:shd w:val="clear" w:color="auto" w:fill="auto"/>
            <w:noWrap/>
            <w:vAlign w:val="bottom"/>
            <w:hideMark/>
          </w:tcPr>
          <w:p w14:paraId="3AE47146" w14:textId="10C8CEDF" w:rsidR="008E2574" w:rsidRPr="008E2574" w:rsidRDefault="008E2574" w:rsidP="00797D2B">
            <w:pPr>
              <w:jc w:val="center"/>
              <w:rPr>
                <w:color w:val="000000"/>
                <w:sz w:val="16"/>
                <w:szCs w:val="16"/>
              </w:rPr>
            </w:pPr>
            <w:r w:rsidRPr="008E2574">
              <w:rPr>
                <w:color w:val="000000"/>
                <w:sz w:val="16"/>
                <w:szCs w:val="16"/>
              </w:rPr>
              <w:t>1.401.337,00</w:t>
            </w:r>
          </w:p>
        </w:tc>
        <w:tc>
          <w:tcPr>
            <w:tcW w:w="1333" w:type="dxa"/>
            <w:tcBorders>
              <w:top w:val="nil"/>
              <w:left w:val="nil"/>
              <w:bottom w:val="single" w:sz="4" w:space="0" w:color="auto"/>
              <w:right w:val="single" w:sz="4" w:space="0" w:color="auto"/>
            </w:tcBorders>
            <w:shd w:val="clear" w:color="auto" w:fill="auto"/>
            <w:noWrap/>
            <w:vAlign w:val="bottom"/>
            <w:hideMark/>
          </w:tcPr>
          <w:p w14:paraId="68DA61A5" w14:textId="02B50C8B" w:rsidR="008E2574" w:rsidRPr="008E2574" w:rsidRDefault="008E2574" w:rsidP="00797D2B">
            <w:pPr>
              <w:jc w:val="center"/>
              <w:rPr>
                <w:color w:val="000000"/>
                <w:sz w:val="16"/>
                <w:szCs w:val="16"/>
              </w:rPr>
            </w:pPr>
            <w:r w:rsidRPr="008E2574">
              <w:rPr>
                <w:color w:val="000000"/>
                <w:sz w:val="16"/>
                <w:szCs w:val="16"/>
              </w:rPr>
              <w:t>1.824.566,00</w:t>
            </w:r>
          </w:p>
        </w:tc>
        <w:tc>
          <w:tcPr>
            <w:tcW w:w="1389" w:type="dxa"/>
            <w:tcBorders>
              <w:top w:val="nil"/>
              <w:left w:val="nil"/>
              <w:bottom w:val="single" w:sz="4" w:space="0" w:color="auto"/>
              <w:right w:val="single" w:sz="4" w:space="0" w:color="auto"/>
            </w:tcBorders>
            <w:shd w:val="clear" w:color="auto" w:fill="auto"/>
            <w:noWrap/>
            <w:vAlign w:val="bottom"/>
            <w:hideMark/>
          </w:tcPr>
          <w:p w14:paraId="1CE0E144" w14:textId="76AEE791" w:rsidR="008E2574" w:rsidRPr="008E2574" w:rsidRDefault="008E2574" w:rsidP="00797D2B">
            <w:pPr>
              <w:jc w:val="center"/>
              <w:rPr>
                <w:color w:val="000000"/>
                <w:sz w:val="16"/>
                <w:szCs w:val="16"/>
              </w:rPr>
            </w:pPr>
            <w:r w:rsidRPr="008E2574">
              <w:rPr>
                <w:color w:val="000000"/>
                <w:sz w:val="16"/>
                <w:szCs w:val="16"/>
              </w:rPr>
              <w:t>0,45</w:t>
            </w:r>
          </w:p>
        </w:tc>
        <w:tc>
          <w:tcPr>
            <w:tcW w:w="1375" w:type="dxa"/>
            <w:tcBorders>
              <w:top w:val="nil"/>
              <w:left w:val="nil"/>
              <w:bottom w:val="single" w:sz="4" w:space="0" w:color="auto"/>
              <w:right w:val="single" w:sz="4" w:space="0" w:color="auto"/>
            </w:tcBorders>
            <w:shd w:val="clear" w:color="auto" w:fill="auto"/>
            <w:noWrap/>
            <w:vAlign w:val="bottom"/>
            <w:hideMark/>
          </w:tcPr>
          <w:p w14:paraId="7A2EBDE0" w14:textId="2EF692ED" w:rsidR="008E2574" w:rsidRPr="008E2574" w:rsidRDefault="008E2574" w:rsidP="00797D2B">
            <w:pPr>
              <w:jc w:val="center"/>
              <w:rPr>
                <w:color w:val="000000"/>
                <w:sz w:val="16"/>
                <w:szCs w:val="16"/>
              </w:rPr>
            </w:pPr>
            <w:r w:rsidRPr="008E2574">
              <w:rPr>
                <w:color w:val="000000"/>
                <w:sz w:val="16"/>
                <w:szCs w:val="16"/>
              </w:rPr>
              <w:t>8.855.666,00</w:t>
            </w:r>
          </w:p>
        </w:tc>
        <w:tc>
          <w:tcPr>
            <w:tcW w:w="1333" w:type="dxa"/>
            <w:tcBorders>
              <w:top w:val="nil"/>
              <w:left w:val="nil"/>
              <w:bottom w:val="single" w:sz="4" w:space="0" w:color="auto"/>
              <w:right w:val="single" w:sz="4" w:space="0" w:color="auto"/>
            </w:tcBorders>
            <w:shd w:val="clear" w:color="auto" w:fill="auto"/>
            <w:noWrap/>
            <w:vAlign w:val="bottom"/>
            <w:hideMark/>
          </w:tcPr>
          <w:p w14:paraId="6E3721D9" w14:textId="446F5235" w:rsidR="008E2574" w:rsidRPr="008E2574" w:rsidRDefault="008E2574" w:rsidP="00797D2B">
            <w:pPr>
              <w:jc w:val="center"/>
              <w:rPr>
                <w:color w:val="000000"/>
                <w:sz w:val="16"/>
                <w:szCs w:val="16"/>
              </w:rPr>
            </w:pPr>
            <w:r w:rsidRPr="008E2574">
              <w:rPr>
                <w:color w:val="000000"/>
                <w:sz w:val="16"/>
                <w:szCs w:val="16"/>
              </w:rPr>
              <w:t>0,90</w:t>
            </w:r>
          </w:p>
        </w:tc>
      </w:tr>
      <w:tr w:rsidR="008E2574" w:rsidRPr="008E2574" w14:paraId="5B50CCDA"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71B2F1B" w14:textId="6EA07858" w:rsidR="008E2574" w:rsidRPr="008E2574" w:rsidRDefault="008E2574" w:rsidP="00797D2B">
            <w:pPr>
              <w:rPr>
                <w:color w:val="000000"/>
                <w:sz w:val="16"/>
                <w:szCs w:val="16"/>
              </w:rPr>
            </w:pPr>
            <w:r w:rsidRPr="008E2574">
              <w:rPr>
                <w:color w:val="000000"/>
                <w:sz w:val="16"/>
                <w:szCs w:val="16"/>
              </w:rPr>
              <w:t>Minimum</w:t>
            </w:r>
          </w:p>
        </w:tc>
        <w:tc>
          <w:tcPr>
            <w:tcW w:w="1169" w:type="dxa"/>
            <w:tcBorders>
              <w:top w:val="nil"/>
              <w:left w:val="nil"/>
              <w:bottom w:val="single" w:sz="4" w:space="0" w:color="auto"/>
              <w:right w:val="single" w:sz="4" w:space="0" w:color="auto"/>
            </w:tcBorders>
            <w:shd w:val="clear" w:color="auto" w:fill="auto"/>
            <w:noWrap/>
            <w:vAlign w:val="bottom"/>
            <w:hideMark/>
          </w:tcPr>
          <w:p w14:paraId="08EAE758" w14:textId="7DB1995C" w:rsidR="008E2574" w:rsidRPr="008E2574" w:rsidRDefault="008E2574" w:rsidP="00797D2B">
            <w:pPr>
              <w:jc w:val="center"/>
              <w:rPr>
                <w:color w:val="000000"/>
                <w:sz w:val="16"/>
                <w:szCs w:val="16"/>
              </w:rPr>
            </w:pPr>
            <w:r w:rsidRPr="008E2574">
              <w:rPr>
                <w:color w:val="000000"/>
                <w:sz w:val="16"/>
                <w:szCs w:val="16"/>
              </w:rPr>
              <w:t>0,00</w:t>
            </w:r>
          </w:p>
        </w:tc>
        <w:tc>
          <w:tcPr>
            <w:tcW w:w="1333" w:type="dxa"/>
            <w:tcBorders>
              <w:top w:val="nil"/>
              <w:left w:val="nil"/>
              <w:bottom w:val="single" w:sz="4" w:space="0" w:color="auto"/>
              <w:right w:val="single" w:sz="4" w:space="0" w:color="auto"/>
            </w:tcBorders>
            <w:shd w:val="clear" w:color="auto" w:fill="auto"/>
            <w:noWrap/>
            <w:vAlign w:val="bottom"/>
            <w:hideMark/>
          </w:tcPr>
          <w:p w14:paraId="36B9C7DA" w14:textId="21556405" w:rsidR="008E2574" w:rsidRPr="008E2574" w:rsidRDefault="008E2574" w:rsidP="00797D2B">
            <w:pPr>
              <w:jc w:val="center"/>
              <w:rPr>
                <w:color w:val="000000"/>
                <w:sz w:val="16"/>
                <w:szCs w:val="16"/>
              </w:rPr>
            </w:pPr>
            <w:r w:rsidRPr="008E2574">
              <w:rPr>
                <w:color w:val="000000"/>
                <w:sz w:val="16"/>
                <w:szCs w:val="16"/>
              </w:rPr>
              <w:t>0,11</w:t>
            </w:r>
          </w:p>
        </w:tc>
        <w:tc>
          <w:tcPr>
            <w:tcW w:w="1333" w:type="dxa"/>
            <w:tcBorders>
              <w:top w:val="nil"/>
              <w:left w:val="nil"/>
              <w:bottom w:val="single" w:sz="4" w:space="0" w:color="auto"/>
              <w:right w:val="single" w:sz="4" w:space="0" w:color="auto"/>
            </w:tcBorders>
            <w:shd w:val="clear" w:color="auto" w:fill="auto"/>
            <w:noWrap/>
            <w:vAlign w:val="bottom"/>
            <w:hideMark/>
          </w:tcPr>
          <w:p w14:paraId="1034C878" w14:textId="63EAE88F" w:rsidR="008E2574" w:rsidRPr="008E2574" w:rsidRDefault="008E2574" w:rsidP="00797D2B">
            <w:pPr>
              <w:jc w:val="center"/>
              <w:rPr>
                <w:color w:val="000000"/>
                <w:sz w:val="16"/>
                <w:szCs w:val="16"/>
              </w:rPr>
            </w:pPr>
            <w:r w:rsidRPr="008E2574">
              <w:rPr>
                <w:color w:val="000000"/>
                <w:sz w:val="16"/>
                <w:szCs w:val="16"/>
              </w:rPr>
              <w:t>9.300.954,00</w:t>
            </w:r>
          </w:p>
        </w:tc>
        <w:tc>
          <w:tcPr>
            <w:tcW w:w="1389" w:type="dxa"/>
            <w:tcBorders>
              <w:top w:val="nil"/>
              <w:left w:val="nil"/>
              <w:bottom w:val="single" w:sz="4" w:space="0" w:color="auto"/>
              <w:right w:val="single" w:sz="4" w:space="0" w:color="auto"/>
            </w:tcBorders>
            <w:shd w:val="clear" w:color="auto" w:fill="auto"/>
            <w:noWrap/>
            <w:vAlign w:val="bottom"/>
            <w:hideMark/>
          </w:tcPr>
          <w:p w14:paraId="53FB6801" w14:textId="45E8A07F" w:rsidR="008E2574" w:rsidRPr="008E2574" w:rsidRDefault="008E2574" w:rsidP="00797D2B">
            <w:pPr>
              <w:jc w:val="center"/>
              <w:rPr>
                <w:color w:val="000000"/>
                <w:sz w:val="16"/>
                <w:szCs w:val="16"/>
              </w:rPr>
            </w:pPr>
            <w:r>
              <w:rPr>
                <w:color w:val="000000"/>
                <w:sz w:val="16"/>
                <w:szCs w:val="16"/>
              </w:rPr>
              <w:t>-</w:t>
            </w:r>
            <w:r w:rsidRPr="008E2574">
              <w:rPr>
                <w:color w:val="000000"/>
                <w:sz w:val="16"/>
                <w:szCs w:val="16"/>
              </w:rPr>
              <w:t>1.089.993,00</w:t>
            </w:r>
          </w:p>
        </w:tc>
        <w:tc>
          <w:tcPr>
            <w:tcW w:w="1375" w:type="dxa"/>
            <w:tcBorders>
              <w:top w:val="nil"/>
              <w:left w:val="nil"/>
              <w:bottom w:val="single" w:sz="4" w:space="0" w:color="auto"/>
              <w:right w:val="single" w:sz="4" w:space="0" w:color="auto"/>
            </w:tcBorders>
            <w:shd w:val="clear" w:color="auto" w:fill="auto"/>
            <w:noWrap/>
            <w:vAlign w:val="bottom"/>
            <w:hideMark/>
          </w:tcPr>
          <w:p w14:paraId="6ED1C1FB" w14:textId="08620D38" w:rsidR="008E2574" w:rsidRPr="008E2574" w:rsidRDefault="008E2574" w:rsidP="00797D2B">
            <w:pPr>
              <w:jc w:val="center"/>
              <w:rPr>
                <w:color w:val="000000"/>
                <w:sz w:val="16"/>
                <w:szCs w:val="16"/>
              </w:rPr>
            </w:pPr>
            <w:r w:rsidRPr="008E2574">
              <w:rPr>
                <w:color w:val="000000"/>
                <w:sz w:val="16"/>
                <w:szCs w:val="16"/>
              </w:rPr>
              <w:t>6.892.484,00</w:t>
            </w:r>
          </w:p>
        </w:tc>
        <w:tc>
          <w:tcPr>
            <w:tcW w:w="1333" w:type="dxa"/>
            <w:tcBorders>
              <w:top w:val="nil"/>
              <w:left w:val="nil"/>
              <w:bottom w:val="single" w:sz="4" w:space="0" w:color="auto"/>
              <w:right w:val="single" w:sz="4" w:space="0" w:color="auto"/>
            </w:tcBorders>
            <w:shd w:val="clear" w:color="auto" w:fill="auto"/>
            <w:noWrap/>
            <w:vAlign w:val="bottom"/>
            <w:hideMark/>
          </w:tcPr>
          <w:p w14:paraId="000BAF4D" w14:textId="34A1D218" w:rsidR="008E2574" w:rsidRPr="008E2574" w:rsidRDefault="008E2574" w:rsidP="00797D2B">
            <w:pPr>
              <w:jc w:val="center"/>
              <w:rPr>
                <w:color w:val="000000"/>
                <w:sz w:val="16"/>
                <w:szCs w:val="16"/>
              </w:rPr>
            </w:pPr>
            <w:r w:rsidRPr="008E2574">
              <w:rPr>
                <w:color w:val="000000"/>
                <w:sz w:val="16"/>
                <w:szCs w:val="16"/>
              </w:rPr>
              <w:t>0,01</w:t>
            </w:r>
          </w:p>
        </w:tc>
      </w:tr>
      <w:tr w:rsidR="008E2574" w:rsidRPr="008E2574" w14:paraId="600F6A90"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5CFA3A8" w14:textId="33920EA1" w:rsidR="008E2574" w:rsidRPr="008E2574" w:rsidRDefault="008E2574" w:rsidP="00797D2B">
            <w:pPr>
              <w:rPr>
                <w:color w:val="000000"/>
                <w:sz w:val="16"/>
                <w:szCs w:val="16"/>
              </w:rPr>
            </w:pPr>
            <w:r w:rsidRPr="008E2574">
              <w:rPr>
                <w:color w:val="000000"/>
                <w:sz w:val="16"/>
                <w:szCs w:val="16"/>
              </w:rPr>
              <w:t>Std. Dev.</w:t>
            </w:r>
          </w:p>
        </w:tc>
        <w:tc>
          <w:tcPr>
            <w:tcW w:w="1169" w:type="dxa"/>
            <w:tcBorders>
              <w:top w:val="nil"/>
              <w:left w:val="nil"/>
              <w:bottom w:val="single" w:sz="4" w:space="0" w:color="auto"/>
              <w:right w:val="single" w:sz="4" w:space="0" w:color="auto"/>
            </w:tcBorders>
            <w:shd w:val="clear" w:color="auto" w:fill="auto"/>
            <w:noWrap/>
            <w:vAlign w:val="bottom"/>
            <w:hideMark/>
          </w:tcPr>
          <w:p w14:paraId="49C6510D" w14:textId="3F05B7C3" w:rsidR="008E2574" w:rsidRPr="008E2574" w:rsidRDefault="008E2574" w:rsidP="00797D2B">
            <w:pPr>
              <w:jc w:val="center"/>
              <w:rPr>
                <w:color w:val="000000"/>
                <w:sz w:val="16"/>
                <w:szCs w:val="16"/>
              </w:rPr>
            </w:pPr>
            <w:r w:rsidRPr="008E2574">
              <w:rPr>
                <w:color w:val="000000"/>
                <w:sz w:val="16"/>
                <w:szCs w:val="16"/>
              </w:rPr>
              <w:t>0,03</w:t>
            </w:r>
          </w:p>
        </w:tc>
        <w:tc>
          <w:tcPr>
            <w:tcW w:w="1333" w:type="dxa"/>
            <w:tcBorders>
              <w:top w:val="nil"/>
              <w:left w:val="nil"/>
              <w:bottom w:val="single" w:sz="4" w:space="0" w:color="auto"/>
              <w:right w:val="single" w:sz="4" w:space="0" w:color="auto"/>
            </w:tcBorders>
            <w:shd w:val="clear" w:color="auto" w:fill="auto"/>
            <w:noWrap/>
            <w:vAlign w:val="bottom"/>
            <w:hideMark/>
          </w:tcPr>
          <w:p w14:paraId="58204493" w14:textId="596793E6" w:rsidR="008E2574" w:rsidRPr="008E2574" w:rsidRDefault="008E2574" w:rsidP="00797D2B">
            <w:pPr>
              <w:jc w:val="center"/>
              <w:rPr>
                <w:color w:val="000000"/>
                <w:sz w:val="16"/>
                <w:szCs w:val="16"/>
              </w:rPr>
            </w:pPr>
            <w:r w:rsidRPr="008E2574">
              <w:rPr>
                <w:color w:val="000000"/>
                <w:sz w:val="16"/>
                <w:szCs w:val="16"/>
              </w:rPr>
              <w:t>0,18</w:t>
            </w:r>
          </w:p>
        </w:tc>
        <w:tc>
          <w:tcPr>
            <w:tcW w:w="1333" w:type="dxa"/>
            <w:tcBorders>
              <w:top w:val="nil"/>
              <w:left w:val="nil"/>
              <w:bottom w:val="single" w:sz="4" w:space="0" w:color="auto"/>
              <w:right w:val="single" w:sz="4" w:space="0" w:color="auto"/>
            </w:tcBorders>
            <w:shd w:val="clear" w:color="auto" w:fill="auto"/>
            <w:noWrap/>
            <w:vAlign w:val="bottom"/>
            <w:hideMark/>
          </w:tcPr>
          <w:p w14:paraId="68F3A7F9" w14:textId="75A1B325" w:rsidR="008E2574" w:rsidRPr="008E2574" w:rsidRDefault="008E2574" w:rsidP="00797D2B">
            <w:pPr>
              <w:jc w:val="center"/>
              <w:rPr>
                <w:color w:val="000000"/>
                <w:sz w:val="16"/>
                <w:szCs w:val="16"/>
              </w:rPr>
            </w:pPr>
            <w:r w:rsidRPr="008E2574">
              <w:rPr>
                <w:color w:val="000000"/>
                <w:sz w:val="16"/>
                <w:szCs w:val="16"/>
              </w:rPr>
              <w:t>246.630,20</w:t>
            </w:r>
          </w:p>
        </w:tc>
        <w:tc>
          <w:tcPr>
            <w:tcW w:w="1389" w:type="dxa"/>
            <w:tcBorders>
              <w:top w:val="nil"/>
              <w:left w:val="nil"/>
              <w:bottom w:val="single" w:sz="4" w:space="0" w:color="auto"/>
              <w:right w:val="single" w:sz="4" w:space="0" w:color="auto"/>
            </w:tcBorders>
            <w:shd w:val="clear" w:color="auto" w:fill="auto"/>
            <w:noWrap/>
            <w:vAlign w:val="bottom"/>
            <w:hideMark/>
          </w:tcPr>
          <w:p w14:paraId="667FDCDD" w14:textId="5762956A" w:rsidR="008E2574" w:rsidRPr="008E2574" w:rsidRDefault="008E2574" w:rsidP="00797D2B">
            <w:pPr>
              <w:jc w:val="center"/>
              <w:rPr>
                <w:color w:val="000000"/>
                <w:sz w:val="16"/>
                <w:szCs w:val="16"/>
              </w:rPr>
            </w:pPr>
            <w:r w:rsidRPr="008E2574">
              <w:rPr>
                <w:color w:val="000000"/>
                <w:sz w:val="16"/>
                <w:szCs w:val="16"/>
              </w:rPr>
              <w:t>0,08</w:t>
            </w:r>
          </w:p>
        </w:tc>
        <w:tc>
          <w:tcPr>
            <w:tcW w:w="1375" w:type="dxa"/>
            <w:tcBorders>
              <w:top w:val="nil"/>
              <w:left w:val="nil"/>
              <w:bottom w:val="single" w:sz="4" w:space="0" w:color="auto"/>
              <w:right w:val="single" w:sz="4" w:space="0" w:color="auto"/>
            </w:tcBorders>
            <w:shd w:val="clear" w:color="auto" w:fill="auto"/>
            <w:noWrap/>
            <w:vAlign w:val="bottom"/>
            <w:hideMark/>
          </w:tcPr>
          <w:p w14:paraId="5248E938" w14:textId="7C0AF0D3" w:rsidR="008E2574" w:rsidRPr="008E2574" w:rsidRDefault="008E2574" w:rsidP="00797D2B">
            <w:pPr>
              <w:jc w:val="center"/>
              <w:rPr>
                <w:color w:val="000000"/>
                <w:sz w:val="16"/>
                <w:szCs w:val="16"/>
              </w:rPr>
            </w:pPr>
            <w:r w:rsidRPr="008E2574">
              <w:rPr>
                <w:color w:val="000000"/>
                <w:sz w:val="16"/>
                <w:szCs w:val="16"/>
              </w:rPr>
              <w:t>0,37</w:t>
            </w:r>
          </w:p>
        </w:tc>
        <w:tc>
          <w:tcPr>
            <w:tcW w:w="1333" w:type="dxa"/>
            <w:tcBorders>
              <w:top w:val="nil"/>
              <w:left w:val="nil"/>
              <w:bottom w:val="single" w:sz="4" w:space="0" w:color="auto"/>
              <w:right w:val="single" w:sz="4" w:space="0" w:color="auto"/>
            </w:tcBorders>
            <w:shd w:val="clear" w:color="auto" w:fill="auto"/>
            <w:noWrap/>
            <w:vAlign w:val="bottom"/>
            <w:hideMark/>
          </w:tcPr>
          <w:p w14:paraId="5227E880" w14:textId="4AC5CF61" w:rsidR="008E2574" w:rsidRPr="008E2574" w:rsidRDefault="008E2574" w:rsidP="00797D2B">
            <w:pPr>
              <w:jc w:val="center"/>
              <w:rPr>
                <w:color w:val="000000"/>
                <w:sz w:val="16"/>
                <w:szCs w:val="16"/>
              </w:rPr>
            </w:pPr>
            <w:r w:rsidRPr="008E2574">
              <w:rPr>
                <w:color w:val="000000"/>
                <w:sz w:val="16"/>
                <w:szCs w:val="16"/>
              </w:rPr>
              <w:t>0,26</w:t>
            </w:r>
          </w:p>
        </w:tc>
      </w:tr>
      <w:tr w:rsidR="008E2574" w:rsidRPr="008E2574" w14:paraId="1A44DF53"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A77FE03" w14:textId="364E7338" w:rsidR="008E2574" w:rsidRPr="008E2574" w:rsidRDefault="008E2574" w:rsidP="00797D2B">
            <w:pPr>
              <w:rPr>
                <w:color w:val="000000"/>
                <w:sz w:val="16"/>
                <w:szCs w:val="16"/>
              </w:rPr>
            </w:pPr>
            <w:r w:rsidRPr="008E2574">
              <w:rPr>
                <w:color w:val="000000"/>
                <w:sz w:val="16"/>
                <w:szCs w:val="16"/>
              </w:rPr>
              <w:t>Observations</w:t>
            </w:r>
          </w:p>
        </w:tc>
        <w:tc>
          <w:tcPr>
            <w:tcW w:w="1169" w:type="dxa"/>
            <w:tcBorders>
              <w:top w:val="nil"/>
              <w:left w:val="nil"/>
              <w:bottom w:val="single" w:sz="4" w:space="0" w:color="auto"/>
              <w:right w:val="single" w:sz="4" w:space="0" w:color="auto"/>
            </w:tcBorders>
            <w:shd w:val="clear" w:color="auto" w:fill="auto"/>
            <w:noWrap/>
            <w:vAlign w:val="bottom"/>
            <w:hideMark/>
          </w:tcPr>
          <w:p w14:paraId="7858A1E9" w14:textId="21B1987A" w:rsidR="008E2574" w:rsidRPr="008E2574" w:rsidRDefault="008E2574" w:rsidP="00797D2B">
            <w:pPr>
              <w:jc w:val="center"/>
              <w:rPr>
                <w:color w:val="000000"/>
                <w:sz w:val="16"/>
                <w:szCs w:val="16"/>
              </w:rPr>
            </w:pPr>
            <w:r w:rsidRPr="008E2574">
              <w:rPr>
                <w:color w:val="000000"/>
                <w:sz w:val="16"/>
                <w:szCs w:val="16"/>
              </w:rPr>
              <w:t>955,00</w:t>
            </w:r>
          </w:p>
        </w:tc>
        <w:tc>
          <w:tcPr>
            <w:tcW w:w="1333" w:type="dxa"/>
            <w:tcBorders>
              <w:top w:val="nil"/>
              <w:left w:val="nil"/>
              <w:bottom w:val="single" w:sz="4" w:space="0" w:color="auto"/>
              <w:right w:val="single" w:sz="4" w:space="0" w:color="auto"/>
            </w:tcBorders>
            <w:shd w:val="clear" w:color="auto" w:fill="auto"/>
            <w:noWrap/>
            <w:vAlign w:val="bottom"/>
            <w:hideMark/>
          </w:tcPr>
          <w:p w14:paraId="7B486C44" w14:textId="35334ACD" w:rsidR="008E2574" w:rsidRPr="008E2574" w:rsidRDefault="008E2574" w:rsidP="00797D2B">
            <w:pPr>
              <w:jc w:val="center"/>
              <w:rPr>
                <w:color w:val="000000"/>
                <w:sz w:val="16"/>
                <w:szCs w:val="16"/>
              </w:rPr>
            </w:pPr>
            <w:r w:rsidRPr="008E2574">
              <w:rPr>
                <w:color w:val="000000"/>
                <w:sz w:val="16"/>
                <w:szCs w:val="16"/>
              </w:rPr>
              <w:t>955,00</w:t>
            </w:r>
          </w:p>
        </w:tc>
        <w:tc>
          <w:tcPr>
            <w:tcW w:w="1333" w:type="dxa"/>
            <w:tcBorders>
              <w:top w:val="nil"/>
              <w:left w:val="nil"/>
              <w:bottom w:val="single" w:sz="4" w:space="0" w:color="auto"/>
              <w:right w:val="single" w:sz="4" w:space="0" w:color="auto"/>
            </w:tcBorders>
            <w:shd w:val="clear" w:color="auto" w:fill="auto"/>
            <w:noWrap/>
            <w:vAlign w:val="bottom"/>
            <w:hideMark/>
          </w:tcPr>
          <w:p w14:paraId="246E5A07" w14:textId="0BC96315" w:rsidR="008E2574" w:rsidRPr="008E2574" w:rsidRDefault="008E2574" w:rsidP="00797D2B">
            <w:pPr>
              <w:jc w:val="center"/>
              <w:rPr>
                <w:color w:val="000000"/>
                <w:sz w:val="16"/>
                <w:szCs w:val="16"/>
              </w:rPr>
            </w:pPr>
            <w:r w:rsidRPr="008E2574">
              <w:rPr>
                <w:color w:val="000000"/>
                <w:sz w:val="16"/>
                <w:szCs w:val="16"/>
              </w:rPr>
              <w:t>955,00</w:t>
            </w:r>
          </w:p>
        </w:tc>
        <w:tc>
          <w:tcPr>
            <w:tcW w:w="1389" w:type="dxa"/>
            <w:tcBorders>
              <w:top w:val="nil"/>
              <w:left w:val="nil"/>
              <w:bottom w:val="single" w:sz="4" w:space="0" w:color="auto"/>
              <w:right w:val="single" w:sz="4" w:space="0" w:color="auto"/>
            </w:tcBorders>
            <w:shd w:val="clear" w:color="auto" w:fill="auto"/>
            <w:noWrap/>
            <w:vAlign w:val="bottom"/>
            <w:hideMark/>
          </w:tcPr>
          <w:p w14:paraId="3880729E" w14:textId="47EAD07B" w:rsidR="008E2574" w:rsidRPr="008E2574" w:rsidRDefault="008E2574" w:rsidP="00797D2B">
            <w:pPr>
              <w:jc w:val="center"/>
              <w:rPr>
                <w:color w:val="000000"/>
                <w:sz w:val="16"/>
                <w:szCs w:val="16"/>
              </w:rPr>
            </w:pPr>
            <w:r w:rsidRPr="008E2574">
              <w:rPr>
                <w:color w:val="000000"/>
                <w:sz w:val="16"/>
                <w:szCs w:val="16"/>
              </w:rPr>
              <w:t>955,00</w:t>
            </w:r>
          </w:p>
        </w:tc>
        <w:tc>
          <w:tcPr>
            <w:tcW w:w="1375" w:type="dxa"/>
            <w:tcBorders>
              <w:top w:val="nil"/>
              <w:left w:val="nil"/>
              <w:bottom w:val="single" w:sz="4" w:space="0" w:color="auto"/>
              <w:right w:val="single" w:sz="4" w:space="0" w:color="auto"/>
            </w:tcBorders>
            <w:shd w:val="clear" w:color="auto" w:fill="auto"/>
            <w:noWrap/>
            <w:vAlign w:val="bottom"/>
            <w:hideMark/>
          </w:tcPr>
          <w:p w14:paraId="32B9FA74" w14:textId="164CCCD6" w:rsidR="008E2574" w:rsidRPr="008E2574" w:rsidRDefault="008E2574" w:rsidP="00797D2B">
            <w:pPr>
              <w:jc w:val="center"/>
              <w:rPr>
                <w:color w:val="000000"/>
                <w:sz w:val="16"/>
                <w:szCs w:val="16"/>
              </w:rPr>
            </w:pPr>
            <w:r w:rsidRPr="008E2574">
              <w:rPr>
                <w:color w:val="000000"/>
                <w:sz w:val="16"/>
                <w:szCs w:val="16"/>
              </w:rPr>
              <w:t>955,00</w:t>
            </w:r>
          </w:p>
        </w:tc>
        <w:tc>
          <w:tcPr>
            <w:tcW w:w="1333" w:type="dxa"/>
            <w:tcBorders>
              <w:top w:val="nil"/>
              <w:left w:val="nil"/>
              <w:bottom w:val="single" w:sz="4" w:space="0" w:color="auto"/>
              <w:right w:val="single" w:sz="4" w:space="0" w:color="auto"/>
            </w:tcBorders>
            <w:shd w:val="clear" w:color="auto" w:fill="auto"/>
            <w:noWrap/>
            <w:vAlign w:val="bottom"/>
            <w:hideMark/>
          </w:tcPr>
          <w:p w14:paraId="23CA12ED" w14:textId="1B5AF287" w:rsidR="008E2574" w:rsidRPr="008E2574" w:rsidRDefault="008E2574" w:rsidP="00797D2B">
            <w:pPr>
              <w:jc w:val="center"/>
              <w:rPr>
                <w:color w:val="000000"/>
                <w:sz w:val="16"/>
                <w:szCs w:val="16"/>
              </w:rPr>
            </w:pPr>
            <w:r w:rsidRPr="008E2574">
              <w:rPr>
                <w:color w:val="000000"/>
                <w:sz w:val="16"/>
                <w:szCs w:val="16"/>
              </w:rPr>
              <w:t>955,00</w:t>
            </w:r>
          </w:p>
        </w:tc>
      </w:tr>
      <w:tr w:rsidR="008E2574" w:rsidRPr="008E2574" w14:paraId="079946E4" w14:textId="77777777" w:rsidTr="00E06367">
        <w:trPr>
          <w:trHeight w:hRule="exact" w:val="170"/>
        </w:trPr>
        <w:tc>
          <w:tcPr>
            <w:tcW w:w="906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822BB" w14:textId="77777777" w:rsidR="008E2574" w:rsidRPr="008E2574" w:rsidRDefault="008E2574" w:rsidP="00797D2B">
            <w:pPr>
              <w:jc w:val="center"/>
              <w:rPr>
                <w:b/>
                <w:bCs/>
                <w:color w:val="000000"/>
                <w:sz w:val="16"/>
                <w:szCs w:val="16"/>
              </w:rPr>
            </w:pPr>
            <w:r w:rsidRPr="008E2574">
              <w:rPr>
                <w:b/>
                <w:bCs/>
                <w:color w:val="000000"/>
                <w:sz w:val="16"/>
                <w:szCs w:val="16"/>
              </w:rPr>
              <w:t>CIAS EUA ABAIXO MÉDIA</w:t>
            </w:r>
          </w:p>
        </w:tc>
      </w:tr>
      <w:tr w:rsidR="008E2574" w:rsidRPr="008E2574" w14:paraId="357E4092"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413BF9" w14:textId="77777777" w:rsidR="008E2574" w:rsidRPr="008E2574" w:rsidRDefault="008E2574" w:rsidP="00797D2B">
            <w:pPr>
              <w:rPr>
                <w:color w:val="000000"/>
                <w:sz w:val="16"/>
                <w:szCs w:val="16"/>
              </w:rPr>
            </w:pPr>
            <w:r w:rsidRPr="008E2574">
              <w:rPr>
                <w:color w:val="000000"/>
                <w:sz w:val="16"/>
                <w:szCs w:val="16"/>
              </w:rPr>
              <w:t> </w:t>
            </w:r>
          </w:p>
        </w:tc>
        <w:tc>
          <w:tcPr>
            <w:tcW w:w="1169" w:type="dxa"/>
            <w:tcBorders>
              <w:top w:val="nil"/>
              <w:left w:val="nil"/>
              <w:bottom w:val="single" w:sz="4" w:space="0" w:color="auto"/>
              <w:right w:val="single" w:sz="4" w:space="0" w:color="auto"/>
            </w:tcBorders>
            <w:shd w:val="clear" w:color="auto" w:fill="auto"/>
            <w:noWrap/>
            <w:vAlign w:val="bottom"/>
            <w:hideMark/>
          </w:tcPr>
          <w:p w14:paraId="47A67A33" w14:textId="77777777" w:rsidR="008E2574" w:rsidRPr="008E2574" w:rsidRDefault="008E2574" w:rsidP="00797D2B">
            <w:pPr>
              <w:jc w:val="center"/>
              <w:rPr>
                <w:color w:val="000000"/>
                <w:sz w:val="16"/>
                <w:szCs w:val="16"/>
              </w:rPr>
            </w:pPr>
            <w:r w:rsidRPr="008E2574">
              <w:rPr>
                <w:color w:val="000000"/>
                <w:sz w:val="16"/>
                <w:szCs w:val="16"/>
              </w:rPr>
              <w:t>FINCP</w:t>
            </w:r>
          </w:p>
        </w:tc>
        <w:tc>
          <w:tcPr>
            <w:tcW w:w="1333" w:type="dxa"/>
            <w:tcBorders>
              <w:top w:val="nil"/>
              <w:left w:val="nil"/>
              <w:bottom w:val="single" w:sz="4" w:space="0" w:color="auto"/>
              <w:right w:val="single" w:sz="4" w:space="0" w:color="auto"/>
            </w:tcBorders>
            <w:shd w:val="clear" w:color="auto" w:fill="auto"/>
            <w:noWrap/>
            <w:vAlign w:val="bottom"/>
            <w:hideMark/>
          </w:tcPr>
          <w:p w14:paraId="58AADFF3" w14:textId="77777777" w:rsidR="008E2574" w:rsidRPr="008E2574" w:rsidRDefault="008E2574" w:rsidP="00797D2B">
            <w:pPr>
              <w:jc w:val="center"/>
              <w:rPr>
                <w:color w:val="000000"/>
                <w:sz w:val="16"/>
                <w:szCs w:val="16"/>
              </w:rPr>
            </w:pPr>
            <w:r w:rsidRPr="008E2574">
              <w:rPr>
                <w:color w:val="000000"/>
                <w:sz w:val="16"/>
                <w:szCs w:val="16"/>
              </w:rPr>
              <w:t>BD</w:t>
            </w:r>
          </w:p>
        </w:tc>
        <w:tc>
          <w:tcPr>
            <w:tcW w:w="1333" w:type="dxa"/>
            <w:tcBorders>
              <w:top w:val="nil"/>
              <w:left w:val="nil"/>
              <w:bottom w:val="single" w:sz="4" w:space="0" w:color="auto"/>
              <w:right w:val="single" w:sz="4" w:space="0" w:color="auto"/>
            </w:tcBorders>
            <w:shd w:val="clear" w:color="auto" w:fill="auto"/>
            <w:noWrap/>
            <w:vAlign w:val="bottom"/>
            <w:hideMark/>
          </w:tcPr>
          <w:p w14:paraId="2E5E5CEC" w14:textId="77777777" w:rsidR="008E2574" w:rsidRPr="008E2574" w:rsidRDefault="008E2574" w:rsidP="00797D2B">
            <w:pPr>
              <w:jc w:val="center"/>
              <w:rPr>
                <w:color w:val="000000"/>
                <w:sz w:val="16"/>
                <w:szCs w:val="16"/>
              </w:rPr>
            </w:pPr>
            <w:r w:rsidRPr="008E2574">
              <w:rPr>
                <w:color w:val="000000"/>
                <w:sz w:val="16"/>
                <w:szCs w:val="16"/>
              </w:rPr>
              <w:t>INT</w:t>
            </w:r>
          </w:p>
        </w:tc>
        <w:tc>
          <w:tcPr>
            <w:tcW w:w="1389" w:type="dxa"/>
            <w:tcBorders>
              <w:top w:val="nil"/>
              <w:left w:val="nil"/>
              <w:bottom w:val="single" w:sz="4" w:space="0" w:color="auto"/>
              <w:right w:val="single" w:sz="4" w:space="0" w:color="auto"/>
            </w:tcBorders>
            <w:shd w:val="clear" w:color="auto" w:fill="auto"/>
            <w:noWrap/>
            <w:vAlign w:val="bottom"/>
            <w:hideMark/>
          </w:tcPr>
          <w:p w14:paraId="751F95EF" w14:textId="77777777" w:rsidR="008E2574" w:rsidRPr="008E2574" w:rsidRDefault="008E2574" w:rsidP="00797D2B">
            <w:pPr>
              <w:jc w:val="center"/>
              <w:rPr>
                <w:color w:val="000000"/>
                <w:sz w:val="16"/>
                <w:szCs w:val="16"/>
              </w:rPr>
            </w:pPr>
            <w:r w:rsidRPr="008E2574">
              <w:rPr>
                <w:color w:val="000000"/>
                <w:sz w:val="16"/>
                <w:szCs w:val="16"/>
              </w:rPr>
              <w:t>RENT</w:t>
            </w:r>
          </w:p>
        </w:tc>
        <w:tc>
          <w:tcPr>
            <w:tcW w:w="1375" w:type="dxa"/>
            <w:tcBorders>
              <w:top w:val="nil"/>
              <w:left w:val="nil"/>
              <w:bottom w:val="single" w:sz="4" w:space="0" w:color="auto"/>
              <w:right w:val="single" w:sz="4" w:space="0" w:color="auto"/>
            </w:tcBorders>
            <w:shd w:val="clear" w:color="auto" w:fill="auto"/>
            <w:noWrap/>
            <w:vAlign w:val="bottom"/>
            <w:hideMark/>
          </w:tcPr>
          <w:p w14:paraId="57C7E79C" w14:textId="77777777" w:rsidR="008E2574" w:rsidRPr="008E2574" w:rsidRDefault="008E2574" w:rsidP="00797D2B">
            <w:pPr>
              <w:jc w:val="center"/>
              <w:rPr>
                <w:color w:val="000000"/>
                <w:sz w:val="16"/>
                <w:szCs w:val="16"/>
              </w:rPr>
            </w:pPr>
            <w:r w:rsidRPr="008E2574">
              <w:rPr>
                <w:color w:val="000000"/>
                <w:sz w:val="16"/>
                <w:szCs w:val="16"/>
              </w:rPr>
              <w:t>TAM</w:t>
            </w:r>
          </w:p>
        </w:tc>
        <w:tc>
          <w:tcPr>
            <w:tcW w:w="1333" w:type="dxa"/>
            <w:tcBorders>
              <w:top w:val="nil"/>
              <w:left w:val="nil"/>
              <w:bottom w:val="single" w:sz="4" w:space="0" w:color="auto"/>
              <w:right w:val="single" w:sz="4" w:space="0" w:color="auto"/>
            </w:tcBorders>
            <w:shd w:val="clear" w:color="auto" w:fill="auto"/>
            <w:noWrap/>
            <w:vAlign w:val="bottom"/>
            <w:hideMark/>
          </w:tcPr>
          <w:p w14:paraId="2B0D3A31" w14:textId="77777777" w:rsidR="008E2574" w:rsidRPr="008E2574" w:rsidRDefault="008E2574" w:rsidP="00797D2B">
            <w:pPr>
              <w:jc w:val="center"/>
              <w:rPr>
                <w:color w:val="000000"/>
                <w:sz w:val="16"/>
                <w:szCs w:val="16"/>
              </w:rPr>
            </w:pPr>
            <w:r w:rsidRPr="008E2574">
              <w:rPr>
                <w:color w:val="000000"/>
                <w:sz w:val="16"/>
                <w:szCs w:val="16"/>
              </w:rPr>
              <w:t>TANG</w:t>
            </w:r>
          </w:p>
        </w:tc>
      </w:tr>
      <w:tr w:rsidR="008E2574" w:rsidRPr="008E2574" w14:paraId="1B418143"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77FE18D" w14:textId="2703E63E" w:rsidR="008E2574" w:rsidRPr="008E2574" w:rsidRDefault="008E2574" w:rsidP="00797D2B">
            <w:pPr>
              <w:rPr>
                <w:color w:val="000000"/>
                <w:sz w:val="16"/>
                <w:szCs w:val="16"/>
              </w:rPr>
            </w:pPr>
            <w:r w:rsidRPr="008E2574">
              <w:rPr>
                <w:color w:val="000000"/>
                <w:sz w:val="16"/>
                <w:szCs w:val="16"/>
              </w:rPr>
              <w:t>Mean</w:t>
            </w:r>
          </w:p>
        </w:tc>
        <w:tc>
          <w:tcPr>
            <w:tcW w:w="1169" w:type="dxa"/>
            <w:tcBorders>
              <w:top w:val="nil"/>
              <w:left w:val="nil"/>
              <w:bottom w:val="single" w:sz="4" w:space="0" w:color="auto"/>
              <w:right w:val="single" w:sz="4" w:space="0" w:color="auto"/>
            </w:tcBorders>
            <w:shd w:val="clear" w:color="auto" w:fill="auto"/>
            <w:noWrap/>
            <w:vAlign w:val="bottom"/>
            <w:hideMark/>
          </w:tcPr>
          <w:p w14:paraId="0FFCC720" w14:textId="223325AD" w:rsidR="008E2574" w:rsidRPr="008E2574" w:rsidRDefault="008E2574" w:rsidP="00797D2B">
            <w:pPr>
              <w:jc w:val="center"/>
              <w:rPr>
                <w:color w:val="000000"/>
                <w:sz w:val="16"/>
                <w:szCs w:val="16"/>
              </w:rPr>
            </w:pPr>
            <w:r w:rsidRPr="008E2574">
              <w:rPr>
                <w:color w:val="000000"/>
                <w:sz w:val="16"/>
                <w:szCs w:val="16"/>
              </w:rPr>
              <w:t>0,03</w:t>
            </w:r>
          </w:p>
        </w:tc>
        <w:tc>
          <w:tcPr>
            <w:tcW w:w="1333" w:type="dxa"/>
            <w:tcBorders>
              <w:top w:val="nil"/>
              <w:left w:val="nil"/>
              <w:bottom w:val="single" w:sz="4" w:space="0" w:color="auto"/>
              <w:right w:val="single" w:sz="4" w:space="0" w:color="auto"/>
            </w:tcBorders>
            <w:shd w:val="clear" w:color="auto" w:fill="auto"/>
            <w:noWrap/>
            <w:vAlign w:val="bottom"/>
            <w:hideMark/>
          </w:tcPr>
          <w:p w14:paraId="6F6FD57D" w14:textId="1F3923C2" w:rsidR="008E2574" w:rsidRPr="008E2574" w:rsidRDefault="008E2574" w:rsidP="00797D2B">
            <w:pPr>
              <w:jc w:val="center"/>
              <w:rPr>
                <w:color w:val="000000"/>
                <w:sz w:val="16"/>
                <w:szCs w:val="16"/>
              </w:rPr>
            </w:pPr>
            <w:r w:rsidRPr="008E2574">
              <w:rPr>
                <w:color w:val="000000"/>
                <w:sz w:val="16"/>
                <w:szCs w:val="16"/>
              </w:rPr>
              <w:t>0,46</w:t>
            </w:r>
          </w:p>
        </w:tc>
        <w:tc>
          <w:tcPr>
            <w:tcW w:w="1333" w:type="dxa"/>
            <w:tcBorders>
              <w:top w:val="nil"/>
              <w:left w:val="nil"/>
              <w:bottom w:val="single" w:sz="4" w:space="0" w:color="auto"/>
              <w:right w:val="single" w:sz="4" w:space="0" w:color="auto"/>
            </w:tcBorders>
            <w:shd w:val="clear" w:color="auto" w:fill="auto"/>
            <w:noWrap/>
            <w:vAlign w:val="bottom"/>
            <w:hideMark/>
          </w:tcPr>
          <w:p w14:paraId="305E0576" w14:textId="6E1D8F02" w:rsidR="008E2574" w:rsidRPr="008E2574" w:rsidRDefault="008E2574" w:rsidP="00797D2B">
            <w:pPr>
              <w:jc w:val="center"/>
              <w:rPr>
                <w:color w:val="000000"/>
                <w:sz w:val="16"/>
                <w:szCs w:val="16"/>
              </w:rPr>
            </w:pPr>
            <w:r w:rsidRPr="008E2574">
              <w:rPr>
                <w:color w:val="000000"/>
                <w:sz w:val="16"/>
                <w:szCs w:val="16"/>
              </w:rPr>
              <w:t>36.496,92</w:t>
            </w:r>
          </w:p>
        </w:tc>
        <w:tc>
          <w:tcPr>
            <w:tcW w:w="1389" w:type="dxa"/>
            <w:tcBorders>
              <w:top w:val="nil"/>
              <w:left w:val="nil"/>
              <w:bottom w:val="single" w:sz="4" w:space="0" w:color="auto"/>
              <w:right w:val="single" w:sz="4" w:space="0" w:color="auto"/>
            </w:tcBorders>
            <w:shd w:val="clear" w:color="auto" w:fill="auto"/>
            <w:noWrap/>
            <w:vAlign w:val="bottom"/>
            <w:hideMark/>
          </w:tcPr>
          <w:p w14:paraId="22044CD2" w14:textId="7F042F24" w:rsidR="008E2574" w:rsidRPr="008E2574" w:rsidRDefault="008E2574" w:rsidP="00797D2B">
            <w:pPr>
              <w:jc w:val="center"/>
              <w:rPr>
                <w:color w:val="000000"/>
                <w:sz w:val="16"/>
                <w:szCs w:val="16"/>
              </w:rPr>
            </w:pPr>
            <w:r w:rsidRPr="008E2574">
              <w:rPr>
                <w:color w:val="000000"/>
                <w:sz w:val="16"/>
                <w:szCs w:val="16"/>
              </w:rPr>
              <w:t>0,08</w:t>
            </w:r>
          </w:p>
        </w:tc>
        <w:tc>
          <w:tcPr>
            <w:tcW w:w="1375" w:type="dxa"/>
            <w:tcBorders>
              <w:top w:val="nil"/>
              <w:left w:val="nil"/>
              <w:bottom w:val="single" w:sz="4" w:space="0" w:color="auto"/>
              <w:right w:val="single" w:sz="4" w:space="0" w:color="auto"/>
            </w:tcBorders>
            <w:shd w:val="clear" w:color="auto" w:fill="auto"/>
            <w:noWrap/>
            <w:vAlign w:val="bottom"/>
            <w:hideMark/>
          </w:tcPr>
          <w:p w14:paraId="1A03DCAC" w14:textId="5E917C2D" w:rsidR="008E2574" w:rsidRPr="008E2574" w:rsidRDefault="008E2574" w:rsidP="00797D2B">
            <w:pPr>
              <w:jc w:val="center"/>
              <w:rPr>
                <w:color w:val="000000"/>
                <w:sz w:val="16"/>
                <w:szCs w:val="16"/>
              </w:rPr>
            </w:pPr>
            <w:r w:rsidRPr="008E2574">
              <w:rPr>
                <w:color w:val="000000"/>
                <w:sz w:val="16"/>
                <w:szCs w:val="16"/>
              </w:rPr>
              <w:t>6.428.697,00</w:t>
            </w:r>
          </w:p>
        </w:tc>
        <w:tc>
          <w:tcPr>
            <w:tcW w:w="1333" w:type="dxa"/>
            <w:tcBorders>
              <w:top w:val="nil"/>
              <w:left w:val="nil"/>
              <w:bottom w:val="single" w:sz="4" w:space="0" w:color="auto"/>
              <w:right w:val="single" w:sz="4" w:space="0" w:color="auto"/>
            </w:tcBorders>
            <w:shd w:val="clear" w:color="auto" w:fill="auto"/>
            <w:noWrap/>
            <w:vAlign w:val="bottom"/>
            <w:hideMark/>
          </w:tcPr>
          <w:p w14:paraId="213577CC" w14:textId="0E55AD2E" w:rsidR="008E2574" w:rsidRPr="008E2574" w:rsidRDefault="008E2574" w:rsidP="00797D2B">
            <w:pPr>
              <w:jc w:val="center"/>
              <w:rPr>
                <w:color w:val="000000"/>
                <w:sz w:val="16"/>
                <w:szCs w:val="16"/>
              </w:rPr>
            </w:pPr>
            <w:r w:rsidRPr="008E2574">
              <w:rPr>
                <w:color w:val="000000"/>
                <w:sz w:val="16"/>
                <w:szCs w:val="16"/>
              </w:rPr>
              <w:t>0,26</w:t>
            </w:r>
          </w:p>
        </w:tc>
      </w:tr>
      <w:tr w:rsidR="008E2574" w:rsidRPr="008E2574" w14:paraId="102546F2"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B08AB00" w14:textId="5516F117" w:rsidR="008E2574" w:rsidRPr="008E2574" w:rsidRDefault="008E2574" w:rsidP="00797D2B">
            <w:pPr>
              <w:rPr>
                <w:color w:val="000000"/>
                <w:sz w:val="16"/>
                <w:szCs w:val="16"/>
              </w:rPr>
            </w:pPr>
            <w:r w:rsidRPr="008E2574">
              <w:rPr>
                <w:color w:val="000000"/>
                <w:sz w:val="16"/>
                <w:szCs w:val="16"/>
              </w:rPr>
              <w:t>Median</w:t>
            </w:r>
          </w:p>
        </w:tc>
        <w:tc>
          <w:tcPr>
            <w:tcW w:w="1169" w:type="dxa"/>
            <w:tcBorders>
              <w:top w:val="nil"/>
              <w:left w:val="nil"/>
              <w:bottom w:val="single" w:sz="4" w:space="0" w:color="auto"/>
              <w:right w:val="single" w:sz="4" w:space="0" w:color="auto"/>
            </w:tcBorders>
            <w:shd w:val="clear" w:color="auto" w:fill="auto"/>
            <w:noWrap/>
            <w:vAlign w:val="bottom"/>
            <w:hideMark/>
          </w:tcPr>
          <w:p w14:paraId="5694F9AA" w14:textId="07E18798" w:rsidR="008E2574" w:rsidRPr="008E2574" w:rsidRDefault="008E2574" w:rsidP="00797D2B">
            <w:pPr>
              <w:jc w:val="center"/>
              <w:rPr>
                <w:color w:val="000000"/>
                <w:sz w:val="16"/>
                <w:szCs w:val="16"/>
              </w:rPr>
            </w:pPr>
            <w:r w:rsidRPr="008E2574">
              <w:rPr>
                <w:color w:val="000000"/>
                <w:sz w:val="16"/>
                <w:szCs w:val="16"/>
              </w:rPr>
              <w:t>0,01</w:t>
            </w:r>
          </w:p>
        </w:tc>
        <w:tc>
          <w:tcPr>
            <w:tcW w:w="1333" w:type="dxa"/>
            <w:tcBorders>
              <w:top w:val="nil"/>
              <w:left w:val="nil"/>
              <w:bottom w:val="single" w:sz="4" w:space="0" w:color="auto"/>
              <w:right w:val="single" w:sz="4" w:space="0" w:color="auto"/>
            </w:tcBorders>
            <w:shd w:val="clear" w:color="auto" w:fill="auto"/>
            <w:noWrap/>
            <w:vAlign w:val="bottom"/>
            <w:hideMark/>
          </w:tcPr>
          <w:p w14:paraId="2C3AC05B" w14:textId="721B8970" w:rsidR="008E2574" w:rsidRPr="008E2574" w:rsidRDefault="008E2574" w:rsidP="00797D2B">
            <w:pPr>
              <w:jc w:val="center"/>
              <w:rPr>
                <w:color w:val="000000"/>
                <w:sz w:val="16"/>
                <w:szCs w:val="16"/>
              </w:rPr>
            </w:pPr>
            <w:r w:rsidRPr="008E2574">
              <w:rPr>
                <w:color w:val="000000"/>
                <w:sz w:val="16"/>
                <w:szCs w:val="16"/>
              </w:rPr>
              <w:t>0,39</w:t>
            </w:r>
          </w:p>
        </w:tc>
        <w:tc>
          <w:tcPr>
            <w:tcW w:w="1333" w:type="dxa"/>
            <w:tcBorders>
              <w:top w:val="nil"/>
              <w:left w:val="nil"/>
              <w:bottom w:val="single" w:sz="4" w:space="0" w:color="auto"/>
              <w:right w:val="single" w:sz="4" w:space="0" w:color="auto"/>
            </w:tcBorders>
            <w:shd w:val="clear" w:color="auto" w:fill="auto"/>
            <w:noWrap/>
            <w:vAlign w:val="bottom"/>
            <w:hideMark/>
          </w:tcPr>
          <w:p w14:paraId="64F2357A" w14:textId="257488DF" w:rsidR="008E2574" w:rsidRPr="008E2574" w:rsidRDefault="008E2574" w:rsidP="00797D2B">
            <w:pPr>
              <w:jc w:val="center"/>
              <w:rPr>
                <w:color w:val="000000"/>
                <w:sz w:val="16"/>
                <w:szCs w:val="16"/>
              </w:rPr>
            </w:pPr>
            <w:r w:rsidRPr="008E2574">
              <w:rPr>
                <w:color w:val="000000"/>
                <w:sz w:val="16"/>
                <w:szCs w:val="16"/>
              </w:rPr>
              <w:t>26.320,48</w:t>
            </w:r>
          </w:p>
        </w:tc>
        <w:tc>
          <w:tcPr>
            <w:tcW w:w="1389" w:type="dxa"/>
            <w:tcBorders>
              <w:top w:val="nil"/>
              <w:left w:val="nil"/>
              <w:bottom w:val="single" w:sz="4" w:space="0" w:color="auto"/>
              <w:right w:val="single" w:sz="4" w:space="0" w:color="auto"/>
            </w:tcBorders>
            <w:shd w:val="clear" w:color="auto" w:fill="auto"/>
            <w:noWrap/>
            <w:vAlign w:val="bottom"/>
            <w:hideMark/>
          </w:tcPr>
          <w:p w14:paraId="3AFA8208" w14:textId="02B39E2B" w:rsidR="008E2574" w:rsidRPr="008E2574" w:rsidRDefault="008E2574" w:rsidP="00797D2B">
            <w:pPr>
              <w:jc w:val="center"/>
              <w:rPr>
                <w:color w:val="000000"/>
                <w:sz w:val="16"/>
                <w:szCs w:val="16"/>
              </w:rPr>
            </w:pPr>
            <w:r w:rsidRPr="008E2574">
              <w:rPr>
                <w:color w:val="000000"/>
                <w:sz w:val="16"/>
                <w:szCs w:val="16"/>
              </w:rPr>
              <w:t>0,07</w:t>
            </w:r>
          </w:p>
        </w:tc>
        <w:tc>
          <w:tcPr>
            <w:tcW w:w="1375" w:type="dxa"/>
            <w:tcBorders>
              <w:top w:val="nil"/>
              <w:left w:val="nil"/>
              <w:bottom w:val="single" w:sz="4" w:space="0" w:color="auto"/>
              <w:right w:val="single" w:sz="4" w:space="0" w:color="auto"/>
            </w:tcBorders>
            <w:shd w:val="clear" w:color="auto" w:fill="auto"/>
            <w:noWrap/>
            <w:vAlign w:val="bottom"/>
            <w:hideMark/>
          </w:tcPr>
          <w:p w14:paraId="375B3849" w14:textId="3FC79237" w:rsidR="008E2574" w:rsidRPr="008E2574" w:rsidRDefault="008E2574" w:rsidP="00797D2B">
            <w:pPr>
              <w:jc w:val="center"/>
              <w:rPr>
                <w:color w:val="000000"/>
                <w:sz w:val="16"/>
                <w:szCs w:val="16"/>
              </w:rPr>
            </w:pPr>
            <w:r w:rsidRPr="008E2574">
              <w:rPr>
                <w:color w:val="000000"/>
                <w:sz w:val="16"/>
                <w:szCs w:val="16"/>
              </w:rPr>
              <w:t>6.488.396,00</w:t>
            </w:r>
          </w:p>
        </w:tc>
        <w:tc>
          <w:tcPr>
            <w:tcW w:w="1333" w:type="dxa"/>
            <w:tcBorders>
              <w:top w:val="nil"/>
              <w:left w:val="nil"/>
              <w:bottom w:val="single" w:sz="4" w:space="0" w:color="auto"/>
              <w:right w:val="single" w:sz="4" w:space="0" w:color="auto"/>
            </w:tcBorders>
            <w:shd w:val="clear" w:color="auto" w:fill="auto"/>
            <w:noWrap/>
            <w:vAlign w:val="bottom"/>
            <w:hideMark/>
          </w:tcPr>
          <w:p w14:paraId="418B1805" w14:textId="66412378" w:rsidR="008E2574" w:rsidRPr="008E2574" w:rsidRDefault="008E2574" w:rsidP="00797D2B">
            <w:pPr>
              <w:jc w:val="center"/>
              <w:rPr>
                <w:color w:val="000000"/>
                <w:sz w:val="16"/>
                <w:szCs w:val="16"/>
              </w:rPr>
            </w:pPr>
            <w:r w:rsidRPr="008E2574">
              <w:rPr>
                <w:color w:val="000000"/>
                <w:sz w:val="16"/>
                <w:szCs w:val="16"/>
              </w:rPr>
              <w:t>0,20</w:t>
            </w:r>
          </w:p>
        </w:tc>
      </w:tr>
      <w:tr w:rsidR="008E2574" w:rsidRPr="008E2574" w14:paraId="6280DA13"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1F5E33" w14:textId="6AA53469" w:rsidR="008E2574" w:rsidRPr="008E2574" w:rsidRDefault="008E2574" w:rsidP="00797D2B">
            <w:pPr>
              <w:rPr>
                <w:color w:val="000000"/>
                <w:sz w:val="16"/>
                <w:szCs w:val="16"/>
              </w:rPr>
            </w:pPr>
            <w:r w:rsidRPr="008E2574">
              <w:rPr>
                <w:color w:val="000000"/>
                <w:sz w:val="16"/>
                <w:szCs w:val="16"/>
              </w:rPr>
              <w:t>Maximum</w:t>
            </w:r>
          </w:p>
        </w:tc>
        <w:tc>
          <w:tcPr>
            <w:tcW w:w="1169" w:type="dxa"/>
            <w:tcBorders>
              <w:top w:val="nil"/>
              <w:left w:val="nil"/>
              <w:bottom w:val="single" w:sz="4" w:space="0" w:color="auto"/>
              <w:right w:val="single" w:sz="4" w:space="0" w:color="auto"/>
            </w:tcBorders>
            <w:shd w:val="clear" w:color="auto" w:fill="auto"/>
            <w:noWrap/>
            <w:vAlign w:val="bottom"/>
            <w:hideMark/>
          </w:tcPr>
          <w:p w14:paraId="2B6D8B6B" w14:textId="6BFA9B1E" w:rsidR="008E2574" w:rsidRPr="008E2574" w:rsidRDefault="008E2574" w:rsidP="00797D2B">
            <w:pPr>
              <w:jc w:val="center"/>
              <w:rPr>
                <w:color w:val="000000"/>
                <w:sz w:val="16"/>
                <w:szCs w:val="16"/>
              </w:rPr>
            </w:pPr>
            <w:r w:rsidRPr="008E2574">
              <w:rPr>
                <w:color w:val="000000"/>
                <w:sz w:val="16"/>
                <w:szCs w:val="16"/>
              </w:rPr>
              <w:t>0,44</w:t>
            </w:r>
          </w:p>
        </w:tc>
        <w:tc>
          <w:tcPr>
            <w:tcW w:w="1333" w:type="dxa"/>
            <w:tcBorders>
              <w:top w:val="nil"/>
              <w:left w:val="nil"/>
              <w:bottom w:val="single" w:sz="4" w:space="0" w:color="auto"/>
              <w:right w:val="single" w:sz="4" w:space="0" w:color="auto"/>
            </w:tcBorders>
            <w:shd w:val="clear" w:color="auto" w:fill="auto"/>
            <w:noWrap/>
            <w:vAlign w:val="bottom"/>
            <w:hideMark/>
          </w:tcPr>
          <w:p w14:paraId="248A46E4" w14:textId="081DB6A7" w:rsidR="008E2574" w:rsidRPr="008E2574" w:rsidRDefault="008E2574" w:rsidP="00797D2B">
            <w:pPr>
              <w:jc w:val="center"/>
              <w:rPr>
                <w:color w:val="000000"/>
                <w:sz w:val="16"/>
                <w:szCs w:val="16"/>
              </w:rPr>
            </w:pPr>
            <w:r w:rsidRPr="008E2574">
              <w:rPr>
                <w:color w:val="000000"/>
                <w:sz w:val="16"/>
                <w:szCs w:val="16"/>
              </w:rPr>
              <w:t>1.972.541,00</w:t>
            </w:r>
          </w:p>
        </w:tc>
        <w:tc>
          <w:tcPr>
            <w:tcW w:w="1333" w:type="dxa"/>
            <w:tcBorders>
              <w:top w:val="nil"/>
              <w:left w:val="nil"/>
              <w:bottom w:val="single" w:sz="4" w:space="0" w:color="auto"/>
              <w:right w:val="single" w:sz="4" w:space="0" w:color="auto"/>
            </w:tcBorders>
            <w:shd w:val="clear" w:color="auto" w:fill="auto"/>
            <w:noWrap/>
            <w:vAlign w:val="bottom"/>
            <w:hideMark/>
          </w:tcPr>
          <w:p w14:paraId="67CE4E96" w14:textId="76F4D5BE" w:rsidR="008E2574" w:rsidRPr="008E2574" w:rsidRDefault="008E2574" w:rsidP="00797D2B">
            <w:pPr>
              <w:jc w:val="center"/>
              <w:rPr>
                <w:color w:val="000000"/>
                <w:sz w:val="16"/>
                <w:szCs w:val="16"/>
              </w:rPr>
            </w:pPr>
            <w:r w:rsidRPr="008E2574">
              <w:rPr>
                <w:color w:val="000000"/>
                <w:sz w:val="16"/>
                <w:szCs w:val="16"/>
              </w:rPr>
              <w:t>245.078,70</w:t>
            </w:r>
          </w:p>
        </w:tc>
        <w:tc>
          <w:tcPr>
            <w:tcW w:w="1389" w:type="dxa"/>
            <w:tcBorders>
              <w:top w:val="nil"/>
              <w:left w:val="nil"/>
              <w:bottom w:val="single" w:sz="4" w:space="0" w:color="auto"/>
              <w:right w:val="single" w:sz="4" w:space="0" w:color="auto"/>
            </w:tcBorders>
            <w:shd w:val="clear" w:color="auto" w:fill="auto"/>
            <w:noWrap/>
            <w:vAlign w:val="bottom"/>
            <w:hideMark/>
          </w:tcPr>
          <w:p w14:paraId="70A9CA10" w14:textId="29B8D941" w:rsidR="008E2574" w:rsidRPr="008E2574" w:rsidRDefault="008E2574" w:rsidP="00797D2B">
            <w:pPr>
              <w:jc w:val="center"/>
              <w:rPr>
                <w:color w:val="000000"/>
                <w:sz w:val="16"/>
                <w:szCs w:val="16"/>
              </w:rPr>
            </w:pPr>
            <w:r w:rsidRPr="008E2574">
              <w:rPr>
                <w:color w:val="000000"/>
                <w:sz w:val="16"/>
                <w:szCs w:val="16"/>
              </w:rPr>
              <w:t>0,60</w:t>
            </w:r>
          </w:p>
        </w:tc>
        <w:tc>
          <w:tcPr>
            <w:tcW w:w="1375" w:type="dxa"/>
            <w:tcBorders>
              <w:top w:val="nil"/>
              <w:left w:val="nil"/>
              <w:bottom w:val="single" w:sz="4" w:space="0" w:color="auto"/>
              <w:right w:val="single" w:sz="4" w:space="0" w:color="auto"/>
            </w:tcBorders>
            <w:shd w:val="clear" w:color="auto" w:fill="auto"/>
            <w:noWrap/>
            <w:vAlign w:val="bottom"/>
            <w:hideMark/>
          </w:tcPr>
          <w:p w14:paraId="3CB9A9D2" w14:textId="33735693" w:rsidR="008E2574" w:rsidRPr="008E2574" w:rsidRDefault="008E2574" w:rsidP="00797D2B">
            <w:pPr>
              <w:jc w:val="center"/>
              <w:rPr>
                <w:color w:val="000000"/>
                <w:sz w:val="16"/>
                <w:szCs w:val="16"/>
              </w:rPr>
            </w:pPr>
            <w:r w:rsidRPr="008E2574">
              <w:rPr>
                <w:color w:val="000000"/>
                <w:sz w:val="16"/>
                <w:szCs w:val="16"/>
              </w:rPr>
              <w:t>6.883.491,00</w:t>
            </w:r>
          </w:p>
        </w:tc>
        <w:tc>
          <w:tcPr>
            <w:tcW w:w="1333" w:type="dxa"/>
            <w:tcBorders>
              <w:top w:val="nil"/>
              <w:left w:val="nil"/>
              <w:bottom w:val="single" w:sz="4" w:space="0" w:color="auto"/>
              <w:right w:val="single" w:sz="4" w:space="0" w:color="auto"/>
            </w:tcBorders>
            <w:shd w:val="clear" w:color="auto" w:fill="auto"/>
            <w:noWrap/>
            <w:vAlign w:val="bottom"/>
            <w:hideMark/>
          </w:tcPr>
          <w:p w14:paraId="39B4A73E" w14:textId="6ACD1593" w:rsidR="008E2574" w:rsidRPr="008E2574" w:rsidRDefault="008E2574" w:rsidP="00797D2B">
            <w:pPr>
              <w:jc w:val="center"/>
              <w:rPr>
                <w:color w:val="000000"/>
                <w:sz w:val="16"/>
                <w:szCs w:val="16"/>
              </w:rPr>
            </w:pPr>
            <w:r w:rsidRPr="008E2574">
              <w:rPr>
                <w:color w:val="000000"/>
                <w:sz w:val="16"/>
                <w:szCs w:val="16"/>
              </w:rPr>
              <w:t>0,92</w:t>
            </w:r>
          </w:p>
        </w:tc>
      </w:tr>
      <w:tr w:rsidR="008E2574" w:rsidRPr="008E2574" w14:paraId="44ADFF70"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43B01F8" w14:textId="33CC3333" w:rsidR="008E2574" w:rsidRPr="008E2574" w:rsidRDefault="008E2574" w:rsidP="00797D2B">
            <w:pPr>
              <w:rPr>
                <w:color w:val="000000"/>
                <w:sz w:val="16"/>
                <w:szCs w:val="16"/>
              </w:rPr>
            </w:pPr>
            <w:r w:rsidRPr="008E2574">
              <w:rPr>
                <w:color w:val="000000"/>
                <w:sz w:val="16"/>
                <w:szCs w:val="16"/>
              </w:rPr>
              <w:t>Minimum</w:t>
            </w:r>
          </w:p>
        </w:tc>
        <w:tc>
          <w:tcPr>
            <w:tcW w:w="1169" w:type="dxa"/>
            <w:tcBorders>
              <w:top w:val="nil"/>
              <w:left w:val="nil"/>
              <w:bottom w:val="single" w:sz="4" w:space="0" w:color="auto"/>
              <w:right w:val="single" w:sz="4" w:space="0" w:color="auto"/>
            </w:tcBorders>
            <w:shd w:val="clear" w:color="auto" w:fill="auto"/>
            <w:noWrap/>
            <w:vAlign w:val="bottom"/>
            <w:hideMark/>
          </w:tcPr>
          <w:p w14:paraId="66C72C42" w14:textId="58C18FE1" w:rsidR="008E2574" w:rsidRPr="008E2574" w:rsidRDefault="008E2574" w:rsidP="00797D2B">
            <w:pPr>
              <w:jc w:val="center"/>
              <w:rPr>
                <w:color w:val="000000"/>
                <w:sz w:val="16"/>
                <w:szCs w:val="16"/>
              </w:rPr>
            </w:pPr>
            <w:r w:rsidRPr="008E2574">
              <w:rPr>
                <w:color w:val="000000"/>
                <w:sz w:val="16"/>
                <w:szCs w:val="16"/>
              </w:rPr>
              <w:t>0,00</w:t>
            </w:r>
          </w:p>
        </w:tc>
        <w:tc>
          <w:tcPr>
            <w:tcW w:w="1333" w:type="dxa"/>
            <w:tcBorders>
              <w:top w:val="nil"/>
              <w:left w:val="nil"/>
              <w:bottom w:val="single" w:sz="4" w:space="0" w:color="auto"/>
              <w:right w:val="single" w:sz="4" w:space="0" w:color="auto"/>
            </w:tcBorders>
            <w:shd w:val="clear" w:color="auto" w:fill="auto"/>
            <w:noWrap/>
            <w:vAlign w:val="bottom"/>
            <w:hideMark/>
          </w:tcPr>
          <w:p w14:paraId="01F9BD6B" w14:textId="14B97EBC" w:rsidR="008E2574" w:rsidRPr="008E2574" w:rsidRDefault="008E2574" w:rsidP="00797D2B">
            <w:pPr>
              <w:jc w:val="center"/>
              <w:rPr>
                <w:color w:val="000000"/>
                <w:sz w:val="16"/>
                <w:szCs w:val="16"/>
              </w:rPr>
            </w:pPr>
            <w:r w:rsidRPr="008E2574">
              <w:rPr>
                <w:color w:val="000000"/>
                <w:sz w:val="16"/>
                <w:szCs w:val="16"/>
              </w:rPr>
              <w:t>0,11</w:t>
            </w:r>
          </w:p>
        </w:tc>
        <w:tc>
          <w:tcPr>
            <w:tcW w:w="1333" w:type="dxa"/>
            <w:tcBorders>
              <w:top w:val="nil"/>
              <w:left w:val="nil"/>
              <w:bottom w:val="single" w:sz="4" w:space="0" w:color="auto"/>
              <w:right w:val="single" w:sz="4" w:space="0" w:color="auto"/>
            </w:tcBorders>
            <w:shd w:val="clear" w:color="auto" w:fill="auto"/>
            <w:noWrap/>
            <w:vAlign w:val="bottom"/>
            <w:hideMark/>
          </w:tcPr>
          <w:p w14:paraId="64E45263" w14:textId="2B3FBD87" w:rsidR="008E2574" w:rsidRPr="008E2574" w:rsidRDefault="008E2574" w:rsidP="00797D2B">
            <w:pPr>
              <w:jc w:val="center"/>
              <w:rPr>
                <w:color w:val="000000"/>
                <w:sz w:val="16"/>
                <w:szCs w:val="16"/>
              </w:rPr>
            </w:pPr>
            <w:r w:rsidRPr="008E2574">
              <w:rPr>
                <w:color w:val="000000"/>
                <w:sz w:val="16"/>
                <w:szCs w:val="16"/>
              </w:rPr>
              <w:t>3.207.885,00</w:t>
            </w:r>
          </w:p>
        </w:tc>
        <w:tc>
          <w:tcPr>
            <w:tcW w:w="1389" w:type="dxa"/>
            <w:tcBorders>
              <w:top w:val="nil"/>
              <w:left w:val="nil"/>
              <w:bottom w:val="single" w:sz="4" w:space="0" w:color="auto"/>
              <w:right w:val="single" w:sz="4" w:space="0" w:color="auto"/>
            </w:tcBorders>
            <w:shd w:val="clear" w:color="auto" w:fill="auto"/>
            <w:noWrap/>
            <w:vAlign w:val="bottom"/>
            <w:hideMark/>
          </w:tcPr>
          <w:p w14:paraId="263999BA" w14:textId="4756A59B" w:rsidR="008E2574" w:rsidRPr="008E2574" w:rsidRDefault="008E2574" w:rsidP="00797D2B">
            <w:pPr>
              <w:jc w:val="center"/>
              <w:rPr>
                <w:color w:val="000000"/>
                <w:sz w:val="16"/>
                <w:szCs w:val="16"/>
              </w:rPr>
            </w:pPr>
            <w:r>
              <w:rPr>
                <w:color w:val="000000"/>
                <w:sz w:val="16"/>
                <w:szCs w:val="16"/>
              </w:rPr>
              <w:t>-</w:t>
            </w:r>
            <w:r w:rsidRPr="008E2574">
              <w:rPr>
                <w:color w:val="000000"/>
                <w:sz w:val="16"/>
                <w:szCs w:val="16"/>
              </w:rPr>
              <w:t>1.404.296,00</w:t>
            </w:r>
          </w:p>
        </w:tc>
        <w:tc>
          <w:tcPr>
            <w:tcW w:w="1375" w:type="dxa"/>
            <w:tcBorders>
              <w:top w:val="nil"/>
              <w:left w:val="nil"/>
              <w:bottom w:val="single" w:sz="4" w:space="0" w:color="auto"/>
              <w:right w:val="single" w:sz="4" w:space="0" w:color="auto"/>
            </w:tcBorders>
            <w:shd w:val="clear" w:color="auto" w:fill="auto"/>
            <w:noWrap/>
            <w:vAlign w:val="bottom"/>
            <w:hideMark/>
          </w:tcPr>
          <w:p w14:paraId="0ACB456C" w14:textId="621C02AC" w:rsidR="008E2574" w:rsidRPr="008E2574" w:rsidRDefault="008E2574" w:rsidP="00797D2B">
            <w:pPr>
              <w:jc w:val="center"/>
              <w:rPr>
                <w:color w:val="000000"/>
                <w:sz w:val="16"/>
                <w:szCs w:val="16"/>
              </w:rPr>
            </w:pPr>
            <w:r w:rsidRPr="008E2574">
              <w:rPr>
                <w:color w:val="000000"/>
                <w:sz w:val="16"/>
                <w:szCs w:val="16"/>
              </w:rPr>
              <w:t>0,70</w:t>
            </w:r>
          </w:p>
        </w:tc>
        <w:tc>
          <w:tcPr>
            <w:tcW w:w="1333" w:type="dxa"/>
            <w:tcBorders>
              <w:top w:val="nil"/>
              <w:left w:val="nil"/>
              <w:bottom w:val="single" w:sz="4" w:space="0" w:color="auto"/>
              <w:right w:val="single" w:sz="4" w:space="0" w:color="auto"/>
            </w:tcBorders>
            <w:shd w:val="clear" w:color="auto" w:fill="auto"/>
            <w:noWrap/>
            <w:vAlign w:val="bottom"/>
            <w:hideMark/>
          </w:tcPr>
          <w:p w14:paraId="3332F356" w14:textId="679F78BE" w:rsidR="008E2574" w:rsidRPr="008E2574" w:rsidRDefault="008E2574" w:rsidP="00797D2B">
            <w:pPr>
              <w:jc w:val="center"/>
              <w:rPr>
                <w:color w:val="000000"/>
                <w:sz w:val="16"/>
                <w:szCs w:val="16"/>
              </w:rPr>
            </w:pPr>
            <w:r w:rsidRPr="008E2574">
              <w:rPr>
                <w:color w:val="000000"/>
                <w:sz w:val="16"/>
                <w:szCs w:val="16"/>
              </w:rPr>
              <w:t>0,00</w:t>
            </w:r>
          </w:p>
        </w:tc>
      </w:tr>
      <w:tr w:rsidR="008E2574" w:rsidRPr="008E2574" w14:paraId="0FFC14E8"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22D3351" w14:textId="7578419D" w:rsidR="008E2574" w:rsidRPr="008E2574" w:rsidRDefault="008E2574" w:rsidP="00797D2B">
            <w:pPr>
              <w:rPr>
                <w:color w:val="000000"/>
                <w:sz w:val="16"/>
                <w:szCs w:val="16"/>
              </w:rPr>
            </w:pPr>
            <w:r w:rsidRPr="008E2574">
              <w:rPr>
                <w:color w:val="000000"/>
                <w:sz w:val="16"/>
                <w:szCs w:val="16"/>
              </w:rPr>
              <w:lastRenderedPageBreak/>
              <w:t>Std. Dev.</w:t>
            </w:r>
          </w:p>
        </w:tc>
        <w:tc>
          <w:tcPr>
            <w:tcW w:w="1169" w:type="dxa"/>
            <w:tcBorders>
              <w:top w:val="nil"/>
              <w:left w:val="nil"/>
              <w:bottom w:val="single" w:sz="4" w:space="0" w:color="auto"/>
              <w:right w:val="single" w:sz="4" w:space="0" w:color="auto"/>
            </w:tcBorders>
            <w:shd w:val="clear" w:color="auto" w:fill="auto"/>
            <w:noWrap/>
            <w:vAlign w:val="bottom"/>
            <w:hideMark/>
          </w:tcPr>
          <w:p w14:paraId="7B169D23" w14:textId="6BE7FF51" w:rsidR="008E2574" w:rsidRPr="008E2574" w:rsidRDefault="008E2574" w:rsidP="00797D2B">
            <w:pPr>
              <w:jc w:val="center"/>
              <w:rPr>
                <w:color w:val="000000"/>
                <w:sz w:val="16"/>
                <w:szCs w:val="16"/>
              </w:rPr>
            </w:pPr>
            <w:r w:rsidRPr="008E2574">
              <w:rPr>
                <w:color w:val="000000"/>
                <w:sz w:val="16"/>
                <w:szCs w:val="16"/>
              </w:rPr>
              <w:t>0,06</w:t>
            </w:r>
          </w:p>
        </w:tc>
        <w:tc>
          <w:tcPr>
            <w:tcW w:w="1333" w:type="dxa"/>
            <w:tcBorders>
              <w:top w:val="nil"/>
              <w:left w:val="nil"/>
              <w:bottom w:val="single" w:sz="4" w:space="0" w:color="auto"/>
              <w:right w:val="single" w:sz="4" w:space="0" w:color="auto"/>
            </w:tcBorders>
            <w:shd w:val="clear" w:color="auto" w:fill="auto"/>
            <w:noWrap/>
            <w:vAlign w:val="bottom"/>
            <w:hideMark/>
          </w:tcPr>
          <w:p w14:paraId="2D974B71" w14:textId="3E3AAEA7" w:rsidR="008E2574" w:rsidRPr="008E2574" w:rsidRDefault="008E2574" w:rsidP="00797D2B">
            <w:pPr>
              <w:jc w:val="center"/>
              <w:rPr>
                <w:color w:val="000000"/>
                <w:sz w:val="16"/>
                <w:szCs w:val="16"/>
              </w:rPr>
            </w:pPr>
            <w:r w:rsidRPr="008E2574">
              <w:rPr>
                <w:color w:val="000000"/>
                <w:sz w:val="16"/>
                <w:szCs w:val="16"/>
              </w:rPr>
              <w:t>0,24</w:t>
            </w:r>
          </w:p>
        </w:tc>
        <w:tc>
          <w:tcPr>
            <w:tcW w:w="1333" w:type="dxa"/>
            <w:tcBorders>
              <w:top w:val="nil"/>
              <w:left w:val="nil"/>
              <w:bottom w:val="single" w:sz="4" w:space="0" w:color="auto"/>
              <w:right w:val="single" w:sz="4" w:space="0" w:color="auto"/>
            </w:tcBorders>
            <w:shd w:val="clear" w:color="auto" w:fill="auto"/>
            <w:noWrap/>
            <w:vAlign w:val="bottom"/>
            <w:hideMark/>
          </w:tcPr>
          <w:p w14:paraId="2035EE1E" w14:textId="6C4B099E" w:rsidR="008E2574" w:rsidRPr="008E2574" w:rsidRDefault="008E2574" w:rsidP="00797D2B">
            <w:pPr>
              <w:jc w:val="center"/>
              <w:rPr>
                <w:color w:val="000000"/>
                <w:sz w:val="16"/>
                <w:szCs w:val="16"/>
              </w:rPr>
            </w:pPr>
            <w:r w:rsidRPr="008E2574">
              <w:rPr>
                <w:color w:val="000000"/>
                <w:sz w:val="16"/>
                <w:szCs w:val="16"/>
              </w:rPr>
              <w:t>35.718,84</w:t>
            </w:r>
          </w:p>
        </w:tc>
        <w:tc>
          <w:tcPr>
            <w:tcW w:w="1389" w:type="dxa"/>
            <w:tcBorders>
              <w:top w:val="nil"/>
              <w:left w:val="nil"/>
              <w:bottom w:val="single" w:sz="4" w:space="0" w:color="auto"/>
              <w:right w:val="single" w:sz="4" w:space="0" w:color="auto"/>
            </w:tcBorders>
            <w:shd w:val="clear" w:color="auto" w:fill="auto"/>
            <w:noWrap/>
            <w:vAlign w:val="bottom"/>
            <w:hideMark/>
          </w:tcPr>
          <w:p w14:paraId="4FFCB3FD" w14:textId="15BCE125" w:rsidR="008E2574" w:rsidRPr="008E2574" w:rsidRDefault="008E2574" w:rsidP="00797D2B">
            <w:pPr>
              <w:jc w:val="center"/>
              <w:rPr>
                <w:color w:val="000000"/>
                <w:sz w:val="16"/>
                <w:szCs w:val="16"/>
              </w:rPr>
            </w:pPr>
            <w:r w:rsidRPr="008E2574">
              <w:rPr>
                <w:color w:val="000000"/>
                <w:sz w:val="16"/>
                <w:szCs w:val="16"/>
              </w:rPr>
              <w:t>0,12</w:t>
            </w:r>
          </w:p>
        </w:tc>
        <w:tc>
          <w:tcPr>
            <w:tcW w:w="1375" w:type="dxa"/>
            <w:tcBorders>
              <w:top w:val="nil"/>
              <w:left w:val="nil"/>
              <w:bottom w:val="single" w:sz="4" w:space="0" w:color="auto"/>
              <w:right w:val="single" w:sz="4" w:space="0" w:color="auto"/>
            </w:tcBorders>
            <w:shd w:val="clear" w:color="auto" w:fill="auto"/>
            <w:noWrap/>
            <w:vAlign w:val="bottom"/>
            <w:hideMark/>
          </w:tcPr>
          <w:p w14:paraId="2C91C881" w14:textId="0A160DE7" w:rsidR="008E2574" w:rsidRPr="008E2574" w:rsidRDefault="008E2574" w:rsidP="00797D2B">
            <w:pPr>
              <w:jc w:val="center"/>
              <w:rPr>
                <w:color w:val="000000"/>
                <w:sz w:val="16"/>
                <w:szCs w:val="16"/>
              </w:rPr>
            </w:pPr>
            <w:r w:rsidRPr="008E2574">
              <w:rPr>
                <w:color w:val="000000"/>
                <w:sz w:val="16"/>
                <w:szCs w:val="16"/>
              </w:rPr>
              <w:t>0,36</w:t>
            </w:r>
          </w:p>
        </w:tc>
        <w:tc>
          <w:tcPr>
            <w:tcW w:w="1333" w:type="dxa"/>
            <w:tcBorders>
              <w:top w:val="nil"/>
              <w:left w:val="nil"/>
              <w:bottom w:val="single" w:sz="4" w:space="0" w:color="auto"/>
              <w:right w:val="single" w:sz="4" w:space="0" w:color="auto"/>
            </w:tcBorders>
            <w:shd w:val="clear" w:color="auto" w:fill="auto"/>
            <w:noWrap/>
            <w:vAlign w:val="bottom"/>
            <w:hideMark/>
          </w:tcPr>
          <w:p w14:paraId="6FC5BD4D" w14:textId="0B201902" w:rsidR="008E2574" w:rsidRPr="008E2574" w:rsidRDefault="008E2574" w:rsidP="00797D2B">
            <w:pPr>
              <w:jc w:val="center"/>
              <w:rPr>
                <w:color w:val="000000"/>
                <w:sz w:val="16"/>
                <w:szCs w:val="16"/>
              </w:rPr>
            </w:pPr>
            <w:r w:rsidRPr="008E2574">
              <w:rPr>
                <w:color w:val="000000"/>
                <w:sz w:val="16"/>
                <w:szCs w:val="16"/>
              </w:rPr>
              <w:t>0,20</w:t>
            </w:r>
          </w:p>
        </w:tc>
      </w:tr>
      <w:tr w:rsidR="008E2574" w:rsidRPr="008E2574" w14:paraId="5CEEF253" w14:textId="77777777" w:rsidTr="00E06367">
        <w:trPr>
          <w:trHeight w:hRule="exact" w:val="1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BACB57" w14:textId="61BC78B9" w:rsidR="008E2574" w:rsidRPr="008E2574" w:rsidRDefault="008E2574" w:rsidP="00797D2B">
            <w:pPr>
              <w:rPr>
                <w:color w:val="000000"/>
                <w:sz w:val="16"/>
                <w:szCs w:val="16"/>
              </w:rPr>
            </w:pPr>
            <w:r w:rsidRPr="008E2574">
              <w:rPr>
                <w:color w:val="000000"/>
                <w:sz w:val="16"/>
                <w:szCs w:val="16"/>
              </w:rPr>
              <w:t>Observations</w:t>
            </w:r>
          </w:p>
        </w:tc>
        <w:tc>
          <w:tcPr>
            <w:tcW w:w="1169" w:type="dxa"/>
            <w:tcBorders>
              <w:top w:val="nil"/>
              <w:left w:val="nil"/>
              <w:bottom w:val="single" w:sz="4" w:space="0" w:color="auto"/>
              <w:right w:val="single" w:sz="4" w:space="0" w:color="auto"/>
            </w:tcBorders>
            <w:shd w:val="clear" w:color="auto" w:fill="auto"/>
            <w:noWrap/>
            <w:vAlign w:val="bottom"/>
            <w:hideMark/>
          </w:tcPr>
          <w:p w14:paraId="1D17B840" w14:textId="696C1D24" w:rsidR="008E2574" w:rsidRPr="008E2574" w:rsidRDefault="008E2574" w:rsidP="00797D2B">
            <w:pPr>
              <w:jc w:val="center"/>
              <w:rPr>
                <w:color w:val="000000"/>
                <w:sz w:val="16"/>
                <w:szCs w:val="16"/>
              </w:rPr>
            </w:pPr>
            <w:r w:rsidRPr="008E2574">
              <w:rPr>
                <w:color w:val="000000"/>
                <w:sz w:val="16"/>
                <w:szCs w:val="16"/>
              </w:rPr>
              <w:t>1.140,00</w:t>
            </w:r>
          </w:p>
        </w:tc>
        <w:tc>
          <w:tcPr>
            <w:tcW w:w="1333" w:type="dxa"/>
            <w:tcBorders>
              <w:top w:val="nil"/>
              <w:left w:val="nil"/>
              <w:bottom w:val="single" w:sz="4" w:space="0" w:color="auto"/>
              <w:right w:val="single" w:sz="4" w:space="0" w:color="auto"/>
            </w:tcBorders>
            <w:shd w:val="clear" w:color="auto" w:fill="auto"/>
            <w:noWrap/>
            <w:vAlign w:val="bottom"/>
            <w:hideMark/>
          </w:tcPr>
          <w:p w14:paraId="32043B74" w14:textId="73A6EFDA" w:rsidR="008E2574" w:rsidRPr="008E2574" w:rsidRDefault="008E2574" w:rsidP="00797D2B">
            <w:pPr>
              <w:jc w:val="center"/>
              <w:rPr>
                <w:color w:val="000000"/>
                <w:sz w:val="16"/>
                <w:szCs w:val="16"/>
              </w:rPr>
            </w:pPr>
            <w:r w:rsidRPr="008E2574">
              <w:rPr>
                <w:color w:val="000000"/>
                <w:sz w:val="16"/>
                <w:szCs w:val="16"/>
              </w:rPr>
              <w:t>1.140,00</w:t>
            </w:r>
          </w:p>
        </w:tc>
        <w:tc>
          <w:tcPr>
            <w:tcW w:w="1333" w:type="dxa"/>
            <w:tcBorders>
              <w:top w:val="nil"/>
              <w:left w:val="nil"/>
              <w:bottom w:val="single" w:sz="4" w:space="0" w:color="auto"/>
              <w:right w:val="single" w:sz="4" w:space="0" w:color="auto"/>
            </w:tcBorders>
            <w:shd w:val="clear" w:color="auto" w:fill="auto"/>
            <w:noWrap/>
            <w:vAlign w:val="bottom"/>
            <w:hideMark/>
          </w:tcPr>
          <w:p w14:paraId="6769A090" w14:textId="664C6F1C" w:rsidR="008E2574" w:rsidRPr="008E2574" w:rsidRDefault="008E2574" w:rsidP="00797D2B">
            <w:pPr>
              <w:jc w:val="center"/>
              <w:rPr>
                <w:color w:val="000000"/>
                <w:sz w:val="16"/>
                <w:szCs w:val="16"/>
              </w:rPr>
            </w:pPr>
            <w:r w:rsidRPr="008E2574">
              <w:rPr>
                <w:color w:val="000000"/>
                <w:sz w:val="16"/>
                <w:szCs w:val="16"/>
              </w:rPr>
              <w:t>1.140,00</w:t>
            </w:r>
          </w:p>
        </w:tc>
        <w:tc>
          <w:tcPr>
            <w:tcW w:w="1389" w:type="dxa"/>
            <w:tcBorders>
              <w:top w:val="nil"/>
              <w:left w:val="nil"/>
              <w:bottom w:val="single" w:sz="4" w:space="0" w:color="auto"/>
              <w:right w:val="single" w:sz="4" w:space="0" w:color="auto"/>
            </w:tcBorders>
            <w:shd w:val="clear" w:color="auto" w:fill="auto"/>
            <w:noWrap/>
            <w:vAlign w:val="bottom"/>
            <w:hideMark/>
          </w:tcPr>
          <w:p w14:paraId="5A41A2D5" w14:textId="1D4F7B30" w:rsidR="008E2574" w:rsidRPr="008E2574" w:rsidRDefault="008E2574" w:rsidP="00797D2B">
            <w:pPr>
              <w:jc w:val="center"/>
              <w:rPr>
                <w:color w:val="000000"/>
                <w:sz w:val="16"/>
                <w:szCs w:val="16"/>
              </w:rPr>
            </w:pPr>
            <w:r w:rsidRPr="008E2574">
              <w:rPr>
                <w:color w:val="000000"/>
                <w:sz w:val="16"/>
                <w:szCs w:val="16"/>
              </w:rPr>
              <w:t>1.140,00</w:t>
            </w:r>
          </w:p>
        </w:tc>
        <w:tc>
          <w:tcPr>
            <w:tcW w:w="1375" w:type="dxa"/>
            <w:tcBorders>
              <w:top w:val="nil"/>
              <w:left w:val="nil"/>
              <w:bottom w:val="single" w:sz="4" w:space="0" w:color="auto"/>
              <w:right w:val="single" w:sz="4" w:space="0" w:color="auto"/>
            </w:tcBorders>
            <w:shd w:val="clear" w:color="auto" w:fill="auto"/>
            <w:noWrap/>
            <w:vAlign w:val="bottom"/>
            <w:hideMark/>
          </w:tcPr>
          <w:p w14:paraId="23109C26" w14:textId="0D359723" w:rsidR="008E2574" w:rsidRPr="008E2574" w:rsidRDefault="008E2574" w:rsidP="00797D2B">
            <w:pPr>
              <w:jc w:val="center"/>
              <w:rPr>
                <w:color w:val="000000"/>
                <w:sz w:val="16"/>
                <w:szCs w:val="16"/>
              </w:rPr>
            </w:pPr>
            <w:r w:rsidRPr="008E2574">
              <w:rPr>
                <w:color w:val="000000"/>
                <w:sz w:val="16"/>
                <w:szCs w:val="16"/>
              </w:rPr>
              <w:t>1.140,00</w:t>
            </w:r>
          </w:p>
        </w:tc>
        <w:tc>
          <w:tcPr>
            <w:tcW w:w="1333" w:type="dxa"/>
            <w:tcBorders>
              <w:top w:val="nil"/>
              <w:left w:val="nil"/>
              <w:bottom w:val="single" w:sz="4" w:space="0" w:color="auto"/>
              <w:right w:val="single" w:sz="4" w:space="0" w:color="auto"/>
            </w:tcBorders>
            <w:shd w:val="clear" w:color="auto" w:fill="auto"/>
            <w:noWrap/>
            <w:vAlign w:val="bottom"/>
            <w:hideMark/>
          </w:tcPr>
          <w:p w14:paraId="4F431E51" w14:textId="5BF3E41E" w:rsidR="008E2574" w:rsidRPr="008E2574" w:rsidRDefault="008E2574" w:rsidP="00797D2B">
            <w:pPr>
              <w:jc w:val="center"/>
              <w:rPr>
                <w:color w:val="000000"/>
                <w:sz w:val="16"/>
                <w:szCs w:val="16"/>
              </w:rPr>
            </w:pPr>
            <w:r w:rsidRPr="008E2574">
              <w:rPr>
                <w:color w:val="000000"/>
                <w:sz w:val="16"/>
                <w:szCs w:val="16"/>
              </w:rPr>
              <w:t>1.140,00</w:t>
            </w:r>
          </w:p>
        </w:tc>
      </w:tr>
    </w:tbl>
    <w:p w14:paraId="3B4EE4A8" w14:textId="4863962C" w:rsidR="00FF6001" w:rsidRPr="00EF2A33" w:rsidRDefault="00FF6001" w:rsidP="00FF6001">
      <w:pPr>
        <w:spacing w:line="360" w:lineRule="auto"/>
        <w:jc w:val="both"/>
        <w:rPr>
          <w:sz w:val="22"/>
          <w:szCs w:val="22"/>
        </w:rPr>
      </w:pPr>
      <w:r w:rsidRPr="00EF2A33">
        <w:rPr>
          <w:sz w:val="22"/>
          <w:szCs w:val="22"/>
        </w:rPr>
        <w:t>Fonte: resultados da pesquisa (2017)</w:t>
      </w:r>
      <w:r w:rsidR="000C45A5" w:rsidRPr="00EF2A33">
        <w:rPr>
          <w:sz w:val="22"/>
          <w:szCs w:val="22"/>
        </w:rPr>
        <w:t>.</w:t>
      </w:r>
    </w:p>
    <w:p w14:paraId="659C177F" w14:textId="77777777" w:rsidR="00EF2A33" w:rsidRPr="00EF2A33" w:rsidRDefault="00EF2A33" w:rsidP="000C45A5">
      <w:pPr>
        <w:spacing w:line="360" w:lineRule="auto"/>
        <w:ind w:firstLine="709"/>
        <w:jc w:val="both"/>
        <w:rPr>
          <w:sz w:val="22"/>
          <w:szCs w:val="22"/>
        </w:rPr>
      </w:pPr>
    </w:p>
    <w:p w14:paraId="6D8A8BBE" w14:textId="044852C6" w:rsidR="000C45A5" w:rsidRPr="00EF2A33" w:rsidRDefault="000C45A5" w:rsidP="000C45A5">
      <w:pPr>
        <w:spacing w:line="360" w:lineRule="auto"/>
        <w:ind w:firstLine="709"/>
        <w:jc w:val="both"/>
        <w:rPr>
          <w:sz w:val="22"/>
          <w:szCs w:val="22"/>
        </w:rPr>
      </w:pPr>
      <w:r w:rsidRPr="00EF2A33">
        <w:rPr>
          <w:sz w:val="22"/>
          <w:szCs w:val="22"/>
        </w:rPr>
        <w:t>Saliente-se que</w:t>
      </w:r>
      <w:r w:rsidR="00B238E3" w:rsidRPr="00EF2A33">
        <w:rPr>
          <w:sz w:val="22"/>
          <w:szCs w:val="22"/>
        </w:rPr>
        <w:t xml:space="preserve">, como dito na metodologia, foi empregada uma variável binária para as empresas brasileiras (sem correspondente para as norte-americanas) relativa à indicação ao Troféu Transparência da ANEFAC, variável essa empregada como </w:t>
      </w:r>
      <w:r w:rsidR="00B238E3" w:rsidRPr="00EF2A33">
        <w:rPr>
          <w:i/>
          <w:sz w:val="22"/>
          <w:szCs w:val="22"/>
        </w:rPr>
        <w:t>proxie</w:t>
      </w:r>
      <w:r w:rsidR="00B238E3" w:rsidRPr="00EF2A33">
        <w:rPr>
          <w:sz w:val="22"/>
          <w:szCs w:val="22"/>
        </w:rPr>
        <w:t xml:space="preserve"> para assimetria de informação, e que em relação a ela, </w:t>
      </w:r>
      <w:r w:rsidR="00E54232" w:rsidRPr="00EF2A33">
        <w:rPr>
          <w:sz w:val="22"/>
          <w:szCs w:val="22"/>
        </w:rPr>
        <w:t xml:space="preserve">foram 61 observações em que se verificou empresas indicadas ao </w:t>
      </w:r>
      <w:r w:rsidR="00B238E3" w:rsidRPr="00EF2A33">
        <w:rPr>
          <w:sz w:val="22"/>
          <w:szCs w:val="22"/>
        </w:rPr>
        <w:t xml:space="preserve">referido </w:t>
      </w:r>
      <w:r w:rsidR="00E54232" w:rsidRPr="00EF2A33">
        <w:rPr>
          <w:sz w:val="22"/>
          <w:szCs w:val="22"/>
        </w:rPr>
        <w:t>prêmio</w:t>
      </w:r>
      <w:r w:rsidR="00E4257C" w:rsidRPr="00EF2A33">
        <w:rPr>
          <w:sz w:val="22"/>
          <w:szCs w:val="22"/>
        </w:rPr>
        <w:t>. Isso não significa, necessariamente, que se tratam de 61 empresas diferentes, pois em várias ocasiões uma mesma empresa foi indicada como finalista do referido prêmio por mais de um ano, como, por exemplo, a SABESP, finalista em mais de uma oportunidade, a CEMIG, dentre outras.</w:t>
      </w:r>
    </w:p>
    <w:p w14:paraId="17A394D8" w14:textId="685705E8" w:rsidR="00184D5F" w:rsidRPr="00EF2A33" w:rsidRDefault="00A10D6D" w:rsidP="000C45A5">
      <w:pPr>
        <w:spacing w:line="360" w:lineRule="auto"/>
        <w:ind w:firstLine="709"/>
        <w:jc w:val="both"/>
        <w:rPr>
          <w:sz w:val="22"/>
          <w:szCs w:val="22"/>
        </w:rPr>
      </w:pPr>
      <w:r w:rsidRPr="00EF2A33">
        <w:rPr>
          <w:sz w:val="22"/>
          <w:szCs w:val="22"/>
        </w:rPr>
        <w:t xml:space="preserve">Passando agora para as regressões, elas são indicadas, </w:t>
      </w:r>
      <w:r w:rsidR="00606316" w:rsidRPr="00EF2A33">
        <w:rPr>
          <w:sz w:val="22"/>
          <w:szCs w:val="22"/>
        </w:rPr>
        <w:t xml:space="preserve">tanto para empresas brasileiras, quanto para as norte-americanas, </w:t>
      </w:r>
      <w:r w:rsidRPr="00EF2A33">
        <w:rPr>
          <w:sz w:val="22"/>
          <w:szCs w:val="22"/>
        </w:rPr>
        <w:t xml:space="preserve">na </w:t>
      </w:r>
      <w:r w:rsidR="00E03DBC" w:rsidRPr="00EF2A33">
        <w:rPr>
          <w:sz w:val="22"/>
          <w:szCs w:val="22"/>
        </w:rPr>
        <w:t>T</w:t>
      </w:r>
      <w:r w:rsidR="00FF6001" w:rsidRPr="00EF2A33">
        <w:rPr>
          <w:sz w:val="22"/>
          <w:szCs w:val="22"/>
        </w:rPr>
        <w:t>abela 2</w:t>
      </w:r>
      <w:r w:rsidRPr="00EF2A33">
        <w:rPr>
          <w:sz w:val="22"/>
          <w:szCs w:val="22"/>
        </w:rPr>
        <w:t xml:space="preserve"> a seguir.</w:t>
      </w:r>
    </w:p>
    <w:p w14:paraId="692BE86A" w14:textId="77777777" w:rsidR="00FF6001" w:rsidRPr="00EF2A33" w:rsidRDefault="00FF6001" w:rsidP="00FF6001">
      <w:pPr>
        <w:spacing w:line="360" w:lineRule="auto"/>
        <w:ind w:firstLine="709"/>
        <w:jc w:val="both"/>
        <w:rPr>
          <w:sz w:val="22"/>
          <w:szCs w:val="22"/>
        </w:rPr>
      </w:pPr>
    </w:p>
    <w:p w14:paraId="143DDA52" w14:textId="18F5FA19" w:rsidR="005D0736" w:rsidRPr="00EF2A33" w:rsidRDefault="00193CBF" w:rsidP="00835FD0">
      <w:pPr>
        <w:spacing w:line="360" w:lineRule="auto"/>
        <w:jc w:val="both"/>
        <w:rPr>
          <w:sz w:val="22"/>
          <w:szCs w:val="22"/>
        </w:rPr>
      </w:pPr>
      <w:r w:rsidRPr="00EF2A33">
        <w:rPr>
          <w:sz w:val="22"/>
          <w:szCs w:val="22"/>
        </w:rPr>
        <w:t xml:space="preserve">Tabela </w:t>
      </w:r>
      <w:r w:rsidR="00112938" w:rsidRPr="00EF2A33">
        <w:rPr>
          <w:sz w:val="22"/>
          <w:szCs w:val="22"/>
        </w:rPr>
        <w:t>2</w:t>
      </w:r>
      <w:r w:rsidRPr="00EF2A33">
        <w:rPr>
          <w:sz w:val="22"/>
          <w:szCs w:val="22"/>
        </w:rPr>
        <w:t xml:space="preserve">: </w:t>
      </w:r>
      <w:r w:rsidR="00766C01" w:rsidRPr="00EF2A33">
        <w:rPr>
          <w:sz w:val="22"/>
          <w:szCs w:val="22"/>
        </w:rPr>
        <w:t>Resultado da regressão</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7"/>
        <w:gridCol w:w="585"/>
        <w:gridCol w:w="688"/>
        <w:gridCol w:w="596"/>
        <w:gridCol w:w="577"/>
        <w:gridCol w:w="687"/>
        <w:gridCol w:w="595"/>
        <w:gridCol w:w="576"/>
        <w:gridCol w:w="687"/>
        <w:gridCol w:w="595"/>
        <w:gridCol w:w="576"/>
        <w:gridCol w:w="687"/>
        <w:gridCol w:w="595"/>
      </w:tblGrid>
      <w:tr w:rsidR="005D0736" w:rsidRPr="005D0736" w14:paraId="70980B8C" w14:textId="77777777" w:rsidTr="005D0736">
        <w:trPr>
          <w:trHeight w:val="20"/>
        </w:trPr>
        <w:tc>
          <w:tcPr>
            <w:tcW w:w="9061" w:type="dxa"/>
            <w:gridSpan w:val="13"/>
            <w:shd w:val="clear" w:color="auto" w:fill="auto"/>
            <w:noWrap/>
            <w:vAlign w:val="bottom"/>
            <w:hideMark/>
          </w:tcPr>
          <w:p w14:paraId="3DE40B73" w14:textId="489DD1D0" w:rsidR="005D0736" w:rsidRPr="005D0736" w:rsidRDefault="005D0736" w:rsidP="005D0736">
            <w:pPr>
              <w:jc w:val="both"/>
              <w:rPr>
                <w:b/>
                <w:bCs/>
                <w:color w:val="000000"/>
                <w:sz w:val="16"/>
                <w:szCs w:val="16"/>
              </w:rPr>
            </w:pPr>
            <w:r w:rsidRPr="00852236">
              <w:rPr>
                <w:sz w:val="18"/>
                <w:szCs w:val="18"/>
              </w:rPr>
              <w:t>Variável Dependente: FIN_CP/ATTOTA</w:t>
            </w:r>
            <w:r>
              <w:rPr>
                <w:sz w:val="18"/>
                <w:szCs w:val="18"/>
              </w:rPr>
              <w:t>L</w:t>
            </w:r>
          </w:p>
        </w:tc>
      </w:tr>
      <w:tr w:rsidR="005D0736" w:rsidRPr="005D0736" w14:paraId="31FBA853" w14:textId="77777777" w:rsidTr="002175D9">
        <w:trPr>
          <w:trHeight w:val="20"/>
        </w:trPr>
        <w:tc>
          <w:tcPr>
            <w:tcW w:w="9061" w:type="dxa"/>
            <w:gridSpan w:val="13"/>
            <w:shd w:val="clear" w:color="auto" w:fill="auto"/>
            <w:noWrap/>
            <w:vAlign w:val="bottom"/>
          </w:tcPr>
          <w:p w14:paraId="5BDC6AD7" w14:textId="3FC202D4" w:rsidR="005D0736" w:rsidRPr="005D0736" w:rsidRDefault="005D0736" w:rsidP="005D0736">
            <w:pPr>
              <w:jc w:val="both"/>
              <w:rPr>
                <w:b/>
                <w:bCs/>
                <w:color w:val="000000"/>
                <w:sz w:val="16"/>
                <w:szCs w:val="16"/>
              </w:rPr>
            </w:pPr>
            <w:r w:rsidRPr="00852236">
              <w:rPr>
                <w:sz w:val="18"/>
                <w:szCs w:val="18"/>
              </w:rPr>
              <w:t>Método de Estimação: Panel EGLS (Cross-section weights</w:t>
            </w:r>
            <w:r>
              <w:rPr>
                <w:sz w:val="18"/>
                <w:szCs w:val="18"/>
              </w:rPr>
              <w:t>)</w:t>
            </w:r>
          </w:p>
        </w:tc>
      </w:tr>
      <w:tr w:rsidR="005D0736" w:rsidRPr="005D0736" w14:paraId="4372AC78" w14:textId="77777777" w:rsidTr="002175D9">
        <w:trPr>
          <w:trHeight w:val="20"/>
        </w:trPr>
        <w:tc>
          <w:tcPr>
            <w:tcW w:w="9061" w:type="dxa"/>
            <w:gridSpan w:val="13"/>
            <w:shd w:val="clear" w:color="auto" w:fill="auto"/>
            <w:noWrap/>
            <w:vAlign w:val="bottom"/>
          </w:tcPr>
          <w:p w14:paraId="519B0744" w14:textId="5EA6612C" w:rsidR="005D0736" w:rsidRPr="005D0736" w:rsidRDefault="005D0736" w:rsidP="005D0736">
            <w:pPr>
              <w:jc w:val="both"/>
              <w:rPr>
                <w:b/>
                <w:bCs/>
                <w:color w:val="000000"/>
                <w:sz w:val="16"/>
                <w:szCs w:val="16"/>
              </w:rPr>
            </w:pPr>
            <w:r w:rsidRPr="00852236">
              <w:rPr>
                <w:sz w:val="18"/>
                <w:szCs w:val="18"/>
              </w:rPr>
              <w:t>Período: 2011 a 2015 (5 períodos</w:t>
            </w:r>
            <w:r>
              <w:rPr>
                <w:sz w:val="18"/>
                <w:szCs w:val="18"/>
              </w:rPr>
              <w:t>)</w:t>
            </w:r>
          </w:p>
        </w:tc>
      </w:tr>
      <w:tr w:rsidR="005D0736" w:rsidRPr="005D0736" w14:paraId="05D50117" w14:textId="77777777" w:rsidTr="002175D9">
        <w:trPr>
          <w:trHeight w:val="20"/>
        </w:trPr>
        <w:tc>
          <w:tcPr>
            <w:tcW w:w="9061" w:type="dxa"/>
            <w:gridSpan w:val="13"/>
            <w:shd w:val="clear" w:color="auto" w:fill="auto"/>
            <w:noWrap/>
            <w:vAlign w:val="bottom"/>
          </w:tcPr>
          <w:p w14:paraId="4642A587" w14:textId="1D719BAD" w:rsidR="005D0736" w:rsidRPr="005D0736" w:rsidRDefault="005D0736" w:rsidP="005D0736">
            <w:pPr>
              <w:jc w:val="both"/>
              <w:rPr>
                <w:b/>
                <w:bCs/>
                <w:color w:val="000000"/>
                <w:sz w:val="16"/>
                <w:szCs w:val="16"/>
              </w:rPr>
            </w:pPr>
            <w:r w:rsidRPr="00852236">
              <w:rPr>
                <w:sz w:val="18"/>
                <w:szCs w:val="18"/>
              </w:rPr>
              <w:t>Modelo: Efeito Fix</w:t>
            </w:r>
            <w:r>
              <w:rPr>
                <w:sz w:val="18"/>
                <w:szCs w:val="18"/>
              </w:rPr>
              <w:t>o</w:t>
            </w:r>
          </w:p>
        </w:tc>
      </w:tr>
      <w:tr w:rsidR="005D0736" w:rsidRPr="005D0736" w14:paraId="67666C22" w14:textId="77777777" w:rsidTr="005D0736">
        <w:trPr>
          <w:trHeight w:val="20"/>
        </w:trPr>
        <w:tc>
          <w:tcPr>
            <w:tcW w:w="1617" w:type="dxa"/>
            <w:shd w:val="clear" w:color="auto" w:fill="auto"/>
            <w:noWrap/>
            <w:vAlign w:val="bottom"/>
          </w:tcPr>
          <w:p w14:paraId="5CA2F31F" w14:textId="45A78731" w:rsidR="005D0736" w:rsidRPr="005D0736" w:rsidRDefault="005D0736" w:rsidP="005D0736">
            <w:pPr>
              <w:jc w:val="center"/>
              <w:rPr>
                <w:sz w:val="16"/>
                <w:szCs w:val="16"/>
              </w:rPr>
            </w:pPr>
            <w:r>
              <w:rPr>
                <w:sz w:val="16"/>
                <w:szCs w:val="16"/>
              </w:rPr>
              <w:t>-</w:t>
            </w:r>
          </w:p>
        </w:tc>
        <w:tc>
          <w:tcPr>
            <w:tcW w:w="1869" w:type="dxa"/>
            <w:gridSpan w:val="3"/>
            <w:shd w:val="clear" w:color="000000" w:fill="D9D9D9"/>
            <w:noWrap/>
            <w:vAlign w:val="bottom"/>
          </w:tcPr>
          <w:p w14:paraId="7255C6FF" w14:textId="514A4F75" w:rsidR="005D0736" w:rsidRPr="005D0736" w:rsidRDefault="005D0736" w:rsidP="005D0736">
            <w:pPr>
              <w:jc w:val="center"/>
              <w:rPr>
                <w:b/>
                <w:bCs/>
                <w:color w:val="000000"/>
                <w:sz w:val="16"/>
                <w:szCs w:val="16"/>
              </w:rPr>
            </w:pPr>
            <w:r w:rsidRPr="005D0736">
              <w:rPr>
                <w:b/>
                <w:bCs/>
                <w:color w:val="000000"/>
                <w:sz w:val="16"/>
                <w:szCs w:val="16"/>
              </w:rPr>
              <w:t xml:space="preserve"> BR. ACIMA DA MÉDIA</w:t>
            </w:r>
          </w:p>
        </w:tc>
        <w:tc>
          <w:tcPr>
            <w:tcW w:w="1859" w:type="dxa"/>
            <w:gridSpan w:val="3"/>
            <w:shd w:val="clear" w:color="000000" w:fill="DDEBF7"/>
            <w:noWrap/>
            <w:vAlign w:val="bottom"/>
          </w:tcPr>
          <w:p w14:paraId="5FC02390" w14:textId="2AD727A1" w:rsidR="005D0736" w:rsidRPr="005D0736" w:rsidRDefault="005D0736" w:rsidP="005D0736">
            <w:pPr>
              <w:jc w:val="center"/>
              <w:rPr>
                <w:b/>
                <w:bCs/>
                <w:color w:val="000000"/>
                <w:sz w:val="16"/>
                <w:szCs w:val="16"/>
              </w:rPr>
            </w:pPr>
            <w:r w:rsidRPr="005D0736">
              <w:rPr>
                <w:b/>
                <w:bCs/>
                <w:color w:val="000000"/>
                <w:sz w:val="16"/>
                <w:szCs w:val="16"/>
              </w:rPr>
              <w:t>BR. ABAIXO DA MÉDIA</w:t>
            </w:r>
          </w:p>
        </w:tc>
        <w:tc>
          <w:tcPr>
            <w:tcW w:w="1858" w:type="dxa"/>
            <w:gridSpan w:val="3"/>
            <w:shd w:val="clear" w:color="000000" w:fill="FFF2CC"/>
            <w:noWrap/>
            <w:vAlign w:val="bottom"/>
          </w:tcPr>
          <w:p w14:paraId="69214020" w14:textId="1B180316" w:rsidR="005D0736" w:rsidRPr="005D0736" w:rsidRDefault="005D0736" w:rsidP="005D0736">
            <w:pPr>
              <w:jc w:val="center"/>
              <w:rPr>
                <w:b/>
                <w:bCs/>
                <w:color w:val="000000"/>
                <w:sz w:val="16"/>
                <w:szCs w:val="16"/>
              </w:rPr>
            </w:pPr>
            <w:r w:rsidRPr="005D0736">
              <w:rPr>
                <w:b/>
                <w:bCs/>
                <w:color w:val="000000"/>
                <w:sz w:val="16"/>
                <w:szCs w:val="16"/>
              </w:rPr>
              <w:t>EUA ACIMA DA MÉDIA</w:t>
            </w:r>
          </w:p>
        </w:tc>
        <w:tc>
          <w:tcPr>
            <w:tcW w:w="1858" w:type="dxa"/>
            <w:gridSpan w:val="3"/>
            <w:shd w:val="clear" w:color="000000" w:fill="E2EFDA"/>
            <w:noWrap/>
            <w:vAlign w:val="bottom"/>
          </w:tcPr>
          <w:p w14:paraId="3BA5EC48" w14:textId="033B344B" w:rsidR="005D0736" w:rsidRPr="005D0736" w:rsidRDefault="005D0736" w:rsidP="005D0736">
            <w:pPr>
              <w:jc w:val="center"/>
              <w:rPr>
                <w:b/>
                <w:bCs/>
                <w:color w:val="000000"/>
                <w:sz w:val="16"/>
                <w:szCs w:val="16"/>
              </w:rPr>
            </w:pPr>
            <w:r w:rsidRPr="005D0736">
              <w:rPr>
                <w:b/>
                <w:bCs/>
                <w:color w:val="000000"/>
                <w:sz w:val="16"/>
                <w:szCs w:val="16"/>
              </w:rPr>
              <w:t>EUA ABAIXO DA MÉDIA</w:t>
            </w:r>
          </w:p>
        </w:tc>
      </w:tr>
      <w:tr w:rsidR="005D0736" w:rsidRPr="005D0736" w14:paraId="4EF023A3" w14:textId="77777777" w:rsidTr="005D0736">
        <w:trPr>
          <w:trHeight w:val="20"/>
        </w:trPr>
        <w:tc>
          <w:tcPr>
            <w:tcW w:w="1617" w:type="dxa"/>
            <w:shd w:val="clear" w:color="auto" w:fill="auto"/>
            <w:noWrap/>
            <w:vAlign w:val="bottom"/>
            <w:hideMark/>
          </w:tcPr>
          <w:p w14:paraId="13FFF2B9" w14:textId="77777777" w:rsidR="005D0736" w:rsidRPr="005D0736" w:rsidRDefault="005D0736" w:rsidP="005D0736">
            <w:pPr>
              <w:rPr>
                <w:b/>
                <w:bCs/>
                <w:color w:val="000000"/>
                <w:sz w:val="16"/>
                <w:szCs w:val="16"/>
              </w:rPr>
            </w:pPr>
            <w:r w:rsidRPr="005D0736">
              <w:rPr>
                <w:b/>
                <w:bCs/>
                <w:color w:val="000000"/>
                <w:sz w:val="16"/>
                <w:szCs w:val="16"/>
              </w:rPr>
              <w:t>Variable</w:t>
            </w:r>
          </w:p>
        </w:tc>
        <w:tc>
          <w:tcPr>
            <w:tcW w:w="585" w:type="dxa"/>
            <w:shd w:val="clear" w:color="000000" w:fill="D9D9D9"/>
            <w:noWrap/>
            <w:vAlign w:val="bottom"/>
            <w:hideMark/>
          </w:tcPr>
          <w:p w14:paraId="5D0F563B" w14:textId="77777777" w:rsidR="005D0736" w:rsidRPr="005D0736" w:rsidRDefault="005D0736" w:rsidP="005D0736">
            <w:pPr>
              <w:jc w:val="center"/>
              <w:rPr>
                <w:b/>
                <w:bCs/>
                <w:color w:val="000000"/>
                <w:sz w:val="16"/>
                <w:szCs w:val="16"/>
              </w:rPr>
            </w:pPr>
            <w:r w:rsidRPr="005D0736">
              <w:rPr>
                <w:b/>
                <w:bCs/>
                <w:color w:val="000000"/>
                <w:sz w:val="16"/>
                <w:szCs w:val="16"/>
              </w:rPr>
              <w:t>Coef.</w:t>
            </w:r>
          </w:p>
        </w:tc>
        <w:tc>
          <w:tcPr>
            <w:tcW w:w="688" w:type="dxa"/>
            <w:shd w:val="clear" w:color="000000" w:fill="D9D9D9"/>
            <w:noWrap/>
            <w:vAlign w:val="bottom"/>
            <w:hideMark/>
          </w:tcPr>
          <w:p w14:paraId="306C0A06" w14:textId="77777777" w:rsidR="005D0736" w:rsidRPr="005D0736" w:rsidRDefault="005D0736" w:rsidP="005D0736">
            <w:pPr>
              <w:jc w:val="center"/>
              <w:rPr>
                <w:b/>
                <w:bCs/>
                <w:color w:val="000000"/>
                <w:sz w:val="16"/>
                <w:szCs w:val="16"/>
              </w:rPr>
            </w:pPr>
            <w:r w:rsidRPr="005D0736">
              <w:rPr>
                <w:b/>
                <w:bCs/>
                <w:color w:val="000000"/>
                <w:sz w:val="16"/>
                <w:szCs w:val="16"/>
              </w:rPr>
              <w:t>Std. E.</w:t>
            </w:r>
          </w:p>
        </w:tc>
        <w:tc>
          <w:tcPr>
            <w:tcW w:w="596" w:type="dxa"/>
            <w:shd w:val="clear" w:color="000000" w:fill="D9D9D9"/>
            <w:noWrap/>
            <w:vAlign w:val="bottom"/>
            <w:hideMark/>
          </w:tcPr>
          <w:p w14:paraId="3BC953EF" w14:textId="77777777" w:rsidR="005D0736" w:rsidRPr="005D0736" w:rsidRDefault="005D0736" w:rsidP="005D0736">
            <w:pPr>
              <w:jc w:val="center"/>
              <w:rPr>
                <w:b/>
                <w:bCs/>
                <w:color w:val="000000"/>
                <w:sz w:val="16"/>
                <w:szCs w:val="16"/>
              </w:rPr>
            </w:pPr>
            <w:r w:rsidRPr="005D0736">
              <w:rPr>
                <w:b/>
                <w:bCs/>
                <w:color w:val="000000"/>
                <w:sz w:val="16"/>
                <w:szCs w:val="16"/>
              </w:rPr>
              <w:t xml:space="preserve">Prob.  </w:t>
            </w:r>
          </w:p>
        </w:tc>
        <w:tc>
          <w:tcPr>
            <w:tcW w:w="577" w:type="dxa"/>
            <w:shd w:val="clear" w:color="000000" w:fill="DDEBF7"/>
            <w:noWrap/>
            <w:vAlign w:val="bottom"/>
            <w:hideMark/>
          </w:tcPr>
          <w:p w14:paraId="35A5C3CD" w14:textId="77777777" w:rsidR="005D0736" w:rsidRPr="005D0736" w:rsidRDefault="005D0736" w:rsidP="005D0736">
            <w:pPr>
              <w:jc w:val="center"/>
              <w:rPr>
                <w:b/>
                <w:bCs/>
                <w:color w:val="000000"/>
                <w:sz w:val="16"/>
                <w:szCs w:val="16"/>
              </w:rPr>
            </w:pPr>
            <w:r w:rsidRPr="005D0736">
              <w:rPr>
                <w:b/>
                <w:bCs/>
                <w:color w:val="000000"/>
                <w:sz w:val="16"/>
                <w:szCs w:val="16"/>
              </w:rPr>
              <w:t>Coef.</w:t>
            </w:r>
          </w:p>
        </w:tc>
        <w:tc>
          <w:tcPr>
            <w:tcW w:w="687" w:type="dxa"/>
            <w:shd w:val="clear" w:color="000000" w:fill="DDEBF7"/>
            <w:noWrap/>
            <w:vAlign w:val="bottom"/>
            <w:hideMark/>
          </w:tcPr>
          <w:p w14:paraId="3355705B" w14:textId="77777777" w:rsidR="005D0736" w:rsidRPr="005D0736" w:rsidRDefault="005D0736" w:rsidP="005D0736">
            <w:pPr>
              <w:jc w:val="center"/>
              <w:rPr>
                <w:b/>
                <w:bCs/>
                <w:color w:val="000000"/>
                <w:sz w:val="16"/>
                <w:szCs w:val="16"/>
              </w:rPr>
            </w:pPr>
            <w:r w:rsidRPr="005D0736">
              <w:rPr>
                <w:b/>
                <w:bCs/>
                <w:color w:val="000000"/>
                <w:sz w:val="16"/>
                <w:szCs w:val="16"/>
              </w:rPr>
              <w:t>Std. E.</w:t>
            </w:r>
          </w:p>
        </w:tc>
        <w:tc>
          <w:tcPr>
            <w:tcW w:w="595" w:type="dxa"/>
            <w:shd w:val="clear" w:color="000000" w:fill="DDEBF7"/>
            <w:noWrap/>
            <w:vAlign w:val="bottom"/>
            <w:hideMark/>
          </w:tcPr>
          <w:p w14:paraId="6FC42793" w14:textId="77777777" w:rsidR="005D0736" w:rsidRPr="005D0736" w:rsidRDefault="005D0736" w:rsidP="005D0736">
            <w:pPr>
              <w:jc w:val="center"/>
              <w:rPr>
                <w:b/>
                <w:bCs/>
                <w:color w:val="000000"/>
                <w:sz w:val="16"/>
                <w:szCs w:val="16"/>
              </w:rPr>
            </w:pPr>
            <w:r w:rsidRPr="005D0736">
              <w:rPr>
                <w:b/>
                <w:bCs/>
                <w:color w:val="000000"/>
                <w:sz w:val="16"/>
                <w:szCs w:val="16"/>
              </w:rPr>
              <w:t xml:space="preserve">Prob.  </w:t>
            </w:r>
          </w:p>
        </w:tc>
        <w:tc>
          <w:tcPr>
            <w:tcW w:w="576" w:type="dxa"/>
            <w:shd w:val="clear" w:color="000000" w:fill="FFF2CC"/>
            <w:noWrap/>
            <w:vAlign w:val="bottom"/>
            <w:hideMark/>
          </w:tcPr>
          <w:p w14:paraId="532F2E68" w14:textId="77777777" w:rsidR="005D0736" w:rsidRPr="005D0736" w:rsidRDefault="005D0736" w:rsidP="005D0736">
            <w:pPr>
              <w:jc w:val="center"/>
              <w:rPr>
                <w:b/>
                <w:bCs/>
                <w:color w:val="000000"/>
                <w:sz w:val="16"/>
                <w:szCs w:val="16"/>
              </w:rPr>
            </w:pPr>
            <w:r w:rsidRPr="005D0736">
              <w:rPr>
                <w:b/>
                <w:bCs/>
                <w:color w:val="000000"/>
                <w:sz w:val="16"/>
                <w:szCs w:val="16"/>
              </w:rPr>
              <w:t>Coef.</w:t>
            </w:r>
          </w:p>
        </w:tc>
        <w:tc>
          <w:tcPr>
            <w:tcW w:w="687" w:type="dxa"/>
            <w:shd w:val="clear" w:color="000000" w:fill="FFF2CC"/>
            <w:noWrap/>
            <w:vAlign w:val="bottom"/>
            <w:hideMark/>
          </w:tcPr>
          <w:p w14:paraId="54143D4C" w14:textId="77777777" w:rsidR="005D0736" w:rsidRPr="005D0736" w:rsidRDefault="005D0736" w:rsidP="005D0736">
            <w:pPr>
              <w:jc w:val="center"/>
              <w:rPr>
                <w:b/>
                <w:bCs/>
                <w:color w:val="000000"/>
                <w:sz w:val="16"/>
                <w:szCs w:val="16"/>
              </w:rPr>
            </w:pPr>
            <w:r w:rsidRPr="005D0736">
              <w:rPr>
                <w:b/>
                <w:bCs/>
                <w:color w:val="000000"/>
                <w:sz w:val="16"/>
                <w:szCs w:val="16"/>
              </w:rPr>
              <w:t>Std. E.</w:t>
            </w:r>
          </w:p>
        </w:tc>
        <w:tc>
          <w:tcPr>
            <w:tcW w:w="595" w:type="dxa"/>
            <w:shd w:val="clear" w:color="000000" w:fill="FFF2CC"/>
            <w:noWrap/>
            <w:vAlign w:val="bottom"/>
            <w:hideMark/>
          </w:tcPr>
          <w:p w14:paraId="27806D92" w14:textId="77777777" w:rsidR="005D0736" w:rsidRPr="005D0736" w:rsidRDefault="005D0736" w:rsidP="005D0736">
            <w:pPr>
              <w:jc w:val="center"/>
              <w:rPr>
                <w:b/>
                <w:bCs/>
                <w:color w:val="000000"/>
                <w:sz w:val="16"/>
                <w:szCs w:val="16"/>
              </w:rPr>
            </w:pPr>
            <w:r w:rsidRPr="005D0736">
              <w:rPr>
                <w:b/>
                <w:bCs/>
                <w:color w:val="000000"/>
                <w:sz w:val="16"/>
                <w:szCs w:val="16"/>
              </w:rPr>
              <w:t xml:space="preserve">Prob.  </w:t>
            </w:r>
          </w:p>
        </w:tc>
        <w:tc>
          <w:tcPr>
            <w:tcW w:w="576" w:type="dxa"/>
            <w:shd w:val="clear" w:color="000000" w:fill="E2EFDA"/>
            <w:noWrap/>
            <w:vAlign w:val="bottom"/>
            <w:hideMark/>
          </w:tcPr>
          <w:p w14:paraId="04F82F2B" w14:textId="77777777" w:rsidR="005D0736" w:rsidRPr="005D0736" w:rsidRDefault="005D0736" w:rsidP="005D0736">
            <w:pPr>
              <w:jc w:val="center"/>
              <w:rPr>
                <w:b/>
                <w:bCs/>
                <w:color w:val="000000"/>
                <w:sz w:val="16"/>
                <w:szCs w:val="16"/>
              </w:rPr>
            </w:pPr>
            <w:r w:rsidRPr="005D0736">
              <w:rPr>
                <w:b/>
                <w:bCs/>
                <w:color w:val="000000"/>
                <w:sz w:val="16"/>
                <w:szCs w:val="16"/>
              </w:rPr>
              <w:t>Coef.</w:t>
            </w:r>
          </w:p>
        </w:tc>
        <w:tc>
          <w:tcPr>
            <w:tcW w:w="687" w:type="dxa"/>
            <w:shd w:val="clear" w:color="000000" w:fill="E2EFDA"/>
            <w:noWrap/>
            <w:vAlign w:val="bottom"/>
            <w:hideMark/>
          </w:tcPr>
          <w:p w14:paraId="40362FC8" w14:textId="77777777" w:rsidR="005D0736" w:rsidRPr="005D0736" w:rsidRDefault="005D0736" w:rsidP="005D0736">
            <w:pPr>
              <w:jc w:val="center"/>
              <w:rPr>
                <w:b/>
                <w:bCs/>
                <w:color w:val="000000"/>
                <w:sz w:val="16"/>
                <w:szCs w:val="16"/>
              </w:rPr>
            </w:pPr>
            <w:r w:rsidRPr="005D0736">
              <w:rPr>
                <w:b/>
                <w:bCs/>
                <w:color w:val="000000"/>
                <w:sz w:val="16"/>
                <w:szCs w:val="16"/>
              </w:rPr>
              <w:t>Std. E.</w:t>
            </w:r>
          </w:p>
        </w:tc>
        <w:tc>
          <w:tcPr>
            <w:tcW w:w="595" w:type="dxa"/>
            <w:shd w:val="clear" w:color="000000" w:fill="E2EFDA"/>
            <w:noWrap/>
            <w:vAlign w:val="bottom"/>
            <w:hideMark/>
          </w:tcPr>
          <w:p w14:paraId="79D3D71B" w14:textId="77777777" w:rsidR="005D0736" w:rsidRPr="005D0736" w:rsidRDefault="005D0736" w:rsidP="005D0736">
            <w:pPr>
              <w:jc w:val="center"/>
              <w:rPr>
                <w:b/>
                <w:bCs/>
                <w:color w:val="000000"/>
                <w:sz w:val="16"/>
                <w:szCs w:val="16"/>
              </w:rPr>
            </w:pPr>
            <w:r w:rsidRPr="005D0736">
              <w:rPr>
                <w:b/>
                <w:bCs/>
                <w:color w:val="000000"/>
                <w:sz w:val="16"/>
                <w:szCs w:val="16"/>
              </w:rPr>
              <w:t xml:space="preserve">Prob.  </w:t>
            </w:r>
          </w:p>
        </w:tc>
      </w:tr>
      <w:tr w:rsidR="005D0736" w:rsidRPr="005D0736" w14:paraId="5B3C8F0C" w14:textId="77777777" w:rsidTr="005D0736">
        <w:trPr>
          <w:trHeight w:val="20"/>
        </w:trPr>
        <w:tc>
          <w:tcPr>
            <w:tcW w:w="1617" w:type="dxa"/>
            <w:shd w:val="clear" w:color="auto" w:fill="auto"/>
            <w:noWrap/>
            <w:vAlign w:val="bottom"/>
            <w:hideMark/>
          </w:tcPr>
          <w:p w14:paraId="6D9415BB" w14:textId="77777777" w:rsidR="005D0736" w:rsidRPr="005D0736" w:rsidRDefault="005D0736" w:rsidP="005D0736">
            <w:pPr>
              <w:rPr>
                <w:color w:val="000000"/>
                <w:sz w:val="16"/>
                <w:szCs w:val="16"/>
              </w:rPr>
            </w:pPr>
            <w:r w:rsidRPr="005D0736">
              <w:rPr>
                <w:color w:val="000000"/>
                <w:sz w:val="16"/>
                <w:szCs w:val="16"/>
              </w:rPr>
              <w:t>C</w:t>
            </w:r>
          </w:p>
        </w:tc>
        <w:tc>
          <w:tcPr>
            <w:tcW w:w="585" w:type="dxa"/>
            <w:shd w:val="clear" w:color="000000" w:fill="D9D9D9"/>
            <w:noWrap/>
            <w:vAlign w:val="bottom"/>
            <w:hideMark/>
          </w:tcPr>
          <w:p w14:paraId="651287E4" w14:textId="77777777" w:rsidR="005D0736" w:rsidRPr="005D0736" w:rsidRDefault="005D0736" w:rsidP="005D0736">
            <w:pPr>
              <w:jc w:val="center"/>
              <w:rPr>
                <w:color w:val="000000"/>
                <w:sz w:val="16"/>
                <w:szCs w:val="16"/>
              </w:rPr>
            </w:pPr>
            <w:r w:rsidRPr="005D0736">
              <w:rPr>
                <w:color w:val="000000"/>
                <w:sz w:val="16"/>
                <w:szCs w:val="16"/>
              </w:rPr>
              <w:t>0,06</w:t>
            </w:r>
          </w:p>
        </w:tc>
        <w:tc>
          <w:tcPr>
            <w:tcW w:w="688" w:type="dxa"/>
            <w:shd w:val="clear" w:color="000000" w:fill="D9D9D9"/>
            <w:noWrap/>
            <w:vAlign w:val="bottom"/>
            <w:hideMark/>
          </w:tcPr>
          <w:p w14:paraId="12F41178" w14:textId="77777777" w:rsidR="005D0736" w:rsidRPr="005D0736" w:rsidRDefault="005D0736" w:rsidP="005D0736">
            <w:pPr>
              <w:jc w:val="center"/>
              <w:rPr>
                <w:color w:val="000000"/>
                <w:sz w:val="16"/>
                <w:szCs w:val="16"/>
              </w:rPr>
            </w:pPr>
            <w:r w:rsidRPr="005D0736">
              <w:rPr>
                <w:color w:val="000000"/>
                <w:sz w:val="16"/>
                <w:szCs w:val="16"/>
              </w:rPr>
              <w:t>0,05</w:t>
            </w:r>
          </w:p>
        </w:tc>
        <w:tc>
          <w:tcPr>
            <w:tcW w:w="596" w:type="dxa"/>
            <w:shd w:val="clear" w:color="000000" w:fill="D9D9D9"/>
            <w:noWrap/>
            <w:vAlign w:val="bottom"/>
            <w:hideMark/>
          </w:tcPr>
          <w:p w14:paraId="384EE1B1" w14:textId="77777777" w:rsidR="005D0736" w:rsidRPr="005D0736" w:rsidRDefault="005D0736" w:rsidP="005D0736">
            <w:pPr>
              <w:jc w:val="center"/>
              <w:rPr>
                <w:color w:val="000000"/>
                <w:sz w:val="16"/>
                <w:szCs w:val="16"/>
              </w:rPr>
            </w:pPr>
            <w:r w:rsidRPr="005D0736">
              <w:rPr>
                <w:color w:val="000000"/>
                <w:sz w:val="16"/>
                <w:szCs w:val="16"/>
              </w:rPr>
              <w:t>0,22</w:t>
            </w:r>
          </w:p>
        </w:tc>
        <w:tc>
          <w:tcPr>
            <w:tcW w:w="577" w:type="dxa"/>
            <w:shd w:val="clear" w:color="000000" w:fill="DDEBF7"/>
            <w:noWrap/>
            <w:vAlign w:val="bottom"/>
            <w:hideMark/>
          </w:tcPr>
          <w:p w14:paraId="45350683" w14:textId="77777777" w:rsidR="005D0736" w:rsidRPr="005D0736" w:rsidRDefault="005D0736" w:rsidP="005D0736">
            <w:pPr>
              <w:jc w:val="center"/>
              <w:rPr>
                <w:color w:val="000000"/>
                <w:sz w:val="16"/>
                <w:szCs w:val="16"/>
              </w:rPr>
            </w:pPr>
            <w:r w:rsidRPr="005D0736">
              <w:rPr>
                <w:color w:val="000000"/>
                <w:sz w:val="16"/>
                <w:szCs w:val="16"/>
              </w:rPr>
              <w:t>0,59</w:t>
            </w:r>
          </w:p>
        </w:tc>
        <w:tc>
          <w:tcPr>
            <w:tcW w:w="687" w:type="dxa"/>
            <w:shd w:val="clear" w:color="000000" w:fill="DDEBF7"/>
            <w:noWrap/>
            <w:vAlign w:val="bottom"/>
            <w:hideMark/>
          </w:tcPr>
          <w:p w14:paraId="1E47A6CF" w14:textId="77777777" w:rsidR="005D0736" w:rsidRPr="005D0736" w:rsidRDefault="005D0736" w:rsidP="005D0736">
            <w:pPr>
              <w:jc w:val="center"/>
              <w:rPr>
                <w:color w:val="000000"/>
                <w:sz w:val="16"/>
                <w:szCs w:val="16"/>
              </w:rPr>
            </w:pPr>
            <w:r w:rsidRPr="005D0736">
              <w:rPr>
                <w:color w:val="000000"/>
                <w:sz w:val="16"/>
                <w:szCs w:val="16"/>
              </w:rPr>
              <w:t>0,16</w:t>
            </w:r>
          </w:p>
        </w:tc>
        <w:tc>
          <w:tcPr>
            <w:tcW w:w="595" w:type="dxa"/>
            <w:shd w:val="clear" w:color="000000" w:fill="DDEBF7"/>
            <w:noWrap/>
            <w:vAlign w:val="bottom"/>
            <w:hideMark/>
          </w:tcPr>
          <w:p w14:paraId="3DD71729" w14:textId="77777777" w:rsidR="005D0736" w:rsidRPr="005D0736" w:rsidRDefault="005D0736" w:rsidP="005D0736">
            <w:pPr>
              <w:jc w:val="center"/>
              <w:rPr>
                <w:color w:val="000000"/>
                <w:sz w:val="16"/>
                <w:szCs w:val="16"/>
              </w:rPr>
            </w:pPr>
            <w:r w:rsidRPr="005D0736">
              <w:rPr>
                <w:color w:val="000000"/>
                <w:sz w:val="16"/>
                <w:szCs w:val="16"/>
              </w:rPr>
              <w:t>0,00</w:t>
            </w:r>
          </w:p>
        </w:tc>
        <w:tc>
          <w:tcPr>
            <w:tcW w:w="576" w:type="dxa"/>
            <w:shd w:val="clear" w:color="000000" w:fill="FFF2CC"/>
            <w:noWrap/>
            <w:vAlign w:val="bottom"/>
            <w:hideMark/>
          </w:tcPr>
          <w:p w14:paraId="7FA05010" w14:textId="77777777" w:rsidR="005D0736" w:rsidRPr="005D0736" w:rsidRDefault="005D0736" w:rsidP="005D0736">
            <w:pPr>
              <w:jc w:val="center"/>
              <w:rPr>
                <w:color w:val="000000"/>
                <w:sz w:val="16"/>
                <w:szCs w:val="16"/>
              </w:rPr>
            </w:pPr>
            <w:r w:rsidRPr="005D0736">
              <w:rPr>
                <w:color w:val="000000"/>
                <w:sz w:val="16"/>
                <w:szCs w:val="16"/>
              </w:rPr>
              <w:t>0,04</w:t>
            </w:r>
          </w:p>
        </w:tc>
        <w:tc>
          <w:tcPr>
            <w:tcW w:w="687" w:type="dxa"/>
            <w:shd w:val="clear" w:color="000000" w:fill="FFF2CC"/>
            <w:noWrap/>
            <w:vAlign w:val="bottom"/>
            <w:hideMark/>
          </w:tcPr>
          <w:p w14:paraId="442C83A7" w14:textId="77777777" w:rsidR="005D0736" w:rsidRPr="005D0736" w:rsidRDefault="005D0736" w:rsidP="005D0736">
            <w:pPr>
              <w:jc w:val="center"/>
              <w:rPr>
                <w:color w:val="000000"/>
                <w:sz w:val="16"/>
                <w:szCs w:val="16"/>
              </w:rPr>
            </w:pPr>
            <w:r w:rsidRPr="005D0736">
              <w:rPr>
                <w:color w:val="000000"/>
                <w:sz w:val="16"/>
                <w:szCs w:val="16"/>
              </w:rPr>
              <w:t>0,01</w:t>
            </w:r>
          </w:p>
        </w:tc>
        <w:tc>
          <w:tcPr>
            <w:tcW w:w="595" w:type="dxa"/>
            <w:shd w:val="clear" w:color="000000" w:fill="FFF2CC"/>
            <w:noWrap/>
            <w:vAlign w:val="bottom"/>
            <w:hideMark/>
          </w:tcPr>
          <w:p w14:paraId="7AC371A9" w14:textId="77777777" w:rsidR="005D0736" w:rsidRPr="005D0736" w:rsidRDefault="005D0736" w:rsidP="005D0736">
            <w:pPr>
              <w:jc w:val="center"/>
              <w:rPr>
                <w:color w:val="000000"/>
                <w:sz w:val="16"/>
                <w:szCs w:val="16"/>
              </w:rPr>
            </w:pPr>
            <w:r w:rsidRPr="005D0736">
              <w:rPr>
                <w:color w:val="000000"/>
                <w:sz w:val="16"/>
                <w:szCs w:val="16"/>
              </w:rPr>
              <w:t>0,00</w:t>
            </w:r>
          </w:p>
        </w:tc>
        <w:tc>
          <w:tcPr>
            <w:tcW w:w="576" w:type="dxa"/>
            <w:shd w:val="clear" w:color="000000" w:fill="E2EFDA"/>
            <w:noWrap/>
            <w:vAlign w:val="bottom"/>
            <w:hideMark/>
          </w:tcPr>
          <w:p w14:paraId="36EC51FD" w14:textId="77777777" w:rsidR="005D0736" w:rsidRPr="005D0736" w:rsidRDefault="005D0736" w:rsidP="005D0736">
            <w:pPr>
              <w:jc w:val="center"/>
              <w:rPr>
                <w:color w:val="000000"/>
                <w:sz w:val="16"/>
                <w:szCs w:val="16"/>
              </w:rPr>
            </w:pPr>
            <w:r w:rsidRPr="005D0736">
              <w:rPr>
                <w:color w:val="000000"/>
                <w:sz w:val="16"/>
                <w:szCs w:val="16"/>
              </w:rPr>
              <w:t>0,05</w:t>
            </w:r>
          </w:p>
        </w:tc>
        <w:tc>
          <w:tcPr>
            <w:tcW w:w="687" w:type="dxa"/>
            <w:shd w:val="clear" w:color="000000" w:fill="E2EFDA"/>
            <w:noWrap/>
            <w:vAlign w:val="bottom"/>
            <w:hideMark/>
          </w:tcPr>
          <w:p w14:paraId="23121879" w14:textId="77777777" w:rsidR="005D0736" w:rsidRPr="005D0736" w:rsidRDefault="005D0736" w:rsidP="005D0736">
            <w:pPr>
              <w:jc w:val="center"/>
              <w:rPr>
                <w:color w:val="000000"/>
                <w:sz w:val="16"/>
                <w:szCs w:val="16"/>
              </w:rPr>
            </w:pPr>
            <w:r w:rsidRPr="005D0736">
              <w:rPr>
                <w:color w:val="000000"/>
                <w:sz w:val="16"/>
                <w:szCs w:val="16"/>
              </w:rPr>
              <w:t>0,00</w:t>
            </w:r>
          </w:p>
        </w:tc>
        <w:tc>
          <w:tcPr>
            <w:tcW w:w="595" w:type="dxa"/>
            <w:shd w:val="clear" w:color="000000" w:fill="E2EFDA"/>
            <w:noWrap/>
            <w:vAlign w:val="bottom"/>
            <w:hideMark/>
          </w:tcPr>
          <w:p w14:paraId="0841B154" w14:textId="77777777" w:rsidR="005D0736" w:rsidRPr="005D0736" w:rsidRDefault="005D0736" w:rsidP="005D0736">
            <w:pPr>
              <w:jc w:val="center"/>
              <w:rPr>
                <w:color w:val="000000"/>
                <w:sz w:val="16"/>
                <w:szCs w:val="16"/>
              </w:rPr>
            </w:pPr>
            <w:r w:rsidRPr="005D0736">
              <w:rPr>
                <w:color w:val="000000"/>
                <w:sz w:val="16"/>
                <w:szCs w:val="16"/>
              </w:rPr>
              <w:t>0,00</w:t>
            </w:r>
          </w:p>
        </w:tc>
      </w:tr>
      <w:tr w:rsidR="005D0736" w:rsidRPr="005D0736" w14:paraId="3DCA25D1" w14:textId="77777777" w:rsidTr="005D0736">
        <w:trPr>
          <w:trHeight w:val="20"/>
        </w:trPr>
        <w:tc>
          <w:tcPr>
            <w:tcW w:w="1617" w:type="dxa"/>
            <w:shd w:val="clear" w:color="auto" w:fill="auto"/>
            <w:noWrap/>
            <w:vAlign w:val="bottom"/>
            <w:hideMark/>
          </w:tcPr>
          <w:p w14:paraId="3D48ADA8" w14:textId="77777777" w:rsidR="005D0736" w:rsidRPr="005D0736" w:rsidRDefault="005D0736" w:rsidP="005D0736">
            <w:pPr>
              <w:rPr>
                <w:color w:val="000000"/>
                <w:sz w:val="16"/>
                <w:szCs w:val="16"/>
              </w:rPr>
            </w:pPr>
            <w:r w:rsidRPr="005D0736">
              <w:rPr>
                <w:color w:val="000000"/>
                <w:sz w:val="16"/>
                <w:szCs w:val="16"/>
              </w:rPr>
              <w:t>BD</w:t>
            </w:r>
          </w:p>
        </w:tc>
        <w:tc>
          <w:tcPr>
            <w:tcW w:w="585" w:type="dxa"/>
            <w:shd w:val="clear" w:color="000000" w:fill="D9D9D9"/>
            <w:noWrap/>
            <w:vAlign w:val="bottom"/>
            <w:hideMark/>
          </w:tcPr>
          <w:p w14:paraId="283AC7E5" w14:textId="77777777" w:rsidR="005D0736" w:rsidRPr="005D0736" w:rsidRDefault="005D0736" w:rsidP="005D0736">
            <w:pPr>
              <w:jc w:val="center"/>
              <w:rPr>
                <w:color w:val="000000"/>
                <w:sz w:val="16"/>
                <w:szCs w:val="16"/>
              </w:rPr>
            </w:pPr>
            <w:r w:rsidRPr="005D0736">
              <w:rPr>
                <w:color w:val="000000"/>
                <w:sz w:val="16"/>
                <w:szCs w:val="16"/>
              </w:rPr>
              <w:t>0,01</w:t>
            </w:r>
          </w:p>
        </w:tc>
        <w:tc>
          <w:tcPr>
            <w:tcW w:w="688" w:type="dxa"/>
            <w:shd w:val="clear" w:color="000000" w:fill="D9D9D9"/>
            <w:noWrap/>
            <w:vAlign w:val="bottom"/>
            <w:hideMark/>
          </w:tcPr>
          <w:p w14:paraId="72136911" w14:textId="77777777" w:rsidR="005D0736" w:rsidRPr="005D0736" w:rsidRDefault="005D0736" w:rsidP="005D0736">
            <w:pPr>
              <w:jc w:val="center"/>
              <w:rPr>
                <w:color w:val="000000"/>
                <w:sz w:val="16"/>
                <w:szCs w:val="16"/>
              </w:rPr>
            </w:pPr>
            <w:r w:rsidRPr="005D0736">
              <w:rPr>
                <w:color w:val="000000"/>
                <w:sz w:val="16"/>
                <w:szCs w:val="16"/>
              </w:rPr>
              <w:t>0,00</w:t>
            </w:r>
          </w:p>
        </w:tc>
        <w:tc>
          <w:tcPr>
            <w:tcW w:w="596" w:type="dxa"/>
            <w:shd w:val="clear" w:color="000000" w:fill="D9D9D9"/>
            <w:noWrap/>
            <w:vAlign w:val="bottom"/>
            <w:hideMark/>
          </w:tcPr>
          <w:p w14:paraId="6DB298F3" w14:textId="77777777" w:rsidR="005D0736" w:rsidRPr="005D0736" w:rsidRDefault="005D0736" w:rsidP="005D0736">
            <w:pPr>
              <w:jc w:val="center"/>
              <w:rPr>
                <w:color w:val="000000"/>
                <w:sz w:val="16"/>
                <w:szCs w:val="16"/>
              </w:rPr>
            </w:pPr>
            <w:r w:rsidRPr="005D0736">
              <w:rPr>
                <w:color w:val="000000"/>
                <w:sz w:val="16"/>
                <w:szCs w:val="16"/>
              </w:rPr>
              <w:t>0,00</w:t>
            </w:r>
          </w:p>
        </w:tc>
        <w:tc>
          <w:tcPr>
            <w:tcW w:w="577" w:type="dxa"/>
            <w:shd w:val="clear" w:color="000000" w:fill="DDEBF7"/>
            <w:noWrap/>
            <w:vAlign w:val="bottom"/>
            <w:hideMark/>
          </w:tcPr>
          <w:p w14:paraId="77A29224" w14:textId="77777777" w:rsidR="005D0736" w:rsidRPr="005D0736" w:rsidRDefault="005D0736" w:rsidP="005D0736">
            <w:pPr>
              <w:jc w:val="center"/>
              <w:rPr>
                <w:color w:val="000000"/>
                <w:sz w:val="16"/>
                <w:szCs w:val="16"/>
              </w:rPr>
            </w:pPr>
            <w:r w:rsidRPr="005D0736">
              <w:rPr>
                <w:color w:val="000000"/>
                <w:sz w:val="16"/>
                <w:szCs w:val="16"/>
              </w:rPr>
              <w:t>0,01</w:t>
            </w:r>
          </w:p>
        </w:tc>
        <w:tc>
          <w:tcPr>
            <w:tcW w:w="687" w:type="dxa"/>
            <w:shd w:val="clear" w:color="000000" w:fill="DDEBF7"/>
            <w:noWrap/>
            <w:vAlign w:val="bottom"/>
            <w:hideMark/>
          </w:tcPr>
          <w:p w14:paraId="32CD76A0" w14:textId="77777777" w:rsidR="005D0736" w:rsidRPr="005D0736" w:rsidRDefault="005D0736" w:rsidP="005D0736">
            <w:pPr>
              <w:jc w:val="center"/>
              <w:rPr>
                <w:color w:val="000000"/>
                <w:sz w:val="16"/>
                <w:szCs w:val="16"/>
              </w:rPr>
            </w:pPr>
            <w:r w:rsidRPr="005D0736">
              <w:rPr>
                <w:color w:val="000000"/>
                <w:sz w:val="16"/>
                <w:szCs w:val="16"/>
              </w:rPr>
              <w:t>0,01</w:t>
            </w:r>
          </w:p>
        </w:tc>
        <w:tc>
          <w:tcPr>
            <w:tcW w:w="595" w:type="dxa"/>
            <w:shd w:val="clear" w:color="000000" w:fill="DDEBF7"/>
            <w:noWrap/>
            <w:vAlign w:val="bottom"/>
            <w:hideMark/>
          </w:tcPr>
          <w:p w14:paraId="0F4CA23B" w14:textId="77777777" w:rsidR="005D0736" w:rsidRPr="005D0736" w:rsidRDefault="005D0736" w:rsidP="005D0736">
            <w:pPr>
              <w:jc w:val="center"/>
              <w:rPr>
                <w:color w:val="000000"/>
                <w:sz w:val="16"/>
                <w:szCs w:val="16"/>
              </w:rPr>
            </w:pPr>
            <w:r w:rsidRPr="005D0736">
              <w:rPr>
                <w:color w:val="000000"/>
                <w:sz w:val="16"/>
                <w:szCs w:val="16"/>
              </w:rPr>
              <w:t>0,25</w:t>
            </w:r>
          </w:p>
        </w:tc>
        <w:tc>
          <w:tcPr>
            <w:tcW w:w="576" w:type="dxa"/>
            <w:shd w:val="clear" w:color="000000" w:fill="FFF2CC"/>
            <w:noWrap/>
            <w:vAlign w:val="bottom"/>
            <w:hideMark/>
          </w:tcPr>
          <w:p w14:paraId="09F87D90" w14:textId="77777777" w:rsidR="005D0736" w:rsidRPr="005D0736" w:rsidRDefault="005D0736" w:rsidP="005D0736">
            <w:pPr>
              <w:jc w:val="center"/>
              <w:rPr>
                <w:color w:val="000000"/>
                <w:sz w:val="16"/>
                <w:szCs w:val="16"/>
              </w:rPr>
            </w:pPr>
            <w:r w:rsidRPr="005D0736">
              <w:rPr>
                <w:color w:val="000000"/>
                <w:sz w:val="16"/>
                <w:szCs w:val="16"/>
              </w:rPr>
              <w:t>0,00</w:t>
            </w:r>
          </w:p>
        </w:tc>
        <w:tc>
          <w:tcPr>
            <w:tcW w:w="687" w:type="dxa"/>
            <w:shd w:val="clear" w:color="000000" w:fill="FFF2CC"/>
            <w:noWrap/>
            <w:vAlign w:val="bottom"/>
            <w:hideMark/>
          </w:tcPr>
          <w:p w14:paraId="1CF5C5C5" w14:textId="77777777" w:rsidR="005D0736" w:rsidRPr="005D0736" w:rsidRDefault="005D0736" w:rsidP="005D0736">
            <w:pPr>
              <w:jc w:val="center"/>
              <w:rPr>
                <w:color w:val="000000"/>
                <w:sz w:val="16"/>
                <w:szCs w:val="16"/>
              </w:rPr>
            </w:pPr>
            <w:r w:rsidRPr="005D0736">
              <w:rPr>
                <w:color w:val="000000"/>
                <w:sz w:val="16"/>
                <w:szCs w:val="16"/>
              </w:rPr>
              <w:t>0,00</w:t>
            </w:r>
          </w:p>
        </w:tc>
        <w:tc>
          <w:tcPr>
            <w:tcW w:w="595" w:type="dxa"/>
            <w:shd w:val="clear" w:color="000000" w:fill="FFF2CC"/>
            <w:noWrap/>
            <w:vAlign w:val="bottom"/>
            <w:hideMark/>
          </w:tcPr>
          <w:p w14:paraId="1BB0E2D9" w14:textId="77777777" w:rsidR="005D0736" w:rsidRPr="005D0736" w:rsidRDefault="005D0736" w:rsidP="005D0736">
            <w:pPr>
              <w:jc w:val="center"/>
              <w:rPr>
                <w:color w:val="000000"/>
                <w:sz w:val="16"/>
                <w:szCs w:val="16"/>
              </w:rPr>
            </w:pPr>
            <w:r w:rsidRPr="005D0736">
              <w:rPr>
                <w:color w:val="000000"/>
                <w:sz w:val="16"/>
                <w:szCs w:val="16"/>
              </w:rPr>
              <w:t>0,63</w:t>
            </w:r>
          </w:p>
        </w:tc>
        <w:tc>
          <w:tcPr>
            <w:tcW w:w="576" w:type="dxa"/>
            <w:shd w:val="clear" w:color="000000" w:fill="E2EFDA"/>
            <w:noWrap/>
            <w:vAlign w:val="bottom"/>
            <w:hideMark/>
          </w:tcPr>
          <w:p w14:paraId="6BFB4EDC" w14:textId="77777777" w:rsidR="005D0736" w:rsidRPr="005D0736" w:rsidRDefault="005D0736" w:rsidP="005D0736">
            <w:pPr>
              <w:jc w:val="center"/>
              <w:rPr>
                <w:color w:val="000000"/>
                <w:sz w:val="16"/>
                <w:szCs w:val="16"/>
              </w:rPr>
            </w:pPr>
            <w:r w:rsidRPr="005D0736">
              <w:rPr>
                <w:color w:val="000000"/>
                <w:sz w:val="16"/>
                <w:szCs w:val="16"/>
              </w:rPr>
              <w:t>0,00</w:t>
            </w:r>
          </w:p>
        </w:tc>
        <w:tc>
          <w:tcPr>
            <w:tcW w:w="687" w:type="dxa"/>
            <w:shd w:val="clear" w:color="000000" w:fill="E2EFDA"/>
            <w:noWrap/>
            <w:vAlign w:val="bottom"/>
            <w:hideMark/>
          </w:tcPr>
          <w:p w14:paraId="230D3852" w14:textId="77777777" w:rsidR="005D0736" w:rsidRPr="005D0736" w:rsidRDefault="005D0736" w:rsidP="005D0736">
            <w:pPr>
              <w:jc w:val="center"/>
              <w:rPr>
                <w:color w:val="000000"/>
                <w:sz w:val="16"/>
                <w:szCs w:val="16"/>
              </w:rPr>
            </w:pPr>
            <w:r w:rsidRPr="005D0736">
              <w:rPr>
                <w:color w:val="000000"/>
                <w:sz w:val="16"/>
                <w:szCs w:val="16"/>
              </w:rPr>
              <w:t>0,00</w:t>
            </w:r>
          </w:p>
        </w:tc>
        <w:tc>
          <w:tcPr>
            <w:tcW w:w="595" w:type="dxa"/>
            <w:shd w:val="clear" w:color="000000" w:fill="E2EFDA"/>
            <w:noWrap/>
            <w:vAlign w:val="bottom"/>
            <w:hideMark/>
          </w:tcPr>
          <w:p w14:paraId="4D3678EE" w14:textId="77777777" w:rsidR="005D0736" w:rsidRPr="005D0736" w:rsidRDefault="005D0736" w:rsidP="005D0736">
            <w:pPr>
              <w:jc w:val="center"/>
              <w:rPr>
                <w:color w:val="000000"/>
                <w:sz w:val="16"/>
                <w:szCs w:val="16"/>
              </w:rPr>
            </w:pPr>
            <w:r w:rsidRPr="005D0736">
              <w:rPr>
                <w:color w:val="000000"/>
                <w:sz w:val="16"/>
                <w:szCs w:val="16"/>
              </w:rPr>
              <w:t>0,22</w:t>
            </w:r>
          </w:p>
        </w:tc>
      </w:tr>
      <w:tr w:rsidR="005D0736" w:rsidRPr="005D0736" w14:paraId="03B60CE1" w14:textId="77777777" w:rsidTr="005D0736">
        <w:trPr>
          <w:trHeight w:val="20"/>
        </w:trPr>
        <w:tc>
          <w:tcPr>
            <w:tcW w:w="1617" w:type="dxa"/>
            <w:shd w:val="clear" w:color="auto" w:fill="auto"/>
            <w:noWrap/>
            <w:vAlign w:val="bottom"/>
            <w:hideMark/>
          </w:tcPr>
          <w:p w14:paraId="0F199739" w14:textId="77777777" w:rsidR="005D0736" w:rsidRPr="005D0736" w:rsidRDefault="005D0736" w:rsidP="005D0736">
            <w:pPr>
              <w:rPr>
                <w:color w:val="000000"/>
                <w:sz w:val="16"/>
                <w:szCs w:val="16"/>
              </w:rPr>
            </w:pPr>
            <w:r w:rsidRPr="005D0736">
              <w:rPr>
                <w:color w:val="000000"/>
                <w:sz w:val="16"/>
                <w:szCs w:val="16"/>
              </w:rPr>
              <w:t>INT</w:t>
            </w:r>
          </w:p>
        </w:tc>
        <w:tc>
          <w:tcPr>
            <w:tcW w:w="585" w:type="dxa"/>
            <w:shd w:val="clear" w:color="000000" w:fill="D9D9D9"/>
            <w:noWrap/>
            <w:vAlign w:val="bottom"/>
            <w:hideMark/>
          </w:tcPr>
          <w:p w14:paraId="63CB2671" w14:textId="77777777" w:rsidR="005D0736" w:rsidRPr="005D0736" w:rsidRDefault="005D0736" w:rsidP="005D0736">
            <w:pPr>
              <w:jc w:val="center"/>
              <w:rPr>
                <w:color w:val="000000"/>
                <w:sz w:val="16"/>
                <w:szCs w:val="16"/>
              </w:rPr>
            </w:pPr>
            <w:r w:rsidRPr="005D0736">
              <w:rPr>
                <w:color w:val="000000"/>
                <w:sz w:val="16"/>
                <w:szCs w:val="16"/>
              </w:rPr>
              <w:t>0,00</w:t>
            </w:r>
          </w:p>
        </w:tc>
        <w:tc>
          <w:tcPr>
            <w:tcW w:w="688" w:type="dxa"/>
            <w:shd w:val="clear" w:color="000000" w:fill="D9D9D9"/>
            <w:noWrap/>
            <w:vAlign w:val="bottom"/>
            <w:hideMark/>
          </w:tcPr>
          <w:p w14:paraId="038EBADC" w14:textId="77777777" w:rsidR="005D0736" w:rsidRPr="005D0736" w:rsidRDefault="005D0736" w:rsidP="005D0736">
            <w:pPr>
              <w:jc w:val="center"/>
              <w:rPr>
                <w:color w:val="000000"/>
                <w:sz w:val="16"/>
                <w:szCs w:val="16"/>
              </w:rPr>
            </w:pPr>
            <w:r w:rsidRPr="005D0736">
              <w:rPr>
                <w:color w:val="000000"/>
                <w:sz w:val="16"/>
                <w:szCs w:val="16"/>
              </w:rPr>
              <w:t>0,00</w:t>
            </w:r>
          </w:p>
        </w:tc>
        <w:tc>
          <w:tcPr>
            <w:tcW w:w="596" w:type="dxa"/>
            <w:shd w:val="clear" w:color="000000" w:fill="D9D9D9"/>
            <w:noWrap/>
            <w:vAlign w:val="bottom"/>
            <w:hideMark/>
          </w:tcPr>
          <w:p w14:paraId="15A33C6D" w14:textId="77777777" w:rsidR="005D0736" w:rsidRPr="005D0736" w:rsidRDefault="005D0736" w:rsidP="005D0736">
            <w:pPr>
              <w:jc w:val="center"/>
              <w:rPr>
                <w:color w:val="000000"/>
                <w:sz w:val="16"/>
                <w:szCs w:val="16"/>
              </w:rPr>
            </w:pPr>
            <w:r w:rsidRPr="005D0736">
              <w:rPr>
                <w:color w:val="000000"/>
                <w:sz w:val="16"/>
                <w:szCs w:val="16"/>
              </w:rPr>
              <w:t>0,00</w:t>
            </w:r>
          </w:p>
        </w:tc>
        <w:tc>
          <w:tcPr>
            <w:tcW w:w="577" w:type="dxa"/>
            <w:shd w:val="clear" w:color="000000" w:fill="DDEBF7"/>
            <w:noWrap/>
            <w:vAlign w:val="bottom"/>
            <w:hideMark/>
          </w:tcPr>
          <w:p w14:paraId="3251E569" w14:textId="77777777" w:rsidR="005D0736" w:rsidRPr="005D0736" w:rsidRDefault="005D0736" w:rsidP="005D0736">
            <w:pPr>
              <w:jc w:val="center"/>
              <w:rPr>
                <w:color w:val="000000"/>
                <w:sz w:val="16"/>
                <w:szCs w:val="16"/>
              </w:rPr>
            </w:pPr>
            <w:r w:rsidRPr="005D0736">
              <w:rPr>
                <w:color w:val="000000"/>
                <w:sz w:val="16"/>
                <w:szCs w:val="16"/>
              </w:rPr>
              <w:t>0,00</w:t>
            </w:r>
          </w:p>
        </w:tc>
        <w:tc>
          <w:tcPr>
            <w:tcW w:w="687" w:type="dxa"/>
            <w:shd w:val="clear" w:color="000000" w:fill="DDEBF7"/>
            <w:noWrap/>
            <w:vAlign w:val="bottom"/>
            <w:hideMark/>
          </w:tcPr>
          <w:p w14:paraId="0ADAAF62" w14:textId="77777777" w:rsidR="005D0736" w:rsidRPr="005D0736" w:rsidRDefault="005D0736" w:rsidP="005D0736">
            <w:pPr>
              <w:jc w:val="center"/>
              <w:rPr>
                <w:color w:val="000000"/>
                <w:sz w:val="16"/>
                <w:szCs w:val="16"/>
              </w:rPr>
            </w:pPr>
            <w:r w:rsidRPr="005D0736">
              <w:rPr>
                <w:color w:val="000000"/>
                <w:sz w:val="16"/>
                <w:szCs w:val="16"/>
              </w:rPr>
              <w:t>0,00</w:t>
            </w:r>
          </w:p>
        </w:tc>
        <w:tc>
          <w:tcPr>
            <w:tcW w:w="595" w:type="dxa"/>
            <w:shd w:val="clear" w:color="000000" w:fill="DDEBF7"/>
            <w:noWrap/>
            <w:vAlign w:val="bottom"/>
            <w:hideMark/>
          </w:tcPr>
          <w:p w14:paraId="02870BF6" w14:textId="77777777" w:rsidR="005D0736" w:rsidRPr="005D0736" w:rsidRDefault="005D0736" w:rsidP="005D0736">
            <w:pPr>
              <w:jc w:val="center"/>
              <w:rPr>
                <w:color w:val="000000"/>
                <w:sz w:val="16"/>
                <w:szCs w:val="16"/>
              </w:rPr>
            </w:pPr>
            <w:r w:rsidRPr="005D0736">
              <w:rPr>
                <w:color w:val="000000"/>
                <w:sz w:val="16"/>
                <w:szCs w:val="16"/>
              </w:rPr>
              <w:t>0,07</w:t>
            </w:r>
          </w:p>
        </w:tc>
        <w:tc>
          <w:tcPr>
            <w:tcW w:w="576" w:type="dxa"/>
            <w:shd w:val="clear" w:color="000000" w:fill="FFF2CC"/>
            <w:noWrap/>
            <w:vAlign w:val="bottom"/>
            <w:hideMark/>
          </w:tcPr>
          <w:p w14:paraId="11E2892D" w14:textId="77777777" w:rsidR="005D0736" w:rsidRPr="005D0736" w:rsidRDefault="005D0736" w:rsidP="005D0736">
            <w:pPr>
              <w:jc w:val="center"/>
              <w:rPr>
                <w:color w:val="000000"/>
                <w:sz w:val="16"/>
                <w:szCs w:val="16"/>
              </w:rPr>
            </w:pPr>
            <w:r w:rsidRPr="005D0736">
              <w:rPr>
                <w:color w:val="000000"/>
                <w:sz w:val="16"/>
                <w:szCs w:val="16"/>
              </w:rPr>
              <w:t>0,00</w:t>
            </w:r>
          </w:p>
        </w:tc>
        <w:tc>
          <w:tcPr>
            <w:tcW w:w="687" w:type="dxa"/>
            <w:shd w:val="clear" w:color="000000" w:fill="FFF2CC"/>
            <w:noWrap/>
            <w:vAlign w:val="bottom"/>
            <w:hideMark/>
          </w:tcPr>
          <w:p w14:paraId="3AB54EA7" w14:textId="77777777" w:rsidR="005D0736" w:rsidRPr="005D0736" w:rsidRDefault="005D0736" w:rsidP="005D0736">
            <w:pPr>
              <w:jc w:val="center"/>
              <w:rPr>
                <w:color w:val="000000"/>
                <w:sz w:val="16"/>
                <w:szCs w:val="16"/>
              </w:rPr>
            </w:pPr>
            <w:r w:rsidRPr="005D0736">
              <w:rPr>
                <w:color w:val="000000"/>
                <w:sz w:val="16"/>
                <w:szCs w:val="16"/>
              </w:rPr>
              <w:t>0,00</w:t>
            </w:r>
          </w:p>
        </w:tc>
        <w:tc>
          <w:tcPr>
            <w:tcW w:w="595" w:type="dxa"/>
            <w:shd w:val="clear" w:color="000000" w:fill="FFF2CC"/>
            <w:noWrap/>
            <w:vAlign w:val="bottom"/>
            <w:hideMark/>
          </w:tcPr>
          <w:p w14:paraId="58973C33" w14:textId="77777777" w:rsidR="005D0736" w:rsidRPr="005D0736" w:rsidRDefault="005D0736" w:rsidP="005D0736">
            <w:pPr>
              <w:jc w:val="center"/>
              <w:rPr>
                <w:color w:val="000000"/>
                <w:sz w:val="16"/>
                <w:szCs w:val="16"/>
              </w:rPr>
            </w:pPr>
            <w:r w:rsidRPr="005D0736">
              <w:rPr>
                <w:color w:val="000000"/>
                <w:sz w:val="16"/>
                <w:szCs w:val="16"/>
              </w:rPr>
              <w:t>0,39</w:t>
            </w:r>
          </w:p>
        </w:tc>
        <w:tc>
          <w:tcPr>
            <w:tcW w:w="576" w:type="dxa"/>
            <w:shd w:val="clear" w:color="000000" w:fill="E2EFDA"/>
            <w:noWrap/>
            <w:vAlign w:val="bottom"/>
            <w:hideMark/>
          </w:tcPr>
          <w:p w14:paraId="3CED6112" w14:textId="77777777" w:rsidR="005D0736" w:rsidRPr="005D0736" w:rsidRDefault="005D0736" w:rsidP="005D0736">
            <w:pPr>
              <w:jc w:val="center"/>
              <w:rPr>
                <w:color w:val="000000"/>
                <w:sz w:val="16"/>
                <w:szCs w:val="16"/>
              </w:rPr>
            </w:pPr>
            <w:r w:rsidRPr="005D0736">
              <w:rPr>
                <w:color w:val="000000"/>
                <w:sz w:val="16"/>
                <w:szCs w:val="16"/>
              </w:rPr>
              <w:t>0,00</w:t>
            </w:r>
          </w:p>
        </w:tc>
        <w:tc>
          <w:tcPr>
            <w:tcW w:w="687" w:type="dxa"/>
            <w:shd w:val="clear" w:color="000000" w:fill="E2EFDA"/>
            <w:noWrap/>
            <w:vAlign w:val="bottom"/>
            <w:hideMark/>
          </w:tcPr>
          <w:p w14:paraId="79B1C2A2" w14:textId="77777777" w:rsidR="005D0736" w:rsidRPr="005D0736" w:rsidRDefault="005D0736" w:rsidP="005D0736">
            <w:pPr>
              <w:jc w:val="center"/>
              <w:rPr>
                <w:color w:val="000000"/>
                <w:sz w:val="16"/>
                <w:szCs w:val="16"/>
              </w:rPr>
            </w:pPr>
            <w:r w:rsidRPr="005D0736">
              <w:rPr>
                <w:color w:val="000000"/>
                <w:sz w:val="16"/>
                <w:szCs w:val="16"/>
              </w:rPr>
              <w:t>0,00</w:t>
            </w:r>
          </w:p>
        </w:tc>
        <w:tc>
          <w:tcPr>
            <w:tcW w:w="595" w:type="dxa"/>
            <w:shd w:val="clear" w:color="000000" w:fill="E2EFDA"/>
            <w:noWrap/>
            <w:vAlign w:val="bottom"/>
            <w:hideMark/>
          </w:tcPr>
          <w:p w14:paraId="3384AB8D" w14:textId="77777777" w:rsidR="005D0736" w:rsidRPr="005D0736" w:rsidRDefault="005D0736" w:rsidP="005D0736">
            <w:pPr>
              <w:jc w:val="center"/>
              <w:rPr>
                <w:color w:val="000000"/>
                <w:sz w:val="16"/>
                <w:szCs w:val="16"/>
              </w:rPr>
            </w:pPr>
            <w:r w:rsidRPr="005D0736">
              <w:rPr>
                <w:color w:val="000000"/>
                <w:sz w:val="16"/>
                <w:szCs w:val="16"/>
              </w:rPr>
              <w:t>0,00</w:t>
            </w:r>
          </w:p>
        </w:tc>
      </w:tr>
      <w:tr w:rsidR="005D0736" w:rsidRPr="005D0736" w14:paraId="192A4725" w14:textId="77777777" w:rsidTr="005D0736">
        <w:trPr>
          <w:trHeight w:val="20"/>
        </w:trPr>
        <w:tc>
          <w:tcPr>
            <w:tcW w:w="1617" w:type="dxa"/>
            <w:shd w:val="clear" w:color="auto" w:fill="auto"/>
            <w:noWrap/>
            <w:vAlign w:val="bottom"/>
            <w:hideMark/>
          </w:tcPr>
          <w:p w14:paraId="7A18C03E" w14:textId="77777777" w:rsidR="005D0736" w:rsidRPr="005D0736" w:rsidRDefault="005D0736" w:rsidP="005D0736">
            <w:pPr>
              <w:rPr>
                <w:color w:val="000000"/>
                <w:sz w:val="16"/>
                <w:szCs w:val="16"/>
              </w:rPr>
            </w:pPr>
            <w:r w:rsidRPr="005D0736">
              <w:rPr>
                <w:color w:val="000000"/>
                <w:sz w:val="16"/>
                <w:szCs w:val="16"/>
              </w:rPr>
              <w:t>OPCRESC</w:t>
            </w:r>
          </w:p>
        </w:tc>
        <w:tc>
          <w:tcPr>
            <w:tcW w:w="585" w:type="dxa"/>
            <w:shd w:val="clear" w:color="000000" w:fill="D9D9D9"/>
            <w:noWrap/>
            <w:vAlign w:val="bottom"/>
            <w:hideMark/>
          </w:tcPr>
          <w:p w14:paraId="229406AF" w14:textId="77777777" w:rsidR="005D0736" w:rsidRPr="005D0736" w:rsidRDefault="005D0736" w:rsidP="005D0736">
            <w:pPr>
              <w:jc w:val="center"/>
              <w:rPr>
                <w:color w:val="000000"/>
                <w:sz w:val="16"/>
                <w:szCs w:val="16"/>
              </w:rPr>
            </w:pPr>
            <w:r w:rsidRPr="005D0736">
              <w:rPr>
                <w:color w:val="000000"/>
                <w:sz w:val="16"/>
                <w:szCs w:val="16"/>
              </w:rPr>
              <w:t>0,00</w:t>
            </w:r>
          </w:p>
        </w:tc>
        <w:tc>
          <w:tcPr>
            <w:tcW w:w="688" w:type="dxa"/>
            <w:shd w:val="clear" w:color="000000" w:fill="D9D9D9"/>
            <w:noWrap/>
            <w:vAlign w:val="bottom"/>
            <w:hideMark/>
          </w:tcPr>
          <w:p w14:paraId="23D11A4D" w14:textId="77777777" w:rsidR="005D0736" w:rsidRPr="005D0736" w:rsidRDefault="005D0736" w:rsidP="005D0736">
            <w:pPr>
              <w:jc w:val="center"/>
              <w:rPr>
                <w:color w:val="000000"/>
                <w:sz w:val="16"/>
                <w:szCs w:val="16"/>
              </w:rPr>
            </w:pPr>
            <w:r w:rsidRPr="005D0736">
              <w:rPr>
                <w:color w:val="000000"/>
                <w:sz w:val="16"/>
                <w:szCs w:val="16"/>
              </w:rPr>
              <w:t>0,00</w:t>
            </w:r>
          </w:p>
        </w:tc>
        <w:tc>
          <w:tcPr>
            <w:tcW w:w="596" w:type="dxa"/>
            <w:shd w:val="clear" w:color="000000" w:fill="D9D9D9"/>
            <w:noWrap/>
            <w:vAlign w:val="bottom"/>
            <w:hideMark/>
          </w:tcPr>
          <w:p w14:paraId="27EAD4B1" w14:textId="77777777" w:rsidR="005D0736" w:rsidRPr="005D0736" w:rsidRDefault="005D0736" w:rsidP="005D0736">
            <w:pPr>
              <w:jc w:val="center"/>
              <w:rPr>
                <w:color w:val="000000"/>
                <w:sz w:val="16"/>
                <w:szCs w:val="16"/>
              </w:rPr>
            </w:pPr>
            <w:r w:rsidRPr="005D0736">
              <w:rPr>
                <w:color w:val="000000"/>
                <w:sz w:val="16"/>
                <w:szCs w:val="16"/>
              </w:rPr>
              <w:t>0,00</w:t>
            </w:r>
          </w:p>
        </w:tc>
        <w:tc>
          <w:tcPr>
            <w:tcW w:w="577" w:type="dxa"/>
            <w:shd w:val="clear" w:color="000000" w:fill="DDEBF7"/>
            <w:noWrap/>
            <w:vAlign w:val="bottom"/>
            <w:hideMark/>
          </w:tcPr>
          <w:p w14:paraId="76EE402C" w14:textId="77777777" w:rsidR="005D0736" w:rsidRPr="005D0736" w:rsidRDefault="005D0736" w:rsidP="005D0736">
            <w:pPr>
              <w:jc w:val="center"/>
              <w:rPr>
                <w:color w:val="000000"/>
                <w:sz w:val="16"/>
                <w:szCs w:val="16"/>
              </w:rPr>
            </w:pPr>
            <w:r w:rsidRPr="005D0736">
              <w:rPr>
                <w:color w:val="000000"/>
                <w:sz w:val="16"/>
                <w:szCs w:val="16"/>
              </w:rPr>
              <w:t>0,00</w:t>
            </w:r>
          </w:p>
        </w:tc>
        <w:tc>
          <w:tcPr>
            <w:tcW w:w="687" w:type="dxa"/>
            <w:shd w:val="clear" w:color="000000" w:fill="DDEBF7"/>
            <w:noWrap/>
            <w:vAlign w:val="bottom"/>
            <w:hideMark/>
          </w:tcPr>
          <w:p w14:paraId="2D20C8D4" w14:textId="77777777" w:rsidR="005D0736" w:rsidRPr="005D0736" w:rsidRDefault="005D0736" w:rsidP="005D0736">
            <w:pPr>
              <w:jc w:val="center"/>
              <w:rPr>
                <w:color w:val="000000"/>
                <w:sz w:val="16"/>
                <w:szCs w:val="16"/>
              </w:rPr>
            </w:pPr>
            <w:r w:rsidRPr="005D0736">
              <w:rPr>
                <w:color w:val="000000"/>
                <w:sz w:val="16"/>
                <w:szCs w:val="16"/>
              </w:rPr>
              <w:t>0,00</w:t>
            </w:r>
          </w:p>
        </w:tc>
        <w:tc>
          <w:tcPr>
            <w:tcW w:w="595" w:type="dxa"/>
            <w:shd w:val="clear" w:color="000000" w:fill="DDEBF7"/>
            <w:noWrap/>
            <w:vAlign w:val="bottom"/>
            <w:hideMark/>
          </w:tcPr>
          <w:p w14:paraId="5DC535C5" w14:textId="77777777" w:rsidR="005D0736" w:rsidRPr="005D0736" w:rsidRDefault="005D0736" w:rsidP="005D0736">
            <w:pPr>
              <w:jc w:val="center"/>
              <w:rPr>
                <w:color w:val="000000"/>
                <w:sz w:val="16"/>
                <w:szCs w:val="16"/>
              </w:rPr>
            </w:pPr>
            <w:r w:rsidRPr="005D0736">
              <w:rPr>
                <w:color w:val="000000"/>
                <w:sz w:val="16"/>
                <w:szCs w:val="16"/>
              </w:rPr>
              <w:t>0,10</w:t>
            </w:r>
          </w:p>
        </w:tc>
        <w:tc>
          <w:tcPr>
            <w:tcW w:w="576" w:type="dxa"/>
            <w:shd w:val="clear" w:color="000000" w:fill="FFF2CC"/>
            <w:noWrap/>
            <w:vAlign w:val="bottom"/>
            <w:hideMark/>
          </w:tcPr>
          <w:p w14:paraId="71ACAEB7" w14:textId="77777777" w:rsidR="005D0736" w:rsidRPr="005D0736" w:rsidRDefault="005D0736" w:rsidP="005D0736">
            <w:pPr>
              <w:jc w:val="center"/>
              <w:rPr>
                <w:color w:val="000000"/>
                <w:sz w:val="16"/>
                <w:szCs w:val="16"/>
              </w:rPr>
            </w:pPr>
            <w:r w:rsidRPr="005D0736">
              <w:rPr>
                <w:color w:val="000000"/>
                <w:sz w:val="16"/>
                <w:szCs w:val="16"/>
              </w:rPr>
              <w:t>0,00</w:t>
            </w:r>
          </w:p>
        </w:tc>
        <w:tc>
          <w:tcPr>
            <w:tcW w:w="687" w:type="dxa"/>
            <w:shd w:val="clear" w:color="000000" w:fill="FFF2CC"/>
            <w:noWrap/>
            <w:vAlign w:val="bottom"/>
            <w:hideMark/>
          </w:tcPr>
          <w:p w14:paraId="08B78EC1" w14:textId="77777777" w:rsidR="005D0736" w:rsidRPr="005D0736" w:rsidRDefault="005D0736" w:rsidP="005D0736">
            <w:pPr>
              <w:jc w:val="center"/>
              <w:rPr>
                <w:color w:val="000000"/>
                <w:sz w:val="16"/>
                <w:szCs w:val="16"/>
              </w:rPr>
            </w:pPr>
            <w:r w:rsidRPr="005D0736">
              <w:rPr>
                <w:color w:val="000000"/>
                <w:sz w:val="16"/>
                <w:szCs w:val="16"/>
              </w:rPr>
              <w:t>0,00</w:t>
            </w:r>
          </w:p>
        </w:tc>
        <w:tc>
          <w:tcPr>
            <w:tcW w:w="595" w:type="dxa"/>
            <w:shd w:val="clear" w:color="000000" w:fill="FFF2CC"/>
            <w:noWrap/>
            <w:vAlign w:val="bottom"/>
            <w:hideMark/>
          </w:tcPr>
          <w:p w14:paraId="04EC47BA" w14:textId="77777777" w:rsidR="005D0736" w:rsidRPr="005D0736" w:rsidRDefault="005D0736" w:rsidP="005D0736">
            <w:pPr>
              <w:jc w:val="center"/>
              <w:rPr>
                <w:color w:val="000000"/>
                <w:sz w:val="16"/>
                <w:szCs w:val="16"/>
              </w:rPr>
            </w:pPr>
            <w:r w:rsidRPr="005D0736">
              <w:rPr>
                <w:color w:val="000000"/>
                <w:sz w:val="16"/>
                <w:szCs w:val="16"/>
              </w:rPr>
              <w:t>0,99</w:t>
            </w:r>
          </w:p>
        </w:tc>
        <w:tc>
          <w:tcPr>
            <w:tcW w:w="576" w:type="dxa"/>
            <w:shd w:val="clear" w:color="000000" w:fill="E2EFDA"/>
            <w:noWrap/>
            <w:vAlign w:val="bottom"/>
            <w:hideMark/>
          </w:tcPr>
          <w:p w14:paraId="7788543A" w14:textId="77777777" w:rsidR="005D0736" w:rsidRPr="005D0736" w:rsidRDefault="005D0736" w:rsidP="005D0736">
            <w:pPr>
              <w:jc w:val="center"/>
              <w:rPr>
                <w:color w:val="000000"/>
                <w:sz w:val="16"/>
                <w:szCs w:val="16"/>
              </w:rPr>
            </w:pPr>
            <w:r w:rsidRPr="005D0736">
              <w:rPr>
                <w:color w:val="000000"/>
                <w:sz w:val="16"/>
                <w:szCs w:val="16"/>
              </w:rPr>
              <w:t>0,00</w:t>
            </w:r>
          </w:p>
        </w:tc>
        <w:tc>
          <w:tcPr>
            <w:tcW w:w="687" w:type="dxa"/>
            <w:shd w:val="clear" w:color="000000" w:fill="E2EFDA"/>
            <w:noWrap/>
            <w:vAlign w:val="bottom"/>
            <w:hideMark/>
          </w:tcPr>
          <w:p w14:paraId="441434F9" w14:textId="77777777" w:rsidR="005D0736" w:rsidRPr="005D0736" w:rsidRDefault="005D0736" w:rsidP="005D0736">
            <w:pPr>
              <w:jc w:val="center"/>
              <w:rPr>
                <w:color w:val="000000"/>
                <w:sz w:val="16"/>
                <w:szCs w:val="16"/>
              </w:rPr>
            </w:pPr>
            <w:r w:rsidRPr="005D0736">
              <w:rPr>
                <w:color w:val="000000"/>
                <w:sz w:val="16"/>
                <w:szCs w:val="16"/>
              </w:rPr>
              <w:t>0,00</w:t>
            </w:r>
          </w:p>
        </w:tc>
        <w:tc>
          <w:tcPr>
            <w:tcW w:w="595" w:type="dxa"/>
            <w:shd w:val="clear" w:color="000000" w:fill="E2EFDA"/>
            <w:noWrap/>
            <w:vAlign w:val="bottom"/>
            <w:hideMark/>
          </w:tcPr>
          <w:p w14:paraId="564110B1" w14:textId="77777777" w:rsidR="005D0736" w:rsidRPr="005D0736" w:rsidRDefault="005D0736" w:rsidP="005D0736">
            <w:pPr>
              <w:jc w:val="center"/>
              <w:rPr>
                <w:color w:val="000000"/>
                <w:sz w:val="16"/>
                <w:szCs w:val="16"/>
              </w:rPr>
            </w:pPr>
            <w:r w:rsidRPr="005D0736">
              <w:rPr>
                <w:color w:val="000000"/>
                <w:sz w:val="16"/>
                <w:szCs w:val="16"/>
              </w:rPr>
              <w:t>0,02</w:t>
            </w:r>
          </w:p>
        </w:tc>
      </w:tr>
      <w:tr w:rsidR="005D0736" w:rsidRPr="005D0736" w14:paraId="5DB466D1" w14:textId="77777777" w:rsidTr="005D0736">
        <w:trPr>
          <w:trHeight w:val="20"/>
        </w:trPr>
        <w:tc>
          <w:tcPr>
            <w:tcW w:w="1617" w:type="dxa"/>
            <w:shd w:val="clear" w:color="auto" w:fill="auto"/>
            <w:noWrap/>
            <w:vAlign w:val="bottom"/>
            <w:hideMark/>
          </w:tcPr>
          <w:p w14:paraId="05F81F0D" w14:textId="77777777" w:rsidR="005D0736" w:rsidRPr="005D0736" w:rsidRDefault="005D0736" w:rsidP="005D0736">
            <w:pPr>
              <w:rPr>
                <w:color w:val="000000"/>
                <w:sz w:val="16"/>
                <w:szCs w:val="16"/>
              </w:rPr>
            </w:pPr>
            <w:r w:rsidRPr="005D0736">
              <w:rPr>
                <w:color w:val="000000"/>
                <w:sz w:val="16"/>
                <w:szCs w:val="16"/>
              </w:rPr>
              <w:t>RENT</w:t>
            </w:r>
          </w:p>
        </w:tc>
        <w:tc>
          <w:tcPr>
            <w:tcW w:w="585" w:type="dxa"/>
            <w:shd w:val="clear" w:color="000000" w:fill="D9D9D9"/>
            <w:noWrap/>
            <w:vAlign w:val="bottom"/>
            <w:hideMark/>
          </w:tcPr>
          <w:p w14:paraId="1ACBE993" w14:textId="77777777" w:rsidR="005D0736" w:rsidRPr="005D0736" w:rsidRDefault="005D0736" w:rsidP="005D0736">
            <w:pPr>
              <w:jc w:val="center"/>
              <w:rPr>
                <w:color w:val="000000"/>
                <w:sz w:val="16"/>
                <w:szCs w:val="16"/>
              </w:rPr>
            </w:pPr>
            <w:r w:rsidRPr="005D0736">
              <w:rPr>
                <w:color w:val="000000"/>
                <w:sz w:val="16"/>
                <w:szCs w:val="16"/>
              </w:rPr>
              <w:t>0,02</w:t>
            </w:r>
          </w:p>
        </w:tc>
        <w:tc>
          <w:tcPr>
            <w:tcW w:w="688" w:type="dxa"/>
            <w:shd w:val="clear" w:color="000000" w:fill="D9D9D9"/>
            <w:noWrap/>
            <w:vAlign w:val="bottom"/>
            <w:hideMark/>
          </w:tcPr>
          <w:p w14:paraId="1BCC7A8E" w14:textId="77777777" w:rsidR="005D0736" w:rsidRPr="005D0736" w:rsidRDefault="005D0736" w:rsidP="005D0736">
            <w:pPr>
              <w:jc w:val="center"/>
              <w:rPr>
                <w:color w:val="000000"/>
                <w:sz w:val="16"/>
                <w:szCs w:val="16"/>
              </w:rPr>
            </w:pPr>
            <w:r w:rsidRPr="005D0736">
              <w:rPr>
                <w:color w:val="000000"/>
                <w:sz w:val="16"/>
                <w:szCs w:val="16"/>
              </w:rPr>
              <w:t>0,01</w:t>
            </w:r>
          </w:p>
        </w:tc>
        <w:tc>
          <w:tcPr>
            <w:tcW w:w="596" w:type="dxa"/>
            <w:shd w:val="clear" w:color="000000" w:fill="D9D9D9"/>
            <w:noWrap/>
            <w:vAlign w:val="bottom"/>
            <w:hideMark/>
          </w:tcPr>
          <w:p w14:paraId="0E865E60" w14:textId="77777777" w:rsidR="005D0736" w:rsidRPr="005D0736" w:rsidRDefault="005D0736" w:rsidP="005D0736">
            <w:pPr>
              <w:jc w:val="center"/>
              <w:rPr>
                <w:color w:val="000000"/>
                <w:sz w:val="16"/>
                <w:szCs w:val="16"/>
              </w:rPr>
            </w:pPr>
            <w:r w:rsidRPr="005D0736">
              <w:rPr>
                <w:color w:val="000000"/>
                <w:sz w:val="16"/>
                <w:szCs w:val="16"/>
              </w:rPr>
              <w:t>0,00</w:t>
            </w:r>
          </w:p>
        </w:tc>
        <w:tc>
          <w:tcPr>
            <w:tcW w:w="577" w:type="dxa"/>
            <w:shd w:val="clear" w:color="000000" w:fill="DDEBF7"/>
            <w:noWrap/>
            <w:vAlign w:val="bottom"/>
            <w:hideMark/>
          </w:tcPr>
          <w:p w14:paraId="53DF329C" w14:textId="77777777" w:rsidR="005D0736" w:rsidRPr="005D0736" w:rsidRDefault="005D0736" w:rsidP="005D0736">
            <w:pPr>
              <w:jc w:val="center"/>
              <w:rPr>
                <w:color w:val="000000"/>
                <w:sz w:val="16"/>
                <w:szCs w:val="16"/>
              </w:rPr>
            </w:pPr>
            <w:r w:rsidRPr="005D0736">
              <w:rPr>
                <w:color w:val="000000"/>
                <w:sz w:val="16"/>
                <w:szCs w:val="16"/>
              </w:rPr>
              <w:t>0,03</w:t>
            </w:r>
          </w:p>
        </w:tc>
        <w:tc>
          <w:tcPr>
            <w:tcW w:w="687" w:type="dxa"/>
            <w:shd w:val="clear" w:color="000000" w:fill="DDEBF7"/>
            <w:noWrap/>
            <w:vAlign w:val="bottom"/>
            <w:hideMark/>
          </w:tcPr>
          <w:p w14:paraId="34A56B2E" w14:textId="77777777" w:rsidR="005D0736" w:rsidRPr="005D0736" w:rsidRDefault="005D0736" w:rsidP="005D0736">
            <w:pPr>
              <w:jc w:val="center"/>
              <w:rPr>
                <w:color w:val="000000"/>
                <w:sz w:val="16"/>
                <w:szCs w:val="16"/>
              </w:rPr>
            </w:pPr>
            <w:r w:rsidRPr="005D0736">
              <w:rPr>
                <w:color w:val="000000"/>
                <w:sz w:val="16"/>
                <w:szCs w:val="16"/>
              </w:rPr>
              <w:t>0,02</w:t>
            </w:r>
          </w:p>
        </w:tc>
        <w:tc>
          <w:tcPr>
            <w:tcW w:w="595" w:type="dxa"/>
            <w:shd w:val="clear" w:color="000000" w:fill="DDEBF7"/>
            <w:noWrap/>
            <w:vAlign w:val="bottom"/>
            <w:hideMark/>
          </w:tcPr>
          <w:p w14:paraId="490D9BC0" w14:textId="77777777" w:rsidR="005D0736" w:rsidRPr="005D0736" w:rsidRDefault="005D0736" w:rsidP="005D0736">
            <w:pPr>
              <w:jc w:val="center"/>
              <w:rPr>
                <w:color w:val="000000"/>
                <w:sz w:val="16"/>
                <w:szCs w:val="16"/>
              </w:rPr>
            </w:pPr>
            <w:r w:rsidRPr="005D0736">
              <w:rPr>
                <w:color w:val="000000"/>
                <w:sz w:val="16"/>
                <w:szCs w:val="16"/>
              </w:rPr>
              <w:t>0,09</w:t>
            </w:r>
          </w:p>
        </w:tc>
        <w:tc>
          <w:tcPr>
            <w:tcW w:w="576" w:type="dxa"/>
            <w:shd w:val="clear" w:color="000000" w:fill="FFF2CC"/>
            <w:noWrap/>
            <w:vAlign w:val="bottom"/>
            <w:hideMark/>
          </w:tcPr>
          <w:p w14:paraId="2A1CFF00" w14:textId="77777777" w:rsidR="005D0736" w:rsidRPr="005D0736" w:rsidRDefault="005D0736" w:rsidP="005D0736">
            <w:pPr>
              <w:jc w:val="center"/>
              <w:rPr>
                <w:color w:val="000000"/>
                <w:sz w:val="16"/>
                <w:szCs w:val="16"/>
              </w:rPr>
            </w:pPr>
            <w:r w:rsidRPr="005D0736">
              <w:rPr>
                <w:color w:val="000000"/>
                <w:sz w:val="16"/>
                <w:szCs w:val="16"/>
              </w:rPr>
              <w:t>-0,01</w:t>
            </w:r>
          </w:p>
        </w:tc>
        <w:tc>
          <w:tcPr>
            <w:tcW w:w="687" w:type="dxa"/>
            <w:shd w:val="clear" w:color="000000" w:fill="FFF2CC"/>
            <w:noWrap/>
            <w:vAlign w:val="bottom"/>
            <w:hideMark/>
          </w:tcPr>
          <w:p w14:paraId="356F6C35" w14:textId="77777777" w:rsidR="005D0736" w:rsidRPr="005D0736" w:rsidRDefault="005D0736" w:rsidP="005D0736">
            <w:pPr>
              <w:jc w:val="center"/>
              <w:rPr>
                <w:color w:val="000000"/>
                <w:sz w:val="16"/>
                <w:szCs w:val="16"/>
              </w:rPr>
            </w:pPr>
            <w:r w:rsidRPr="005D0736">
              <w:rPr>
                <w:color w:val="000000"/>
                <w:sz w:val="16"/>
                <w:szCs w:val="16"/>
              </w:rPr>
              <w:t>0,00</w:t>
            </w:r>
          </w:p>
        </w:tc>
        <w:tc>
          <w:tcPr>
            <w:tcW w:w="595" w:type="dxa"/>
            <w:shd w:val="clear" w:color="000000" w:fill="FFF2CC"/>
            <w:noWrap/>
            <w:vAlign w:val="bottom"/>
            <w:hideMark/>
          </w:tcPr>
          <w:p w14:paraId="0E96F27E" w14:textId="77777777" w:rsidR="005D0736" w:rsidRPr="005D0736" w:rsidRDefault="005D0736" w:rsidP="005D0736">
            <w:pPr>
              <w:jc w:val="center"/>
              <w:rPr>
                <w:color w:val="000000"/>
                <w:sz w:val="16"/>
                <w:szCs w:val="16"/>
              </w:rPr>
            </w:pPr>
            <w:r w:rsidRPr="005D0736">
              <w:rPr>
                <w:color w:val="000000"/>
                <w:sz w:val="16"/>
                <w:szCs w:val="16"/>
              </w:rPr>
              <w:t>0,00</w:t>
            </w:r>
          </w:p>
        </w:tc>
        <w:tc>
          <w:tcPr>
            <w:tcW w:w="576" w:type="dxa"/>
            <w:shd w:val="clear" w:color="000000" w:fill="E2EFDA"/>
            <w:noWrap/>
            <w:vAlign w:val="bottom"/>
            <w:hideMark/>
          </w:tcPr>
          <w:p w14:paraId="4FE178F4" w14:textId="77777777" w:rsidR="005D0736" w:rsidRPr="005D0736" w:rsidRDefault="005D0736" w:rsidP="005D0736">
            <w:pPr>
              <w:jc w:val="center"/>
              <w:rPr>
                <w:color w:val="000000"/>
                <w:sz w:val="16"/>
                <w:szCs w:val="16"/>
              </w:rPr>
            </w:pPr>
            <w:r w:rsidRPr="005D0736">
              <w:rPr>
                <w:color w:val="000000"/>
                <w:sz w:val="16"/>
                <w:szCs w:val="16"/>
              </w:rPr>
              <w:t>0,00</w:t>
            </w:r>
          </w:p>
        </w:tc>
        <w:tc>
          <w:tcPr>
            <w:tcW w:w="687" w:type="dxa"/>
            <w:shd w:val="clear" w:color="000000" w:fill="E2EFDA"/>
            <w:noWrap/>
            <w:vAlign w:val="bottom"/>
            <w:hideMark/>
          </w:tcPr>
          <w:p w14:paraId="17EA16CA" w14:textId="77777777" w:rsidR="005D0736" w:rsidRPr="005D0736" w:rsidRDefault="005D0736" w:rsidP="005D0736">
            <w:pPr>
              <w:jc w:val="center"/>
              <w:rPr>
                <w:color w:val="000000"/>
                <w:sz w:val="16"/>
                <w:szCs w:val="16"/>
              </w:rPr>
            </w:pPr>
            <w:r w:rsidRPr="005D0736">
              <w:rPr>
                <w:color w:val="000000"/>
                <w:sz w:val="16"/>
                <w:szCs w:val="16"/>
              </w:rPr>
              <w:t>0,00</w:t>
            </w:r>
          </w:p>
        </w:tc>
        <w:tc>
          <w:tcPr>
            <w:tcW w:w="595" w:type="dxa"/>
            <w:shd w:val="clear" w:color="000000" w:fill="E2EFDA"/>
            <w:noWrap/>
            <w:vAlign w:val="bottom"/>
            <w:hideMark/>
          </w:tcPr>
          <w:p w14:paraId="0A78F750" w14:textId="77777777" w:rsidR="005D0736" w:rsidRPr="005D0736" w:rsidRDefault="005D0736" w:rsidP="005D0736">
            <w:pPr>
              <w:jc w:val="center"/>
              <w:rPr>
                <w:color w:val="000000"/>
                <w:sz w:val="16"/>
                <w:szCs w:val="16"/>
              </w:rPr>
            </w:pPr>
            <w:r w:rsidRPr="005D0736">
              <w:rPr>
                <w:color w:val="000000"/>
                <w:sz w:val="16"/>
                <w:szCs w:val="16"/>
              </w:rPr>
              <w:t>0,01</w:t>
            </w:r>
          </w:p>
        </w:tc>
      </w:tr>
      <w:tr w:rsidR="005D0736" w:rsidRPr="005D0736" w14:paraId="7BA45456" w14:textId="77777777" w:rsidTr="005D0736">
        <w:trPr>
          <w:trHeight w:val="20"/>
        </w:trPr>
        <w:tc>
          <w:tcPr>
            <w:tcW w:w="1617" w:type="dxa"/>
            <w:shd w:val="clear" w:color="auto" w:fill="auto"/>
            <w:noWrap/>
            <w:vAlign w:val="bottom"/>
            <w:hideMark/>
          </w:tcPr>
          <w:p w14:paraId="6CD946F3" w14:textId="77777777" w:rsidR="005D0736" w:rsidRPr="005D0736" w:rsidRDefault="005D0736" w:rsidP="005D0736">
            <w:pPr>
              <w:rPr>
                <w:color w:val="000000"/>
                <w:sz w:val="16"/>
                <w:szCs w:val="16"/>
              </w:rPr>
            </w:pPr>
            <w:r w:rsidRPr="005D0736">
              <w:rPr>
                <w:color w:val="000000"/>
                <w:sz w:val="16"/>
                <w:szCs w:val="16"/>
              </w:rPr>
              <w:t>TAM</w:t>
            </w:r>
          </w:p>
        </w:tc>
        <w:tc>
          <w:tcPr>
            <w:tcW w:w="585" w:type="dxa"/>
            <w:shd w:val="clear" w:color="000000" w:fill="D9D9D9"/>
            <w:noWrap/>
            <w:vAlign w:val="bottom"/>
            <w:hideMark/>
          </w:tcPr>
          <w:p w14:paraId="6683CF1D" w14:textId="77777777" w:rsidR="005D0736" w:rsidRPr="005D0736" w:rsidRDefault="005D0736" w:rsidP="005D0736">
            <w:pPr>
              <w:jc w:val="center"/>
              <w:rPr>
                <w:color w:val="000000"/>
                <w:sz w:val="16"/>
                <w:szCs w:val="16"/>
              </w:rPr>
            </w:pPr>
            <w:r w:rsidRPr="005D0736">
              <w:rPr>
                <w:color w:val="000000"/>
                <w:sz w:val="16"/>
                <w:szCs w:val="16"/>
              </w:rPr>
              <w:t>0,00</w:t>
            </w:r>
          </w:p>
        </w:tc>
        <w:tc>
          <w:tcPr>
            <w:tcW w:w="688" w:type="dxa"/>
            <w:shd w:val="clear" w:color="000000" w:fill="D9D9D9"/>
            <w:noWrap/>
            <w:vAlign w:val="bottom"/>
            <w:hideMark/>
          </w:tcPr>
          <w:p w14:paraId="69AD68AB" w14:textId="77777777" w:rsidR="005D0736" w:rsidRPr="005D0736" w:rsidRDefault="005D0736" w:rsidP="005D0736">
            <w:pPr>
              <w:jc w:val="center"/>
              <w:rPr>
                <w:color w:val="000000"/>
                <w:sz w:val="16"/>
                <w:szCs w:val="16"/>
              </w:rPr>
            </w:pPr>
            <w:r w:rsidRPr="005D0736">
              <w:rPr>
                <w:color w:val="000000"/>
                <w:sz w:val="16"/>
                <w:szCs w:val="16"/>
              </w:rPr>
              <w:t>0,01</w:t>
            </w:r>
          </w:p>
        </w:tc>
        <w:tc>
          <w:tcPr>
            <w:tcW w:w="596" w:type="dxa"/>
            <w:shd w:val="clear" w:color="000000" w:fill="D9D9D9"/>
            <w:noWrap/>
            <w:vAlign w:val="bottom"/>
            <w:hideMark/>
          </w:tcPr>
          <w:p w14:paraId="3C955FDB" w14:textId="77777777" w:rsidR="005D0736" w:rsidRPr="005D0736" w:rsidRDefault="005D0736" w:rsidP="005D0736">
            <w:pPr>
              <w:jc w:val="center"/>
              <w:rPr>
                <w:color w:val="000000"/>
                <w:sz w:val="16"/>
                <w:szCs w:val="16"/>
              </w:rPr>
            </w:pPr>
            <w:r w:rsidRPr="005D0736">
              <w:rPr>
                <w:color w:val="000000"/>
                <w:sz w:val="16"/>
                <w:szCs w:val="16"/>
              </w:rPr>
              <w:t>0,68</w:t>
            </w:r>
          </w:p>
        </w:tc>
        <w:tc>
          <w:tcPr>
            <w:tcW w:w="577" w:type="dxa"/>
            <w:shd w:val="clear" w:color="000000" w:fill="DDEBF7"/>
            <w:noWrap/>
            <w:vAlign w:val="bottom"/>
            <w:hideMark/>
          </w:tcPr>
          <w:p w14:paraId="498B3870" w14:textId="77777777" w:rsidR="005D0736" w:rsidRPr="005D0736" w:rsidRDefault="005D0736" w:rsidP="005D0736">
            <w:pPr>
              <w:jc w:val="center"/>
              <w:rPr>
                <w:color w:val="000000"/>
                <w:sz w:val="16"/>
                <w:szCs w:val="16"/>
              </w:rPr>
            </w:pPr>
            <w:r w:rsidRPr="005D0736">
              <w:rPr>
                <w:color w:val="000000"/>
                <w:sz w:val="16"/>
                <w:szCs w:val="16"/>
              </w:rPr>
              <w:t>-0,08</w:t>
            </w:r>
          </w:p>
        </w:tc>
        <w:tc>
          <w:tcPr>
            <w:tcW w:w="687" w:type="dxa"/>
            <w:shd w:val="clear" w:color="000000" w:fill="DDEBF7"/>
            <w:noWrap/>
            <w:vAlign w:val="bottom"/>
            <w:hideMark/>
          </w:tcPr>
          <w:p w14:paraId="7D00FF65" w14:textId="77777777" w:rsidR="005D0736" w:rsidRPr="005D0736" w:rsidRDefault="005D0736" w:rsidP="005D0736">
            <w:pPr>
              <w:jc w:val="center"/>
              <w:rPr>
                <w:color w:val="000000"/>
                <w:sz w:val="16"/>
                <w:szCs w:val="16"/>
              </w:rPr>
            </w:pPr>
            <w:r w:rsidRPr="005D0736">
              <w:rPr>
                <w:color w:val="000000"/>
                <w:sz w:val="16"/>
                <w:szCs w:val="16"/>
              </w:rPr>
              <w:t>0,03</w:t>
            </w:r>
          </w:p>
        </w:tc>
        <w:tc>
          <w:tcPr>
            <w:tcW w:w="595" w:type="dxa"/>
            <w:shd w:val="clear" w:color="000000" w:fill="DDEBF7"/>
            <w:noWrap/>
            <w:vAlign w:val="bottom"/>
            <w:hideMark/>
          </w:tcPr>
          <w:p w14:paraId="2A52B64F" w14:textId="77777777" w:rsidR="005D0736" w:rsidRPr="005D0736" w:rsidRDefault="005D0736" w:rsidP="005D0736">
            <w:pPr>
              <w:jc w:val="center"/>
              <w:rPr>
                <w:color w:val="000000"/>
                <w:sz w:val="16"/>
                <w:szCs w:val="16"/>
              </w:rPr>
            </w:pPr>
            <w:r w:rsidRPr="005D0736">
              <w:rPr>
                <w:color w:val="000000"/>
                <w:sz w:val="16"/>
                <w:szCs w:val="16"/>
              </w:rPr>
              <w:t>0,00</w:t>
            </w:r>
          </w:p>
        </w:tc>
        <w:tc>
          <w:tcPr>
            <w:tcW w:w="576" w:type="dxa"/>
            <w:shd w:val="clear" w:color="000000" w:fill="FFF2CC"/>
            <w:noWrap/>
            <w:vAlign w:val="bottom"/>
            <w:hideMark/>
          </w:tcPr>
          <w:p w14:paraId="4228CED7" w14:textId="77777777" w:rsidR="005D0736" w:rsidRPr="005D0736" w:rsidRDefault="005D0736" w:rsidP="005D0736">
            <w:pPr>
              <w:jc w:val="center"/>
              <w:rPr>
                <w:color w:val="000000"/>
                <w:sz w:val="16"/>
                <w:szCs w:val="16"/>
              </w:rPr>
            </w:pPr>
            <w:r w:rsidRPr="005D0736">
              <w:rPr>
                <w:color w:val="000000"/>
                <w:sz w:val="16"/>
                <w:szCs w:val="16"/>
              </w:rPr>
              <w:t>0,00</w:t>
            </w:r>
          </w:p>
        </w:tc>
        <w:tc>
          <w:tcPr>
            <w:tcW w:w="687" w:type="dxa"/>
            <w:shd w:val="clear" w:color="000000" w:fill="FFF2CC"/>
            <w:noWrap/>
            <w:vAlign w:val="bottom"/>
            <w:hideMark/>
          </w:tcPr>
          <w:p w14:paraId="3293D54A" w14:textId="77777777" w:rsidR="005D0736" w:rsidRPr="005D0736" w:rsidRDefault="005D0736" w:rsidP="005D0736">
            <w:pPr>
              <w:jc w:val="center"/>
              <w:rPr>
                <w:color w:val="000000"/>
                <w:sz w:val="16"/>
                <w:szCs w:val="16"/>
              </w:rPr>
            </w:pPr>
            <w:r w:rsidRPr="005D0736">
              <w:rPr>
                <w:color w:val="000000"/>
                <w:sz w:val="16"/>
                <w:szCs w:val="16"/>
              </w:rPr>
              <w:t>0,00</w:t>
            </w:r>
          </w:p>
        </w:tc>
        <w:tc>
          <w:tcPr>
            <w:tcW w:w="595" w:type="dxa"/>
            <w:shd w:val="clear" w:color="000000" w:fill="FFF2CC"/>
            <w:noWrap/>
            <w:vAlign w:val="bottom"/>
            <w:hideMark/>
          </w:tcPr>
          <w:p w14:paraId="6C6A40C9" w14:textId="77777777" w:rsidR="005D0736" w:rsidRPr="005D0736" w:rsidRDefault="005D0736" w:rsidP="005D0736">
            <w:pPr>
              <w:jc w:val="center"/>
              <w:rPr>
                <w:color w:val="000000"/>
                <w:sz w:val="16"/>
                <w:szCs w:val="16"/>
              </w:rPr>
            </w:pPr>
            <w:r w:rsidRPr="005D0736">
              <w:rPr>
                <w:color w:val="000000"/>
                <w:sz w:val="16"/>
                <w:szCs w:val="16"/>
              </w:rPr>
              <w:t>1,00</w:t>
            </w:r>
          </w:p>
        </w:tc>
        <w:tc>
          <w:tcPr>
            <w:tcW w:w="576" w:type="dxa"/>
            <w:shd w:val="clear" w:color="000000" w:fill="E2EFDA"/>
            <w:noWrap/>
            <w:vAlign w:val="bottom"/>
            <w:hideMark/>
          </w:tcPr>
          <w:p w14:paraId="4344551B" w14:textId="77777777" w:rsidR="005D0736" w:rsidRPr="005D0736" w:rsidRDefault="005D0736" w:rsidP="005D0736">
            <w:pPr>
              <w:jc w:val="center"/>
              <w:rPr>
                <w:color w:val="000000"/>
                <w:sz w:val="16"/>
                <w:szCs w:val="16"/>
              </w:rPr>
            </w:pPr>
            <w:r w:rsidRPr="005D0736">
              <w:rPr>
                <w:color w:val="000000"/>
                <w:sz w:val="16"/>
                <w:szCs w:val="16"/>
              </w:rPr>
              <w:t>0,00</w:t>
            </w:r>
          </w:p>
        </w:tc>
        <w:tc>
          <w:tcPr>
            <w:tcW w:w="687" w:type="dxa"/>
            <w:shd w:val="clear" w:color="000000" w:fill="E2EFDA"/>
            <w:noWrap/>
            <w:vAlign w:val="bottom"/>
            <w:hideMark/>
          </w:tcPr>
          <w:p w14:paraId="2F81D0D7" w14:textId="77777777" w:rsidR="005D0736" w:rsidRPr="005D0736" w:rsidRDefault="005D0736" w:rsidP="005D0736">
            <w:pPr>
              <w:jc w:val="center"/>
              <w:rPr>
                <w:color w:val="000000"/>
                <w:sz w:val="16"/>
                <w:szCs w:val="16"/>
              </w:rPr>
            </w:pPr>
            <w:r w:rsidRPr="005D0736">
              <w:rPr>
                <w:color w:val="000000"/>
                <w:sz w:val="16"/>
                <w:szCs w:val="16"/>
              </w:rPr>
              <w:t>0,00</w:t>
            </w:r>
          </w:p>
        </w:tc>
        <w:tc>
          <w:tcPr>
            <w:tcW w:w="595" w:type="dxa"/>
            <w:shd w:val="clear" w:color="000000" w:fill="E2EFDA"/>
            <w:noWrap/>
            <w:vAlign w:val="bottom"/>
            <w:hideMark/>
          </w:tcPr>
          <w:p w14:paraId="22358E64" w14:textId="77777777" w:rsidR="005D0736" w:rsidRPr="005D0736" w:rsidRDefault="005D0736" w:rsidP="005D0736">
            <w:pPr>
              <w:jc w:val="center"/>
              <w:rPr>
                <w:color w:val="000000"/>
                <w:sz w:val="16"/>
                <w:szCs w:val="16"/>
              </w:rPr>
            </w:pPr>
            <w:r w:rsidRPr="005D0736">
              <w:rPr>
                <w:color w:val="000000"/>
                <w:sz w:val="16"/>
                <w:szCs w:val="16"/>
              </w:rPr>
              <w:t>0,00</w:t>
            </w:r>
          </w:p>
        </w:tc>
      </w:tr>
      <w:tr w:rsidR="005D0736" w:rsidRPr="005D0736" w14:paraId="4D974980" w14:textId="77777777" w:rsidTr="005D0736">
        <w:trPr>
          <w:trHeight w:val="20"/>
        </w:trPr>
        <w:tc>
          <w:tcPr>
            <w:tcW w:w="1617" w:type="dxa"/>
            <w:shd w:val="clear" w:color="auto" w:fill="auto"/>
            <w:noWrap/>
            <w:vAlign w:val="bottom"/>
            <w:hideMark/>
          </w:tcPr>
          <w:p w14:paraId="6A44686B" w14:textId="77777777" w:rsidR="005D0736" w:rsidRPr="005D0736" w:rsidRDefault="005D0736" w:rsidP="005D0736">
            <w:pPr>
              <w:rPr>
                <w:color w:val="000000"/>
                <w:sz w:val="16"/>
                <w:szCs w:val="16"/>
              </w:rPr>
            </w:pPr>
            <w:r w:rsidRPr="005D0736">
              <w:rPr>
                <w:color w:val="000000"/>
                <w:sz w:val="16"/>
                <w:szCs w:val="16"/>
              </w:rPr>
              <w:t>TANG</w:t>
            </w:r>
          </w:p>
        </w:tc>
        <w:tc>
          <w:tcPr>
            <w:tcW w:w="585" w:type="dxa"/>
            <w:shd w:val="clear" w:color="000000" w:fill="D9D9D9"/>
            <w:noWrap/>
            <w:vAlign w:val="bottom"/>
            <w:hideMark/>
          </w:tcPr>
          <w:p w14:paraId="5D66B067" w14:textId="77777777" w:rsidR="005D0736" w:rsidRPr="005D0736" w:rsidRDefault="005D0736" w:rsidP="005D0736">
            <w:pPr>
              <w:jc w:val="center"/>
              <w:rPr>
                <w:color w:val="000000"/>
                <w:sz w:val="16"/>
                <w:szCs w:val="16"/>
              </w:rPr>
            </w:pPr>
            <w:r w:rsidRPr="005D0736">
              <w:rPr>
                <w:color w:val="000000"/>
                <w:sz w:val="16"/>
                <w:szCs w:val="16"/>
              </w:rPr>
              <w:t>-0,01</w:t>
            </w:r>
          </w:p>
        </w:tc>
        <w:tc>
          <w:tcPr>
            <w:tcW w:w="688" w:type="dxa"/>
            <w:shd w:val="clear" w:color="000000" w:fill="D9D9D9"/>
            <w:noWrap/>
            <w:vAlign w:val="bottom"/>
            <w:hideMark/>
          </w:tcPr>
          <w:p w14:paraId="478A4FF6" w14:textId="77777777" w:rsidR="005D0736" w:rsidRPr="005D0736" w:rsidRDefault="005D0736" w:rsidP="005D0736">
            <w:pPr>
              <w:jc w:val="center"/>
              <w:rPr>
                <w:color w:val="000000"/>
                <w:sz w:val="16"/>
                <w:szCs w:val="16"/>
              </w:rPr>
            </w:pPr>
            <w:r w:rsidRPr="005D0736">
              <w:rPr>
                <w:color w:val="000000"/>
                <w:sz w:val="16"/>
                <w:szCs w:val="16"/>
              </w:rPr>
              <w:t>0,02</w:t>
            </w:r>
          </w:p>
        </w:tc>
        <w:tc>
          <w:tcPr>
            <w:tcW w:w="596" w:type="dxa"/>
            <w:shd w:val="clear" w:color="000000" w:fill="D9D9D9"/>
            <w:noWrap/>
            <w:vAlign w:val="bottom"/>
            <w:hideMark/>
          </w:tcPr>
          <w:p w14:paraId="202A6377" w14:textId="77777777" w:rsidR="005D0736" w:rsidRPr="005D0736" w:rsidRDefault="005D0736" w:rsidP="005D0736">
            <w:pPr>
              <w:jc w:val="center"/>
              <w:rPr>
                <w:color w:val="000000"/>
                <w:sz w:val="16"/>
                <w:szCs w:val="16"/>
              </w:rPr>
            </w:pPr>
            <w:r w:rsidRPr="005D0736">
              <w:rPr>
                <w:color w:val="000000"/>
                <w:sz w:val="16"/>
                <w:szCs w:val="16"/>
              </w:rPr>
              <w:t>0,50</w:t>
            </w:r>
          </w:p>
        </w:tc>
        <w:tc>
          <w:tcPr>
            <w:tcW w:w="577" w:type="dxa"/>
            <w:shd w:val="clear" w:color="000000" w:fill="DDEBF7"/>
            <w:noWrap/>
            <w:vAlign w:val="bottom"/>
            <w:hideMark/>
          </w:tcPr>
          <w:p w14:paraId="15369091" w14:textId="77777777" w:rsidR="005D0736" w:rsidRPr="005D0736" w:rsidRDefault="005D0736" w:rsidP="005D0736">
            <w:pPr>
              <w:jc w:val="center"/>
              <w:rPr>
                <w:color w:val="000000"/>
                <w:sz w:val="16"/>
                <w:szCs w:val="16"/>
              </w:rPr>
            </w:pPr>
            <w:r w:rsidRPr="005D0736">
              <w:rPr>
                <w:color w:val="000000"/>
                <w:sz w:val="16"/>
                <w:szCs w:val="16"/>
              </w:rPr>
              <w:t>-0,07</w:t>
            </w:r>
          </w:p>
        </w:tc>
        <w:tc>
          <w:tcPr>
            <w:tcW w:w="687" w:type="dxa"/>
            <w:shd w:val="clear" w:color="000000" w:fill="DDEBF7"/>
            <w:noWrap/>
            <w:vAlign w:val="bottom"/>
            <w:hideMark/>
          </w:tcPr>
          <w:p w14:paraId="6954D753" w14:textId="77777777" w:rsidR="005D0736" w:rsidRPr="005D0736" w:rsidRDefault="005D0736" w:rsidP="005D0736">
            <w:pPr>
              <w:jc w:val="center"/>
              <w:rPr>
                <w:color w:val="000000"/>
                <w:sz w:val="16"/>
                <w:szCs w:val="16"/>
              </w:rPr>
            </w:pPr>
            <w:r w:rsidRPr="005D0736">
              <w:rPr>
                <w:color w:val="000000"/>
                <w:sz w:val="16"/>
                <w:szCs w:val="16"/>
              </w:rPr>
              <w:t>0,02</w:t>
            </w:r>
          </w:p>
        </w:tc>
        <w:tc>
          <w:tcPr>
            <w:tcW w:w="595" w:type="dxa"/>
            <w:shd w:val="clear" w:color="000000" w:fill="DDEBF7"/>
            <w:noWrap/>
            <w:vAlign w:val="bottom"/>
            <w:hideMark/>
          </w:tcPr>
          <w:p w14:paraId="76D58462" w14:textId="77777777" w:rsidR="005D0736" w:rsidRPr="005D0736" w:rsidRDefault="005D0736" w:rsidP="005D0736">
            <w:pPr>
              <w:jc w:val="center"/>
              <w:rPr>
                <w:color w:val="000000"/>
                <w:sz w:val="16"/>
                <w:szCs w:val="16"/>
              </w:rPr>
            </w:pPr>
            <w:r w:rsidRPr="005D0736">
              <w:rPr>
                <w:color w:val="000000"/>
                <w:sz w:val="16"/>
                <w:szCs w:val="16"/>
              </w:rPr>
              <w:t>0,00</w:t>
            </w:r>
          </w:p>
        </w:tc>
        <w:tc>
          <w:tcPr>
            <w:tcW w:w="576" w:type="dxa"/>
            <w:shd w:val="clear" w:color="000000" w:fill="FFF2CC"/>
            <w:noWrap/>
            <w:vAlign w:val="bottom"/>
            <w:hideMark/>
          </w:tcPr>
          <w:p w14:paraId="78449FC1" w14:textId="77777777" w:rsidR="005D0736" w:rsidRPr="005D0736" w:rsidRDefault="005D0736" w:rsidP="005D0736">
            <w:pPr>
              <w:jc w:val="center"/>
              <w:rPr>
                <w:color w:val="000000"/>
                <w:sz w:val="16"/>
                <w:szCs w:val="16"/>
              </w:rPr>
            </w:pPr>
            <w:r w:rsidRPr="005D0736">
              <w:rPr>
                <w:color w:val="000000"/>
                <w:sz w:val="16"/>
                <w:szCs w:val="16"/>
              </w:rPr>
              <w:t>-0,01</w:t>
            </w:r>
          </w:p>
        </w:tc>
        <w:tc>
          <w:tcPr>
            <w:tcW w:w="687" w:type="dxa"/>
            <w:shd w:val="clear" w:color="000000" w:fill="FFF2CC"/>
            <w:noWrap/>
            <w:vAlign w:val="bottom"/>
            <w:hideMark/>
          </w:tcPr>
          <w:p w14:paraId="7BB1AE90" w14:textId="77777777" w:rsidR="005D0736" w:rsidRPr="005D0736" w:rsidRDefault="005D0736" w:rsidP="005D0736">
            <w:pPr>
              <w:jc w:val="center"/>
              <w:rPr>
                <w:color w:val="000000"/>
                <w:sz w:val="16"/>
                <w:szCs w:val="16"/>
              </w:rPr>
            </w:pPr>
            <w:r w:rsidRPr="005D0736">
              <w:rPr>
                <w:color w:val="000000"/>
                <w:sz w:val="16"/>
                <w:szCs w:val="16"/>
              </w:rPr>
              <w:t>0,01</w:t>
            </w:r>
          </w:p>
        </w:tc>
        <w:tc>
          <w:tcPr>
            <w:tcW w:w="595" w:type="dxa"/>
            <w:shd w:val="clear" w:color="000000" w:fill="FFF2CC"/>
            <w:noWrap/>
            <w:vAlign w:val="bottom"/>
            <w:hideMark/>
          </w:tcPr>
          <w:p w14:paraId="6A82C977" w14:textId="77777777" w:rsidR="005D0736" w:rsidRPr="005D0736" w:rsidRDefault="005D0736" w:rsidP="005D0736">
            <w:pPr>
              <w:jc w:val="center"/>
              <w:rPr>
                <w:color w:val="000000"/>
                <w:sz w:val="16"/>
                <w:szCs w:val="16"/>
              </w:rPr>
            </w:pPr>
            <w:r w:rsidRPr="005D0736">
              <w:rPr>
                <w:color w:val="000000"/>
                <w:sz w:val="16"/>
                <w:szCs w:val="16"/>
              </w:rPr>
              <w:t>0,10</w:t>
            </w:r>
          </w:p>
        </w:tc>
        <w:tc>
          <w:tcPr>
            <w:tcW w:w="576" w:type="dxa"/>
            <w:shd w:val="clear" w:color="000000" w:fill="E2EFDA"/>
            <w:noWrap/>
            <w:vAlign w:val="bottom"/>
            <w:hideMark/>
          </w:tcPr>
          <w:p w14:paraId="3677BD83" w14:textId="77777777" w:rsidR="005D0736" w:rsidRPr="005D0736" w:rsidRDefault="005D0736" w:rsidP="005D0736">
            <w:pPr>
              <w:jc w:val="center"/>
              <w:rPr>
                <w:color w:val="000000"/>
                <w:sz w:val="16"/>
                <w:szCs w:val="16"/>
              </w:rPr>
            </w:pPr>
            <w:r w:rsidRPr="005D0736">
              <w:rPr>
                <w:color w:val="000000"/>
                <w:sz w:val="16"/>
                <w:szCs w:val="16"/>
              </w:rPr>
              <w:t>0,01</w:t>
            </w:r>
          </w:p>
        </w:tc>
        <w:tc>
          <w:tcPr>
            <w:tcW w:w="687" w:type="dxa"/>
            <w:shd w:val="clear" w:color="000000" w:fill="E2EFDA"/>
            <w:noWrap/>
            <w:vAlign w:val="bottom"/>
            <w:hideMark/>
          </w:tcPr>
          <w:p w14:paraId="2AAE17EB" w14:textId="77777777" w:rsidR="005D0736" w:rsidRPr="005D0736" w:rsidRDefault="005D0736" w:rsidP="005D0736">
            <w:pPr>
              <w:jc w:val="center"/>
              <w:rPr>
                <w:color w:val="000000"/>
                <w:sz w:val="16"/>
                <w:szCs w:val="16"/>
              </w:rPr>
            </w:pPr>
            <w:r w:rsidRPr="005D0736">
              <w:rPr>
                <w:color w:val="000000"/>
                <w:sz w:val="16"/>
                <w:szCs w:val="16"/>
              </w:rPr>
              <w:t>0,00</w:t>
            </w:r>
          </w:p>
        </w:tc>
        <w:tc>
          <w:tcPr>
            <w:tcW w:w="595" w:type="dxa"/>
            <w:shd w:val="clear" w:color="000000" w:fill="E2EFDA"/>
            <w:noWrap/>
            <w:vAlign w:val="bottom"/>
            <w:hideMark/>
          </w:tcPr>
          <w:p w14:paraId="73D8573A" w14:textId="77777777" w:rsidR="005D0736" w:rsidRPr="005D0736" w:rsidRDefault="005D0736" w:rsidP="005D0736">
            <w:pPr>
              <w:jc w:val="center"/>
              <w:rPr>
                <w:color w:val="000000"/>
                <w:sz w:val="16"/>
                <w:szCs w:val="16"/>
              </w:rPr>
            </w:pPr>
            <w:r w:rsidRPr="005D0736">
              <w:rPr>
                <w:color w:val="000000"/>
                <w:sz w:val="16"/>
                <w:szCs w:val="16"/>
              </w:rPr>
              <w:t>0,00</w:t>
            </w:r>
          </w:p>
        </w:tc>
      </w:tr>
      <w:tr w:rsidR="005D0736" w:rsidRPr="005D0736" w14:paraId="1772E188" w14:textId="77777777" w:rsidTr="005D0736">
        <w:trPr>
          <w:trHeight w:val="20"/>
        </w:trPr>
        <w:tc>
          <w:tcPr>
            <w:tcW w:w="1617" w:type="dxa"/>
            <w:shd w:val="clear" w:color="auto" w:fill="auto"/>
            <w:noWrap/>
            <w:vAlign w:val="bottom"/>
            <w:hideMark/>
          </w:tcPr>
          <w:p w14:paraId="3FEB9009" w14:textId="77777777" w:rsidR="005D0736" w:rsidRPr="005D0736" w:rsidRDefault="005D0736" w:rsidP="005D0736">
            <w:pPr>
              <w:rPr>
                <w:color w:val="000000"/>
                <w:sz w:val="16"/>
                <w:szCs w:val="16"/>
              </w:rPr>
            </w:pPr>
            <w:r w:rsidRPr="005D0736">
              <w:rPr>
                <w:color w:val="000000"/>
                <w:sz w:val="16"/>
                <w:szCs w:val="16"/>
              </w:rPr>
              <w:t>LIQ</w:t>
            </w:r>
          </w:p>
        </w:tc>
        <w:tc>
          <w:tcPr>
            <w:tcW w:w="585" w:type="dxa"/>
            <w:shd w:val="clear" w:color="000000" w:fill="D9D9D9"/>
            <w:noWrap/>
            <w:vAlign w:val="bottom"/>
            <w:hideMark/>
          </w:tcPr>
          <w:p w14:paraId="4B018F9F" w14:textId="77777777" w:rsidR="005D0736" w:rsidRPr="005D0736" w:rsidRDefault="005D0736" w:rsidP="005D0736">
            <w:pPr>
              <w:jc w:val="center"/>
              <w:rPr>
                <w:color w:val="000000"/>
                <w:sz w:val="16"/>
                <w:szCs w:val="16"/>
              </w:rPr>
            </w:pPr>
            <w:r w:rsidRPr="005D0736">
              <w:rPr>
                <w:color w:val="000000"/>
                <w:sz w:val="16"/>
                <w:szCs w:val="16"/>
              </w:rPr>
              <w:t>0,00</w:t>
            </w:r>
          </w:p>
        </w:tc>
        <w:tc>
          <w:tcPr>
            <w:tcW w:w="688" w:type="dxa"/>
            <w:shd w:val="clear" w:color="000000" w:fill="D9D9D9"/>
            <w:noWrap/>
            <w:vAlign w:val="bottom"/>
            <w:hideMark/>
          </w:tcPr>
          <w:p w14:paraId="15EFA540" w14:textId="77777777" w:rsidR="005D0736" w:rsidRPr="005D0736" w:rsidRDefault="005D0736" w:rsidP="005D0736">
            <w:pPr>
              <w:jc w:val="center"/>
              <w:rPr>
                <w:color w:val="000000"/>
                <w:sz w:val="16"/>
                <w:szCs w:val="16"/>
              </w:rPr>
            </w:pPr>
            <w:r w:rsidRPr="005D0736">
              <w:rPr>
                <w:color w:val="000000"/>
                <w:sz w:val="16"/>
                <w:szCs w:val="16"/>
              </w:rPr>
              <w:t>0,00</w:t>
            </w:r>
          </w:p>
        </w:tc>
        <w:tc>
          <w:tcPr>
            <w:tcW w:w="596" w:type="dxa"/>
            <w:shd w:val="clear" w:color="000000" w:fill="D9D9D9"/>
            <w:noWrap/>
            <w:vAlign w:val="bottom"/>
            <w:hideMark/>
          </w:tcPr>
          <w:p w14:paraId="25A33D9A" w14:textId="77777777" w:rsidR="005D0736" w:rsidRPr="005D0736" w:rsidRDefault="005D0736" w:rsidP="005D0736">
            <w:pPr>
              <w:jc w:val="center"/>
              <w:rPr>
                <w:color w:val="000000"/>
                <w:sz w:val="16"/>
                <w:szCs w:val="16"/>
              </w:rPr>
            </w:pPr>
            <w:r w:rsidRPr="005D0736">
              <w:rPr>
                <w:color w:val="000000"/>
                <w:sz w:val="16"/>
                <w:szCs w:val="16"/>
              </w:rPr>
              <w:t>0,25</w:t>
            </w:r>
          </w:p>
        </w:tc>
        <w:tc>
          <w:tcPr>
            <w:tcW w:w="577" w:type="dxa"/>
            <w:shd w:val="clear" w:color="000000" w:fill="DDEBF7"/>
            <w:noWrap/>
            <w:vAlign w:val="bottom"/>
            <w:hideMark/>
          </w:tcPr>
          <w:p w14:paraId="027EFD03" w14:textId="77777777" w:rsidR="005D0736" w:rsidRPr="005D0736" w:rsidRDefault="005D0736" w:rsidP="005D0736">
            <w:pPr>
              <w:jc w:val="center"/>
              <w:rPr>
                <w:color w:val="000000"/>
                <w:sz w:val="16"/>
                <w:szCs w:val="16"/>
              </w:rPr>
            </w:pPr>
            <w:r w:rsidRPr="005D0736">
              <w:rPr>
                <w:color w:val="000000"/>
                <w:sz w:val="16"/>
                <w:szCs w:val="16"/>
              </w:rPr>
              <w:t>0,01</w:t>
            </w:r>
          </w:p>
        </w:tc>
        <w:tc>
          <w:tcPr>
            <w:tcW w:w="687" w:type="dxa"/>
            <w:shd w:val="clear" w:color="000000" w:fill="DDEBF7"/>
            <w:noWrap/>
            <w:vAlign w:val="bottom"/>
            <w:hideMark/>
          </w:tcPr>
          <w:p w14:paraId="5CBD1B2E" w14:textId="77777777" w:rsidR="005D0736" w:rsidRPr="005D0736" w:rsidRDefault="005D0736" w:rsidP="005D0736">
            <w:pPr>
              <w:jc w:val="center"/>
              <w:rPr>
                <w:color w:val="000000"/>
                <w:sz w:val="16"/>
                <w:szCs w:val="16"/>
              </w:rPr>
            </w:pPr>
            <w:r w:rsidRPr="005D0736">
              <w:rPr>
                <w:color w:val="000000"/>
                <w:sz w:val="16"/>
                <w:szCs w:val="16"/>
              </w:rPr>
              <w:t>0,00</w:t>
            </w:r>
          </w:p>
        </w:tc>
        <w:tc>
          <w:tcPr>
            <w:tcW w:w="595" w:type="dxa"/>
            <w:shd w:val="clear" w:color="000000" w:fill="DDEBF7"/>
            <w:noWrap/>
            <w:vAlign w:val="bottom"/>
            <w:hideMark/>
          </w:tcPr>
          <w:p w14:paraId="5DC88B4E" w14:textId="77777777" w:rsidR="005D0736" w:rsidRPr="005D0736" w:rsidRDefault="005D0736" w:rsidP="005D0736">
            <w:pPr>
              <w:jc w:val="center"/>
              <w:rPr>
                <w:color w:val="000000"/>
                <w:sz w:val="16"/>
                <w:szCs w:val="16"/>
              </w:rPr>
            </w:pPr>
            <w:r w:rsidRPr="005D0736">
              <w:rPr>
                <w:color w:val="000000"/>
                <w:sz w:val="16"/>
                <w:szCs w:val="16"/>
              </w:rPr>
              <w:t>0,00</w:t>
            </w:r>
          </w:p>
        </w:tc>
        <w:tc>
          <w:tcPr>
            <w:tcW w:w="576" w:type="dxa"/>
            <w:shd w:val="clear" w:color="000000" w:fill="FFF2CC"/>
            <w:noWrap/>
            <w:vAlign w:val="bottom"/>
            <w:hideMark/>
          </w:tcPr>
          <w:p w14:paraId="719506C6" w14:textId="77777777" w:rsidR="005D0736" w:rsidRPr="005D0736" w:rsidRDefault="005D0736" w:rsidP="005D0736">
            <w:pPr>
              <w:jc w:val="center"/>
              <w:rPr>
                <w:color w:val="000000"/>
                <w:sz w:val="16"/>
                <w:szCs w:val="16"/>
              </w:rPr>
            </w:pPr>
            <w:r w:rsidRPr="005D0736">
              <w:rPr>
                <w:color w:val="000000"/>
                <w:sz w:val="16"/>
                <w:szCs w:val="16"/>
              </w:rPr>
              <w:t>N/D</w:t>
            </w:r>
          </w:p>
        </w:tc>
        <w:tc>
          <w:tcPr>
            <w:tcW w:w="687" w:type="dxa"/>
            <w:shd w:val="clear" w:color="000000" w:fill="FFF2CC"/>
            <w:noWrap/>
            <w:vAlign w:val="bottom"/>
            <w:hideMark/>
          </w:tcPr>
          <w:p w14:paraId="7D31D928" w14:textId="77777777" w:rsidR="005D0736" w:rsidRPr="005D0736" w:rsidRDefault="005D0736" w:rsidP="005D0736">
            <w:pPr>
              <w:jc w:val="center"/>
              <w:rPr>
                <w:color w:val="000000"/>
                <w:sz w:val="16"/>
                <w:szCs w:val="16"/>
              </w:rPr>
            </w:pPr>
            <w:r w:rsidRPr="005D0736">
              <w:rPr>
                <w:color w:val="000000"/>
                <w:sz w:val="16"/>
                <w:szCs w:val="16"/>
              </w:rPr>
              <w:t>N/D</w:t>
            </w:r>
          </w:p>
        </w:tc>
        <w:tc>
          <w:tcPr>
            <w:tcW w:w="595" w:type="dxa"/>
            <w:shd w:val="clear" w:color="000000" w:fill="FFF2CC"/>
            <w:noWrap/>
            <w:vAlign w:val="bottom"/>
            <w:hideMark/>
          </w:tcPr>
          <w:p w14:paraId="7C64BDDA" w14:textId="77777777" w:rsidR="005D0736" w:rsidRPr="005D0736" w:rsidRDefault="005D0736" w:rsidP="005D0736">
            <w:pPr>
              <w:jc w:val="center"/>
              <w:rPr>
                <w:color w:val="000000"/>
                <w:sz w:val="16"/>
                <w:szCs w:val="16"/>
              </w:rPr>
            </w:pPr>
            <w:r w:rsidRPr="005D0736">
              <w:rPr>
                <w:color w:val="000000"/>
                <w:sz w:val="16"/>
                <w:szCs w:val="16"/>
              </w:rPr>
              <w:t>N/D</w:t>
            </w:r>
          </w:p>
        </w:tc>
        <w:tc>
          <w:tcPr>
            <w:tcW w:w="576" w:type="dxa"/>
            <w:shd w:val="clear" w:color="000000" w:fill="E2EFDA"/>
            <w:noWrap/>
            <w:vAlign w:val="bottom"/>
            <w:hideMark/>
          </w:tcPr>
          <w:p w14:paraId="3FD44ACF" w14:textId="77777777" w:rsidR="005D0736" w:rsidRPr="005D0736" w:rsidRDefault="005D0736" w:rsidP="005D0736">
            <w:pPr>
              <w:jc w:val="center"/>
              <w:rPr>
                <w:color w:val="000000"/>
                <w:sz w:val="16"/>
                <w:szCs w:val="16"/>
              </w:rPr>
            </w:pPr>
            <w:r w:rsidRPr="005D0736">
              <w:rPr>
                <w:color w:val="000000"/>
                <w:sz w:val="16"/>
                <w:szCs w:val="16"/>
              </w:rPr>
              <w:t>N/D</w:t>
            </w:r>
          </w:p>
        </w:tc>
        <w:tc>
          <w:tcPr>
            <w:tcW w:w="687" w:type="dxa"/>
            <w:shd w:val="clear" w:color="000000" w:fill="E2EFDA"/>
            <w:noWrap/>
            <w:vAlign w:val="bottom"/>
            <w:hideMark/>
          </w:tcPr>
          <w:p w14:paraId="4E46AF5B" w14:textId="77777777" w:rsidR="005D0736" w:rsidRPr="005D0736" w:rsidRDefault="005D0736" w:rsidP="005D0736">
            <w:pPr>
              <w:jc w:val="center"/>
              <w:rPr>
                <w:color w:val="000000"/>
                <w:sz w:val="16"/>
                <w:szCs w:val="16"/>
              </w:rPr>
            </w:pPr>
            <w:r w:rsidRPr="005D0736">
              <w:rPr>
                <w:color w:val="000000"/>
                <w:sz w:val="16"/>
                <w:szCs w:val="16"/>
              </w:rPr>
              <w:t>N/D</w:t>
            </w:r>
          </w:p>
        </w:tc>
        <w:tc>
          <w:tcPr>
            <w:tcW w:w="595" w:type="dxa"/>
            <w:shd w:val="clear" w:color="000000" w:fill="E2EFDA"/>
            <w:noWrap/>
            <w:vAlign w:val="bottom"/>
            <w:hideMark/>
          </w:tcPr>
          <w:p w14:paraId="08C20CD4" w14:textId="77777777" w:rsidR="005D0736" w:rsidRPr="005D0736" w:rsidRDefault="005D0736" w:rsidP="005D0736">
            <w:pPr>
              <w:jc w:val="center"/>
              <w:rPr>
                <w:color w:val="000000"/>
                <w:sz w:val="16"/>
                <w:szCs w:val="16"/>
              </w:rPr>
            </w:pPr>
            <w:r w:rsidRPr="005D0736">
              <w:rPr>
                <w:color w:val="000000"/>
                <w:sz w:val="16"/>
                <w:szCs w:val="16"/>
              </w:rPr>
              <w:t>N/D</w:t>
            </w:r>
          </w:p>
        </w:tc>
      </w:tr>
      <w:tr w:rsidR="005D0736" w:rsidRPr="005D0736" w14:paraId="109249B0" w14:textId="77777777" w:rsidTr="005D0736">
        <w:trPr>
          <w:trHeight w:val="20"/>
        </w:trPr>
        <w:tc>
          <w:tcPr>
            <w:tcW w:w="1617" w:type="dxa"/>
            <w:shd w:val="clear" w:color="auto" w:fill="auto"/>
            <w:noWrap/>
            <w:vAlign w:val="bottom"/>
            <w:hideMark/>
          </w:tcPr>
          <w:p w14:paraId="2D42E0F2" w14:textId="77777777" w:rsidR="005D0736" w:rsidRPr="005D0736" w:rsidRDefault="005D0736" w:rsidP="005D0736">
            <w:pPr>
              <w:rPr>
                <w:color w:val="000000"/>
                <w:sz w:val="16"/>
                <w:szCs w:val="16"/>
              </w:rPr>
            </w:pPr>
            <w:r w:rsidRPr="005D0736">
              <w:rPr>
                <w:color w:val="000000"/>
                <w:sz w:val="16"/>
                <w:szCs w:val="16"/>
              </w:rPr>
              <w:t>RISCO</w:t>
            </w:r>
          </w:p>
        </w:tc>
        <w:tc>
          <w:tcPr>
            <w:tcW w:w="585" w:type="dxa"/>
            <w:shd w:val="clear" w:color="000000" w:fill="D9D9D9"/>
            <w:noWrap/>
            <w:vAlign w:val="bottom"/>
            <w:hideMark/>
          </w:tcPr>
          <w:p w14:paraId="79BC62C7" w14:textId="77777777" w:rsidR="005D0736" w:rsidRPr="005D0736" w:rsidRDefault="005D0736" w:rsidP="005D0736">
            <w:pPr>
              <w:jc w:val="center"/>
              <w:rPr>
                <w:color w:val="000000"/>
                <w:sz w:val="16"/>
                <w:szCs w:val="16"/>
              </w:rPr>
            </w:pPr>
            <w:r w:rsidRPr="005D0736">
              <w:rPr>
                <w:color w:val="000000"/>
                <w:sz w:val="16"/>
                <w:szCs w:val="16"/>
              </w:rPr>
              <w:t>0,00</w:t>
            </w:r>
          </w:p>
        </w:tc>
        <w:tc>
          <w:tcPr>
            <w:tcW w:w="688" w:type="dxa"/>
            <w:shd w:val="clear" w:color="000000" w:fill="D9D9D9"/>
            <w:noWrap/>
            <w:vAlign w:val="bottom"/>
            <w:hideMark/>
          </w:tcPr>
          <w:p w14:paraId="4B265558" w14:textId="77777777" w:rsidR="005D0736" w:rsidRPr="005D0736" w:rsidRDefault="005D0736" w:rsidP="005D0736">
            <w:pPr>
              <w:jc w:val="center"/>
              <w:rPr>
                <w:color w:val="000000"/>
                <w:sz w:val="16"/>
                <w:szCs w:val="16"/>
              </w:rPr>
            </w:pPr>
            <w:r w:rsidRPr="005D0736">
              <w:rPr>
                <w:color w:val="000000"/>
                <w:sz w:val="16"/>
                <w:szCs w:val="16"/>
              </w:rPr>
              <w:t>0,00</w:t>
            </w:r>
          </w:p>
        </w:tc>
        <w:tc>
          <w:tcPr>
            <w:tcW w:w="596" w:type="dxa"/>
            <w:shd w:val="clear" w:color="000000" w:fill="D9D9D9"/>
            <w:noWrap/>
            <w:vAlign w:val="bottom"/>
            <w:hideMark/>
          </w:tcPr>
          <w:p w14:paraId="18A4DDEC" w14:textId="77777777" w:rsidR="005D0736" w:rsidRPr="005D0736" w:rsidRDefault="005D0736" w:rsidP="005D0736">
            <w:pPr>
              <w:jc w:val="center"/>
              <w:rPr>
                <w:color w:val="000000"/>
                <w:sz w:val="16"/>
                <w:szCs w:val="16"/>
              </w:rPr>
            </w:pPr>
            <w:r w:rsidRPr="005D0736">
              <w:rPr>
                <w:color w:val="000000"/>
                <w:sz w:val="16"/>
                <w:szCs w:val="16"/>
              </w:rPr>
              <w:t>0,00</w:t>
            </w:r>
          </w:p>
        </w:tc>
        <w:tc>
          <w:tcPr>
            <w:tcW w:w="577" w:type="dxa"/>
            <w:shd w:val="clear" w:color="000000" w:fill="DDEBF7"/>
            <w:noWrap/>
            <w:vAlign w:val="bottom"/>
            <w:hideMark/>
          </w:tcPr>
          <w:p w14:paraId="07E26F1E" w14:textId="77777777" w:rsidR="005D0736" w:rsidRPr="005D0736" w:rsidRDefault="005D0736" w:rsidP="005D0736">
            <w:pPr>
              <w:jc w:val="center"/>
              <w:rPr>
                <w:color w:val="000000"/>
                <w:sz w:val="16"/>
                <w:szCs w:val="16"/>
              </w:rPr>
            </w:pPr>
            <w:r w:rsidRPr="005D0736">
              <w:rPr>
                <w:color w:val="000000"/>
                <w:sz w:val="16"/>
                <w:szCs w:val="16"/>
              </w:rPr>
              <w:t>0,00</w:t>
            </w:r>
          </w:p>
        </w:tc>
        <w:tc>
          <w:tcPr>
            <w:tcW w:w="687" w:type="dxa"/>
            <w:shd w:val="clear" w:color="000000" w:fill="DDEBF7"/>
            <w:noWrap/>
            <w:vAlign w:val="bottom"/>
            <w:hideMark/>
          </w:tcPr>
          <w:p w14:paraId="14CD9736" w14:textId="77777777" w:rsidR="005D0736" w:rsidRPr="005D0736" w:rsidRDefault="005D0736" w:rsidP="005D0736">
            <w:pPr>
              <w:jc w:val="center"/>
              <w:rPr>
                <w:color w:val="000000"/>
                <w:sz w:val="16"/>
                <w:szCs w:val="16"/>
              </w:rPr>
            </w:pPr>
            <w:r w:rsidRPr="005D0736">
              <w:rPr>
                <w:color w:val="000000"/>
                <w:sz w:val="16"/>
                <w:szCs w:val="16"/>
              </w:rPr>
              <w:t>0,00</w:t>
            </w:r>
          </w:p>
        </w:tc>
        <w:tc>
          <w:tcPr>
            <w:tcW w:w="595" w:type="dxa"/>
            <w:shd w:val="clear" w:color="000000" w:fill="DDEBF7"/>
            <w:noWrap/>
            <w:vAlign w:val="bottom"/>
            <w:hideMark/>
          </w:tcPr>
          <w:p w14:paraId="2E2EA6C5" w14:textId="77777777" w:rsidR="005D0736" w:rsidRPr="005D0736" w:rsidRDefault="005D0736" w:rsidP="005D0736">
            <w:pPr>
              <w:jc w:val="center"/>
              <w:rPr>
                <w:color w:val="000000"/>
                <w:sz w:val="16"/>
                <w:szCs w:val="16"/>
              </w:rPr>
            </w:pPr>
            <w:r w:rsidRPr="005D0736">
              <w:rPr>
                <w:color w:val="000000"/>
                <w:sz w:val="16"/>
                <w:szCs w:val="16"/>
              </w:rPr>
              <w:t>0,65</w:t>
            </w:r>
          </w:p>
        </w:tc>
        <w:tc>
          <w:tcPr>
            <w:tcW w:w="576" w:type="dxa"/>
            <w:shd w:val="clear" w:color="000000" w:fill="FFF2CC"/>
            <w:noWrap/>
            <w:vAlign w:val="bottom"/>
            <w:hideMark/>
          </w:tcPr>
          <w:p w14:paraId="4EC0973A" w14:textId="77777777" w:rsidR="005D0736" w:rsidRPr="005D0736" w:rsidRDefault="005D0736" w:rsidP="005D0736">
            <w:pPr>
              <w:jc w:val="center"/>
              <w:rPr>
                <w:color w:val="000000"/>
                <w:sz w:val="16"/>
                <w:szCs w:val="16"/>
              </w:rPr>
            </w:pPr>
            <w:r w:rsidRPr="005D0736">
              <w:rPr>
                <w:color w:val="000000"/>
                <w:sz w:val="16"/>
                <w:szCs w:val="16"/>
              </w:rPr>
              <w:t>N/D</w:t>
            </w:r>
          </w:p>
        </w:tc>
        <w:tc>
          <w:tcPr>
            <w:tcW w:w="687" w:type="dxa"/>
            <w:shd w:val="clear" w:color="000000" w:fill="FFF2CC"/>
            <w:noWrap/>
            <w:vAlign w:val="bottom"/>
            <w:hideMark/>
          </w:tcPr>
          <w:p w14:paraId="4D7666BC" w14:textId="77777777" w:rsidR="005D0736" w:rsidRPr="005D0736" w:rsidRDefault="005D0736" w:rsidP="005D0736">
            <w:pPr>
              <w:jc w:val="center"/>
              <w:rPr>
                <w:color w:val="000000"/>
                <w:sz w:val="16"/>
                <w:szCs w:val="16"/>
              </w:rPr>
            </w:pPr>
            <w:r w:rsidRPr="005D0736">
              <w:rPr>
                <w:color w:val="000000"/>
                <w:sz w:val="16"/>
                <w:szCs w:val="16"/>
              </w:rPr>
              <w:t>N/D</w:t>
            </w:r>
          </w:p>
        </w:tc>
        <w:tc>
          <w:tcPr>
            <w:tcW w:w="595" w:type="dxa"/>
            <w:shd w:val="clear" w:color="000000" w:fill="FFF2CC"/>
            <w:noWrap/>
            <w:vAlign w:val="bottom"/>
            <w:hideMark/>
          </w:tcPr>
          <w:p w14:paraId="52500BE5" w14:textId="77777777" w:rsidR="005D0736" w:rsidRPr="005D0736" w:rsidRDefault="005D0736" w:rsidP="005D0736">
            <w:pPr>
              <w:jc w:val="center"/>
              <w:rPr>
                <w:color w:val="000000"/>
                <w:sz w:val="16"/>
                <w:szCs w:val="16"/>
              </w:rPr>
            </w:pPr>
            <w:r w:rsidRPr="005D0736">
              <w:rPr>
                <w:color w:val="000000"/>
                <w:sz w:val="16"/>
                <w:szCs w:val="16"/>
              </w:rPr>
              <w:t>N/D</w:t>
            </w:r>
          </w:p>
        </w:tc>
        <w:tc>
          <w:tcPr>
            <w:tcW w:w="576" w:type="dxa"/>
            <w:shd w:val="clear" w:color="000000" w:fill="E2EFDA"/>
            <w:noWrap/>
            <w:vAlign w:val="bottom"/>
            <w:hideMark/>
          </w:tcPr>
          <w:p w14:paraId="63E5229C" w14:textId="77777777" w:rsidR="005D0736" w:rsidRPr="005D0736" w:rsidRDefault="005D0736" w:rsidP="005D0736">
            <w:pPr>
              <w:jc w:val="center"/>
              <w:rPr>
                <w:color w:val="000000"/>
                <w:sz w:val="16"/>
                <w:szCs w:val="16"/>
              </w:rPr>
            </w:pPr>
            <w:r w:rsidRPr="005D0736">
              <w:rPr>
                <w:color w:val="000000"/>
                <w:sz w:val="16"/>
                <w:szCs w:val="16"/>
              </w:rPr>
              <w:t>N/D</w:t>
            </w:r>
          </w:p>
        </w:tc>
        <w:tc>
          <w:tcPr>
            <w:tcW w:w="687" w:type="dxa"/>
            <w:shd w:val="clear" w:color="000000" w:fill="E2EFDA"/>
            <w:noWrap/>
            <w:vAlign w:val="bottom"/>
            <w:hideMark/>
          </w:tcPr>
          <w:p w14:paraId="686DB361" w14:textId="77777777" w:rsidR="005D0736" w:rsidRPr="005D0736" w:rsidRDefault="005D0736" w:rsidP="005D0736">
            <w:pPr>
              <w:jc w:val="center"/>
              <w:rPr>
                <w:color w:val="000000"/>
                <w:sz w:val="16"/>
                <w:szCs w:val="16"/>
              </w:rPr>
            </w:pPr>
            <w:r w:rsidRPr="005D0736">
              <w:rPr>
                <w:color w:val="000000"/>
                <w:sz w:val="16"/>
                <w:szCs w:val="16"/>
              </w:rPr>
              <w:t>N/D</w:t>
            </w:r>
          </w:p>
        </w:tc>
        <w:tc>
          <w:tcPr>
            <w:tcW w:w="595" w:type="dxa"/>
            <w:shd w:val="clear" w:color="000000" w:fill="E2EFDA"/>
            <w:noWrap/>
            <w:vAlign w:val="bottom"/>
            <w:hideMark/>
          </w:tcPr>
          <w:p w14:paraId="538781FB" w14:textId="77777777" w:rsidR="005D0736" w:rsidRPr="005D0736" w:rsidRDefault="005D0736" w:rsidP="005D0736">
            <w:pPr>
              <w:jc w:val="center"/>
              <w:rPr>
                <w:color w:val="000000"/>
                <w:sz w:val="16"/>
                <w:szCs w:val="16"/>
              </w:rPr>
            </w:pPr>
            <w:r w:rsidRPr="005D0736">
              <w:rPr>
                <w:color w:val="000000"/>
                <w:sz w:val="16"/>
                <w:szCs w:val="16"/>
              </w:rPr>
              <w:t>N/D</w:t>
            </w:r>
          </w:p>
        </w:tc>
      </w:tr>
      <w:tr w:rsidR="005D0736" w:rsidRPr="005D0736" w14:paraId="18E69224" w14:textId="77777777" w:rsidTr="005D0736">
        <w:trPr>
          <w:trHeight w:val="20"/>
        </w:trPr>
        <w:tc>
          <w:tcPr>
            <w:tcW w:w="1617" w:type="dxa"/>
            <w:shd w:val="clear" w:color="auto" w:fill="auto"/>
            <w:noWrap/>
            <w:vAlign w:val="bottom"/>
            <w:hideMark/>
          </w:tcPr>
          <w:p w14:paraId="57218DB3" w14:textId="77777777" w:rsidR="005D0736" w:rsidRPr="005D0736" w:rsidRDefault="005D0736" w:rsidP="005D0736">
            <w:pPr>
              <w:rPr>
                <w:color w:val="000000"/>
                <w:sz w:val="16"/>
                <w:szCs w:val="16"/>
              </w:rPr>
            </w:pPr>
            <w:r w:rsidRPr="005D0736">
              <w:rPr>
                <w:color w:val="000000"/>
                <w:sz w:val="16"/>
                <w:szCs w:val="16"/>
              </w:rPr>
              <w:t>TROF</w:t>
            </w:r>
          </w:p>
        </w:tc>
        <w:tc>
          <w:tcPr>
            <w:tcW w:w="585" w:type="dxa"/>
            <w:shd w:val="clear" w:color="000000" w:fill="D9D9D9"/>
            <w:noWrap/>
            <w:vAlign w:val="bottom"/>
            <w:hideMark/>
          </w:tcPr>
          <w:p w14:paraId="3D45DEAC" w14:textId="77777777" w:rsidR="005D0736" w:rsidRPr="005D0736" w:rsidRDefault="005D0736" w:rsidP="005D0736">
            <w:pPr>
              <w:jc w:val="center"/>
              <w:rPr>
                <w:color w:val="000000"/>
                <w:sz w:val="16"/>
                <w:szCs w:val="16"/>
              </w:rPr>
            </w:pPr>
            <w:r w:rsidRPr="005D0736">
              <w:rPr>
                <w:color w:val="000000"/>
                <w:sz w:val="16"/>
                <w:szCs w:val="16"/>
              </w:rPr>
              <w:t>0,00</w:t>
            </w:r>
          </w:p>
        </w:tc>
        <w:tc>
          <w:tcPr>
            <w:tcW w:w="688" w:type="dxa"/>
            <w:shd w:val="clear" w:color="000000" w:fill="D9D9D9"/>
            <w:noWrap/>
            <w:vAlign w:val="bottom"/>
            <w:hideMark/>
          </w:tcPr>
          <w:p w14:paraId="3C7C53BC" w14:textId="77777777" w:rsidR="005D0736" w:rsidRPr="005D0736" w:rsidRDefault="005D0736" w:rsidP="005D0736">
            <w:pPr>
              <w:jc w:val="center"/>
              <w:rPr>
                <w:color w:val="000000"/>
                <w:sz w:val="16"/>
                <w:szCs w:val="16"/>
              </w:rPr>
            </w:pPr>
            <w:r w:rsidRPr="005D0736">
              <w:rPr>
                <w:color w:val="000000"/>
                <w:sz w:val="16"/>
                <w:szCs w:val="16"/>
              </w:rPr>
              <w:t>0,00</w:t>
            </w:r>
          </w:p>
        </w:tc>
        <w:tc>
          <w:tcPr>
            <w:tcW w:w="596" w:type="dxa"/>
            <w:shd w:val="clear" w:color="000000" w:fill="D9D9D9"/>
            <w:noWrap/>
            <w:vAlign w:val="bottom"/>
            <w:hideMark/>
          </w:tcPr>
          <w:p w14:paraId="08A538AE" w14:textId="77777777" w:rsidR="005D0736" w:rsidRPr="005D0736" w:rsidRDefault="005D0736" w:rsidP="005D0736">
            <w:pPr>
              <w:jc w:val="center"/>
              <w:rPr>
                <w:color w:val="000000"/>
                <w:sz w:val="16"/>
                <w:szCs w:val="16"/>
              </w:rPr>
            </w:pPr>
            <w:r w:rsidRPr="005D0736">
              <w:rPr>
                <w:color w:val="000000"/>
                <w:sz w:val="16"/>
                <w:szCs w:val="16"/>
              </w:rPr>
              <w:t>0,51</w:t>
            </w:r>
          </w:p>
        </w:tc>
        <w:tc>
          <w:tcPr>
            <w:tcW w:w="577" w:type="dxa"/>
            <w:shd w:val="clear" w:color="000000" w:fill="DDEBF7"/>
            <w:noWrap/>
            <w:vAlign w:val="bottom"/>
            <w:hideMark/>
          </w:tcPr>
          <w:p w14:paraId="457C1578" w14:textId="77777777" w:rsidR="005D0736" w:rsidRPr="005D0736" w:rsidRDefault="005D0736" w:rsidP="005D0736">
            <w:pPr>
              <w:jc w:val="center"/>
              <w:rPr>
                <w:color w:val="000000"/>
                <w:sz w:val="16"/>
                <w:szCs w:val="16"/>
              </w:rPr>
            </w:pPr>
            <w:r w:rsidRPr="005D0736">
              <w:rPr>
                <w:color w:val="000000"/>
                <w:sz w:val="16"/>
                <w:szCs w:val="16"/>
              </w:rPr>
              <w:t>-0,01</w:t>
            </w:r>
          </w:p>
        </w:tc>
        <w:tc>
          <w:tcPr>
            <w:tcW w:w="687" w:type="dxa"/>
            <w:shd w:val="clear" w:color="000000" w:fill="DDEBF7"/>
            <w:noWrap/>
            <w:vAlign w:val="bottom"/>
            <w:hideMark/>
          </w:tcPr>
          <w:p w14:paraId="44508784" w14:textId="77777777" w:rsidR="005D0736" w:rsidRPr="005D0736" w:rsidRDefault="005D0736" w:rsidP="005D0736">
            <w:pPr>
              <w:jc w:val="center"/>
              <w:rPr>
                <w:color w:val="000000"/>
                <w:sz w:val="16"/>
                <w:szCs w:val="16"/>
              </w:rPr>
            </w:pPr>
            <w:r w:rsidRPr="005D0736">
              <w:rPr>
                <w:color w:val="000000"/>
                <w:sz w:val="16"/>
                <w:szCs w:val="16"/>
              </w:rPr>
              <w:t>0,00</w:t>
            </w:r>
          </w:p>
        </w:tc>
        <w:tc>
          <w:tcPr>
            <w:tcW w:w="595" w:type="dxa"/>
            <w:shd w:val="clear" w:color="000000" w:fill="DDEBF7"/>
            <w:noWrap/>
            <w:vAlign w:val="bottom"/>
            <w:hideMark/>
          </w:tcPr>
          <w:p w14:paraId="606BB482" w14:textId="77777777" w:rsidR="005D0736" w:rsidRPr="005D0736" w:rsidRDefault="005D0736" w:rsidP="005D0736">
            <w:pPr>
              <w:jc w:val="center"/>
              <w:rPr>
                <w:color w:val="000000"/>
                <w:sz w:val="16"/>
                <w:szCs w:val="16"/>
              </w:rPr>
            </w:pPr>
            <w:r w:rsidRPr="005D0736">
              <w:rPr>
                <w:color w:val="000000"/>
                <w:sz w:val="16"/>
                <w:szCs w:val="16"/>
              </w:rPr>
              <w:t>0,01</w:t>
            </w:r>
          </w:p>
        </w:tc>
        <w:tc>
          <w:tcPr>
            <w:tcW w:w="576" w:type="dxa"/>
            <w:shd w:val="clear" w:color="000000" w:fill="FFF2CC"/>
            <w:noWrap/>
            <w:vAlign w:val="bottom"/>
            <w:hideMark/>
          </w:tcPr>
          <w:p w14:paraId="1EF8CC1A" w14:textId="77777777" w:rsidR="005D0736" w:rsidRPr="005D0736" w:rsidRDefault="005D0736" w:rsidP="005D0736">
            <w:pPr>
              <w:jc w:val="center"/>
              <w:rPr>
                <w:color w:val="000000"/>
                <w:sz w:val="16"/>
                <w:szCs w:val="16"/>
              </w:rPr>
            </w:pPr>
            <w:r w:rsidRPr="005D0736">
              <w:rPr>
                <w:color w:val="000000"/>
                <w:sz w:val="16"/>
                <w:szCs w:val="16"/>
              </w:rPr>
              <w:t>N/D</w:t>
            </w:r>
          </w:p>
        </w:tc>
        <w:tc>
          <w:tcPr>
            <w:tcW w:w="687" w:type="dxa"/>
            <w:shd w:val="clear" w:color="000000" w:fill="FFF2CC"/>
            <w:noWrap/>
            <w:vAlign w:val="bottom"/>
            <w:hideMark/>
          </w:tcPr>
          <w:p w14:paraId="49BAB200" w14:textId="77777777" w:rsidR="005D0736" w:rsidRPr="005D0736" w:rsidRDefault="005D0736" w:rsidP="005D0736">
            <w:pPr>
              <w:jc w:val="center"/>
              <w:rPr>
                <w:color w:val="000000"/>
                <w:sz w:val="16"/>
                <w:szCs w:val="16"/>
              </w:rPr>
            </w:pPr>
            <w:r w:rsidRPr="005D0736">
              <w:rPr>
                <w:color w:val="000000"/>
                <w:sz w:val="16"/>
                <w:szCs w:val="16"/>
              </w:rPr>
              <w:t>N/D</w:t>
            </w:r>
          </w:p>
        </w:tc>
        <w:tc>
          <w:tcPr>
            <w:tcW w:w="595" w:type="dxa"/>
            <w:shd w:val="clear" w:color="000000" w:fill="FFF2CC"/>
            <w:noWrap/>
            <w:vAlign w:val="bottom"/>
            <w:hideMark/>
          </w:tcPr>
          <w:p w14:paraId="1A4B7874" w14:textId="77777777" w:rsidR="005D0736" w:rsidRPr="005D0736" w:rsidRDefault="005D0736" w:rsidP="005D0736">
            <w:pPr>
              <w:jc w:val="center"/>
              <w:rPr>
                <w:color w:val="000000"/>
                <w:sz w:val="16"/>
                <w:szCs w:val="16"/>
              </w:rPr>
            </w:pPr>
            <w:r w:rsidRPr="005D0736">
              <w:rPr>
                <w:color w:val="000000"/>
                <w:sz w:val="16"/>
                <w:szCs w:val="16"/>
              </w:rPr>
              <w:t>N/D</w:t>
            </w:r>
          </w:p>
        </w:tc>
        <w:tc>
          <w:tcPr>
            <w:tcW w:w="576" w:type="dxa"/>
            <w:shd w:val="clear" w:color="000000" w:fill="E2EFDA"/>
            <w:noWrap/>
            <w:vAlign w:val="bottom"/>
            <w:hideMark/>
          </w:tcPr>
          <w:p w14:paraId="5C58B46F" w14:textId="77777777" w:rsidR="005D0736" w:rsidRPr="005D0736" w:rsidRDefault="005D0736" w:rsidP="005D0736">
            <w:pPr>
              <w:jc w:val="center"/>
              <w:rPr>
                <w:color w:val="000000"/>
                <w:sz w:val="16"/>
                <w:szCs w:val="16"/>
              </w:rPr>
            </w:pPr>
            <w:r w:rsidRPr="005D0736">
              <w:rPr>
                <w:color w:val="000000"/>
                <w:sz w:val="16"/>
                <w:szCs w:val="16"/>
              </w:rPr>
              <w:t>N/D</w:t>
            </w:r>
          </w:p>
        </w:tc>
        <w:tc>
          <w:tcPr>
            <w:tcW w:w="687" w:type="dxa"/>
            <w:shd w:val="clear" w:color="000000" w:fill="E2EFDA"/>
            <w:noWrap/>
            <w:vAlign w:val="bottom"/>
            <w:hideMark/>
          </w:tcPr>
          <w:p w14:paraId="520EEC4D" w14:textId="77777777" w:rsidR="005D0736" w:rsidRPr="005D0736" w:rsidRDefault="005D0736" w:rsidP="005D0736">
            <w:pPr>
              <w:jc w:val="center"/>
              <w:rPr>
                <w:color w:val="000000"/>
                <w:sz w:val="16"/>
                <w:szCs w:val="16"/>
              </w:rPr>
            </w:pPr>
            <w:r w:rsidRPr="005D0736">
              <w:rPr>
                <w:color w:val="000000"/>
                <w:sz w:val="16"/>
                <w:szCs w:val="16"/>
              </w:rPr>
              <w:t>N/D</w:t>
            </w:r>
          </w:p>
        </w:tc>
        <w:tc>
          <w:tcPr>
            <w:tcW w:w="595" w:type="dxa"/>
            <w:shd w:val="clear" w:color="000000" w:fill="E2EFDA"/>
            <w:noWrap/>
            <w:vAlign w:val="bottom"/>
            <w:hideMark/>
          </w:tcPr>
          <w:p w14:paraId="218C27FB" w14:textId="77777777" w:rsidR="005D0736" w:rsidRPr="005D0736" w:rsidRDefault="005D0736" w:rsidP="005D0736">
            <w:pPr>
              <w:jc w:val="center"/>
              <w:rPr>
                <w:color w:val="000000"/>
                <w:sz w:val="16"/>
                <w:szCs w:val="16"/>
              </w:rPr>
            </w:pPr>
            <w:r w:rsidRPr="005D0736">
              <w:rPr>
                <w:color w:val="000000"/>
                <w:sz w:val="16"/>
                <w:szCs w:val="16"/>
              </w:rPr>
              <w:t>N/D</w:t>
            </w:r>
          </w:p>
        </w:tc>
      </w:tr>
      <w:tr w:rsidR="005D0736" w:rsidRPr="005D0736" w14:paraId="3270F444" w14:textId="77777777" w:rsidTr="005D0736">
        <w:trPr>
          <w:trHeight w:val="20"/>
        </w:trPr>
        <w:tc>
          <w:tcPr>
            <w:tcW w:w="1617" w:type="dxa"/>
            <w:shd w:val="clear" w:color="auto" w:fill="auto"/>
            <w:noWrap/>
            <w:vAlign w:val="bottom"/>
            <w:hideMark/>
          </w:tcPr>
          <w:p w14:paraId="60812D44" w14:textId="77777777" w:rsidR="005D0736" w:rsidRPr="005D0736" w:rsidRDefault="005D0736" w:rsidP="005D0736">
            <w:pPr>
              <w:rPr>
                <w:color w:val="000000"/>
                <w:sz w:val="16"/>
                <w:szCs w:val="16"/>
              </w:rPr>
            </w:pPr>
            <w:r w:rsidRPr="005D0736">
              <w:rPr>
                <w:color w:val="000000"/>
                <w:sz w:val="16"/>
                <w:szCs w:val="16"/>
              </w:rPr>
              <w:t>VOL</w:t>
            </w:r>
          </w:p>
        </w:tc>
        <w:tc>
          <w:tcPr>
            <w:tcW w:w="585" w:type="dxa"/>
            <w:shd w:val="clear" w:color="000000" w:fill="D9D9D9"/>
            <w:noWrap/>
            <w:vAlign w:val="bottom"/>
            <w:hideMark/>
          </w:tcPr>
          <w:p w14:paraId="56B280C3" w14:textId="77777777" w:rsidR="005D0736" w:rsidRPr="005D0736" w:rsidRDefault="005D0736" w:rsidP="005D0736">
            <w:pPr>
              <w:jc w:val="center"/>
              <w:rPr>
                <w:color w:val="000000"/>
                <w:sz w:val="16"/>
                <w:szCs w:val="16"/>
              </w:rPr>
            </w:pPr>
            <w:r w:rsidRPr="005D0736">
              <w:rPr>
                <w:color w:val="000000"/>
                <w:sz w:val="16"/>
                <w:szCs w:val="16"/>
              </w:rPr>
              <w:t>0,00</w:t>
            </w:r>
          </w:p>
        </w:tc>
        <w:tc>
          <w:tcPr>
            <w:tcW w:w="688" w:type="dxa"/>
            <w:shd w:val="clear" w:color="000000" w:fill="D9D9D9"/>
            <w:noWrap/>
            <w:vAlign w:val="bottom"/>
            <w:hideMark/>
          </w:tcPr>
          <w:p w14:paraId="1902AABC" w14:textId="77777777" w:rsidR="005D0736" w:rsidRPr="005D0736" w:rsidRDefault="005D0736" w:rsidP="005D0736">
            <w:pPr>
              <w:jc w:val="center"/>
              <w:rPr>
                <w:color w:val="000000"/>
                <w:sz w:val="16"/>
                <w:szCs w:val="16"/>
              </w:rPr>
            </w:pPr>
            <w:r w:rsidRPr="005D0736">
              <w:rPr>
                <w:color w:val="000000"/>
                <w:sz w:val="16"/>
                <w:szCs w:val="16"/>
              </w:rPr>
              <w:t>0,00</w:t>
            </w:r>
          </w:p>
        </w:tc>
        <w:tc>
          <w:tcPr>
            <w:tcW w:w="596" w:type="dxa"/>
            <w:shd w:val="clear" w:color="000000" w:fill="D9D9D9"/>
            <w:noWrap/>
            <w:vAlign w:val="bottom"/>
            <w:hideMark/>
          </w:tcPr>
          <w:p w14:paraId="165CA55F" w14:textId="77777777" w:rsidR="005D0736" w:rsidRPr="005D0736" w:rsidRDefault="005D0736" w:rsidP="005D0736">
            <w:pPr>
              <w:jc w:val="center"/>
              <w:rPr>
                <w:color w:val="000000"/>
                <w:sz w:val="16"/>
                <w:szCs w:val="16"/>
              </w:rPr>
            </w:pPr>
            <w:r w:rsidRPr="005D0736">
              <w:rPr>
                <w:color w:val="000000"/>
                <w:sz w:val="16"/>
                <w:szCs w:val="16"/>
              </w:rPr>
              <w:t>0,00</w:t>
            </w:r>
          </w:p>
        </w:tc>
        <w:tc>
          <w:tcPr>
            <w:tcW w:w="577" w:type="dxa"/>
            <w:shd w:val="clear" w:color="000000" w:fill="DDEBF7"/>
            <w:noWrap/>
            <w:vAlign w:val="bottom"/>
            <w:hideMark/>
          </w:tcPr>
          <w:p w14:paraId="7B40F464" w14:textId="77777777" w:rsidR="005D0736" w:rsidRPr="005D0736" w:rsidRDefault="005D0736" w:rsidP="005D0736">
            <w:pPr>
              <w:jc w:val="center"/>
              <w:rPr>
                <w:color w:val="000000"/>
                <w:sz w:val="16"/>
                <w:szCs w:val="16"/>
              </w:rPr>
            </w:pPr>
            <w:r w:rsidRPr="005D0736">
              <w:rPr>
                <w:color w:val="000000"/>
                <w:sz w:val="16"/>
                <w:szCs w:val="16"/>
              </w:rPr>
              <w:t>0,00</w:t>
            </w:r>
          </w:p>
        </w:tc>
        <w:tc>
          <w:tcPr>
            <w:tcW w:w="687" w:type="dxa"/>
            <w:shd w:val="clear" w:color="000000" w:fill="DDEBF7"/>
            <w:noWrap/>
            <w:vAlign w:val="bottom"/>
            <w:hideMark/>
          </w:tcPr>
          <w:p w14:paraId="05EC9A17" w14:textId="77777777" w:rsidR="005D0736" w:rsidRPr="005D0736" w:rsidRDefault="005D0736" w:rsidP="005D0736">
            <w:pPr>
              <w:jc w:val="center"/>
              <w:rPr>
                <w:color w:val="000000"/>
                <w:sz w:val="16"/>
                <w:szCs w:val="16"/>
              </w:rPr>
            </w:pPr>
            <w:r w:rsidRPr="005D0736">
              <w:rPr>
                <w:color w:val="000000"/>
                <w:sz w:val="16"/>
                <w:szCs w:val="16"/>
              </w:rPr>
              <w:t>0,00</w:t>
            </w:r>
          </w:p>
        </w:tc>
        <w:tc>
          <w:tcPr>
            <w:tcW w:w="595" w:type="dxa"/>
            <w:shd w:val="clear" w:color="000000" w:fill="DDEBF7"/>
            <w:noWrap/>
            <w:vAlign w:val="bottom"/>
            <w:hideMark/>
          </w:tcPr>
          <w:p w14:paraId="60E01E46" w14:textId="77777777" w:rsidR="005D0736" w:rsidRPr="005D0736" w:rsidRDefault="005D0736" w:rsidP="005D0736">
            <w:pPr>
              <w:jc w:val="center"/>
              <w:rPr>
                <w:color w:val="000000"/>
                <w:sz w:val="16"/>
                <w:szCs w:val="16"/>
              </w:rPr>
            </w:pPr>
            <w:r w:rsidRPr="005D0736">
              <w:rPr>
                <w:color w:val="000000"/>
                <w:sz w:val="16"/>
                <w:szCs w:val="16"/>
              </w:rPr>
              <w:t>0,60</w:t>
            </w:r>
          </w:p>
        </w:tc>
        <w:tc>
          <w:tcPr>
            <w:tcW w:w="576" w:type="dxa"/>
            <w:shd w:val="clear" w:color="000000" w:fill="FFF2CC"/>
            <w:noWrap/>
            <w:vAlign w:val="bottom"/>
            <w:hideMark/>
          </w:tcPr>
          <w:p w14:paraId="10F64CEF" w14:textId="77777777" w:rsidR="005D0736" w:rsidRPr="005D0736" w:rsidRDefault="005D0736" w:rsidP="005D0736">
            <w:pPr>
              <w:jc w:val="center"/>
              <w:rPr>
                <w:color w:val="000000"/>
                <w:sz w:val="16"/>
                <w:szCs w:val="16"/>
              </w:rPr>
            </w:pPr>
            <w:r w:rsidRPr="005D0736">
              <w:rPr>
                <w:color w:val="000000"/>
                <w:sz w:val="16"/>
                <w:szCs w:val="16"/>
              </w:rPr>
              <w:t>N/D</w:t>
            </w:r>
          </w:p>
        </w:tc>
        <w:tc>
          <w:tcPr>
            <w:tcW w:w="687" w:type="dxa"/>
            <w:shd w:val="clear" w:color="000000" w:fill="FFF2CC"/>
            <w:noWrap/>
            <w:vAlign w:val="bottom"/>
            <w:hideMark/>
          </w:tcPr>
          <w:p w14:paraId="53F216B5" w14:textId="77777777" w:rsidR="005D0736" w:rsidRPr="005D0736" w:rsidRDefault="005D0736" w:rsidP="005D0736">
            <w:pPr>
              <w:jc w:val="center"/>
              <w:rPr>
                <w:color w:val="000000"/>
                <w:sz w:val="16"/>
                <w:szCs w:val="16"/>
              </w:rPr>
            </w:pPr>
            <w:r w:rsidRPr="005D0736">
              <w:rPr>
                <w:color w:val="000000"/>
                <w:sz w:val="16"/>
                <w:szCs w:val="16"/>
              </w:rPr>
              <w:t>N/D</w:t>
            </w:r>
          </w:p>
        </w:tc>
        <w:tc>
          <w:tcPr>
            <w:tcW w:w="595" w:type="dxa"/>
            <w:shd w:val="clear" w:color="000000" w:fill="FFF2CC"/>
            <w:noWrap/>
            <w:vAlign w:val="bottom"/>
            <w:hideMark/>
          </w:tcPr>
          <w:p w14:paraId="095E0C34" w14:textId="77777777" w:rsidR="005D0736" w:rsidRPr="005D0736" w:rsidRDefault="005D0736" w:rsidP="005D0736">
            <w:pPr>
              <w:jc w:val="center"/>
              <w:rPr>
                <w:color w:val="000000"/>
                <w:sz w:val="16"/>
                <w:szCs w:val="16"/>
              </w:rPr>
            </w:pPr>
            <w:r w:rsidRPr="005D0736">
              <w:rPr>
                <w:color w:val="000000"/>
                <w:sz w:val="16"/>
                <w:szCs w:val="16"/>
              </w:rPr>
              <w:t>N/D</w:t>
            </w:r>
          </w:p>
        </w:tc>
        <w:tc>
          <w:tcPr>
            <w:tcW w:w="576" w:type="dxa"/>
            <w:shd w:val="clear" w:color="000000" w:fill="E2EFDA"/>
            <w:noWrap/>
            <w:vAlign w:val="bottom"/>
            <w:hideMark/>
          </w:tcPr>
          <w:p w14:paraId="7806D053" w14:textId="77777777" w:rsidR="005D0736" w:rsidRPr="005D0736" w:rsidRDefault="005D0736" w:rsidP="005D0736">
            <w:pPr>
              <w:jc w:val="center"/>
              <w:rPr>
                <w:color w:val="000000"/>
                <w:sz w:val="16"/>
                <w:szCs w:val="16"/>
              </w:rPr>
            </w:pPr>
            <w:r w:rsidRPr="005D0736">
              <w:rPr>
                <w:color w:val="000000"/>
                <w:sz w:val="16"/>
                <w:szCs w:val="16"/>
              </w:rPr>
              <w:t>N/D</w:t>
            </w:r>
          </w:p>
        </w:tc>
        <w:tc>
          <w:tcPr>
            <w:tcW w:w="687" w:type="dxa"/>
            <w:shd w:val="clear" w:color="000000" w:fill="E2EFDA"/>
            <w:noWrap/>
            <w:vAlign w:val="bottom"/>
            <w:hideMark/>
          </w:tcPr>
          <w:p w14:paraId="3872EB27" w14:textId="77777777" w:rsidR="005D0736" w:rsidRPr="005D0736" w:rsidRDefault="005D0736" w:rsidP="005D0736">
            <w:pPr>
              <w:jc w:val="center"/>
              <w:rPr>
                <w:color w:val="000000"/>
                <w:sz w:val="16"/>
                <w:szCs w:val="16"/>
              </w:rPr>
            </w:pPr>
            <w:r w:rsidRPr="005D0736">
              <w:rPr>
                <w:color w:val="000000"/>
                <w:sz w:val="16"/>
                <w:szCs w:val="16"/>
              </w:rPr>
              <w:t>N/D</w:t>
            </w:r>
          </w:p>
        </w:tc>
        <w:tc>
          <w:tcPr>
            <w:tcW w:w="595" w:type="dxa"/>
            <w:shd w:val="clear" w:color="000000" w:fill="E2EFDA"/>
            <w:noWrap/>
            <w:vAlign w:val="bottom"/>
            <w:hideMark/>
          </w:tcPr>
          <w:p w14:paraId="2BB3F955" w14:textId="77777777" w:rsidR="005D0736" w:rsidRPr="005D0736" w:rsidRDefault="005D0736" w:rsidP="005D0736">
            <w:pPr>
              <w:jc w:val="center"/>
              <w:rPr>
                <w:color w:val="000000"/>
                <w:sz w:val="16"/>
                <w:szCs w:val="16"/>
              </w:rPr>
            </w:pPr>
            <w:r w:rsidRPr="005D0736">
              <w:rPr>
                <w:color w:val="000000"/>
                <w:sz w:val="16"/>
                <w:szCs w:val="16"/>
              </w:rPr>
              <w:t>N/D</w:t>
            </w:r>
          </w:p>
        </w:tc>
      </w:tr>
      <w:tr w:rsidR="005D0736" w:rsidRPr="005D0736" w14:paraId="2D805F96" w14:textId="77777777" w:rsidTr="005D0736">
        <w:trPr>
          <w:trHeight w:val="20"/>
        </w:trPr>
        <w:tc>
          <w:tcPr>
            <w:tcW w:w="1617" w:type="dxa"/>
            <w:shd w:val="clear" w:color="auto" w:fill="auto"/>
            <w:noWrap/>
            <w:vAlign w:val="bottom"/>
          </w:tcPr>
          <w:p w14:paraId="123B3FF2" w14:textId="1BB96D24" w:rsidR="005D0736" w:rsidRPr="005D0736" w:rsidRDefault="005D0736" w:rsidP="005D0736">
            <w:pPr>
              <w:rPr>
                <w:color w:val="000000"/>
                <w:sz w:val="16"/>
                <w:szCs w:val="16"/>
              </w:rPr>
            </w:pPr>
            <w:r w:rsidRPr="005D0736">
              <w:rPr>
                <w:sz w:val="16"/>
                <w:szCs w:val="16"/>
              </w:rPr>
              <w:t>Nº de empresas/Observações</w:t>
            </w:r>
          </w:p>
        </w:tc>
        <w:tc>
          <w:tcPr>
            <w:tcW w:w="1869" w:type="dxa"/>
            <w:gridSpan w:val="3"/>
            <w:shd w:val="clear" w:color="000000" w:fill="D9D9D9"/>
            <w:noWrap/>
            <w:vAlign w:val="bottom"/>
          </w:tcPr>
          <w:p w14:paraId="182ECEE9" w14:textId="3B9D64D5" w:rsidR="005D0736" w:rsidRPr="005D0736" w:rsidRDefault="005D0736" w:rsidP="005D0736">
            <w:pPr>
              <w:jc w:val="center"/>
              <w:rPr>
                <w:color w:val="000000"/>
                <w:sz w:val="16"/>
                <w:szCs w:val="16"/>
              </w:rPr>
            </w:pPr>
            <w:r>
              <w:rPr>
                <w:color w:val="000000"/>
                <w:sz w:val="16"/>
                <w:szCs w:val="16"/>
              </w:rPr>
              <w:t>63/315</w:t>
            </w:r>
          </w:p>
        </w:tc>
        <w:tc>
          <w:tcPr>
            <w:tcW w:w="1859" w:type="dxa"/>
            <w:gridSpan w:val="3"/>
            <w:shd w:val="clear" w:color="000000" w:fill="DDEBF7"/>
            <w:noWrap/>
            <w:vAlign w:val="bottom"/>
          </w:tcPr>
          <w:p w14:paraId="47B04ABF" w14:textId="2DFCC051" w:rsidR="005D0736" w:rsidRPr="005D0736" w:rsidRDefault="005D0736" w:rsidP="005D0736">
            <w:pPr>
              <w:jc w:val="center"/>
              <w:rPr>
                <w:color w:val="000000"/>
                <w:sz w:val="16"/>
                <w:szCs w:val="16"/>
              </w:rPr>
            </w:pPr>
            <w:r>
              <w:rPr>
                <w:color w:val="000000"/>
                <w:sz w:val="16"/>
                <w:szCs w:val="16"/>
              </w:rPr>
              <w:t>49/245</w:t>
            </w:r>
          </w:p>
        </w:tc>
        <w:tc>
          <w:tcPr>
            <w:tcW w:w="1858" w:type="dxa"/>
            <w:gridSpan w:val="3"/>
            <w:shd w:val="clear" w:color="000000" w:fill="FFF2CC"/>
            <w:noWrap/>
            <w:vAlign w:val="bottom"/>
          </w:tcPr>
          <w:p w14:paraId="668D4B06" w14:textId="5DA3197D" w:rsidR="005D0736" w:rsidRPr="005D0736" w:rsidRDefault="005D0736" w:rsidP="005D0736">
            <w:pPr>
              <w:jc w:val="center"/>
              <w:rPr>
                <w:color w:val="000000"/>
                <w:sz w:val="16"/>
                <w:szCs w:val="16"/>
              </w:rPr>
            </w:pPr>
            <w:r>
              <w:rPr>
                <w:color w:val="000000"/>
                <w:sz w:val="16"/>
                <w:szCs w:val="16"/>
              </w:rPr>
              <w:t>191/955</w:t>
            </w:r>
          </w:p>
        </w:tc>
        <w:tc>
          <w:tcPr>
            <w:tcW w:w="1858" w:type="dxa"/>
            <w:gridSpan w:val="3"/>
            <w:shd w:val="clear" w:color="000000" w:fill="E2EFDA"/>
            <w:noWrap/>
            <w:vAlign w:val="bottom"/>
          </w:tcPr>
          <w:p w14:paraId="237DD5D0" w14:textId="077A7F56" w:rsidR="005D0736" w:rsidRPr="005D0736" w:rsidRDefault="005D0736" w:rsidP="005D0736">
            <w:pPr>
              <w:jc w:val="center"/>
              <w:rPr>
                <w:color w:val="000000"/>
                <w:sz w:val="16"/>
                <w:szCs w:val="16"/>
              </w:rPr>
            </w:pPr>
            <w:r>
              <w:rPr>
                <w:color w:val="000000"/>
                <w:sz w:val="16"/>
                <w:szCs w:val="16"/>
              </w:rPr>
              <w:t>228/1140</w:t>
            </w:r>
          </w:p>
        </w:tc>
      </w:tr>
      <w:tr w:rsidR="005D0736" w:rsidRPr="005D0736" w14:paraId="52422F87" w14:textId="77777777" w:rsidTr="002175D9">
        <w:trPr>
          <w:trHeight w:val="20"/>
        </w:trPr>
        <w:tc>
          <w:tcPr>
            <w:tcW w:w="1617" w:type="dxa"/>
            <w:shd w:val="clear" w:color="auto" w:fill="auto"/>
            <w:noWrap/>
            <w:vAlign w:val="bottom"/>
          </w:tcPr>
          <w:p w14:paraId="587A4663" w14:textId="1A950E25" w:rsidR="005D0736" w:rsidRPr="005D0736" w:rsidRDefault="005D0736" w:rsidP="005D0736">
            <w:pPr>
              <w:rPr>
                <w:color w:val="000000"/>
                <w:sz w:val="16"/>
                <w:szCs w:val="16"/>
              </w:rPr>
            </w:pPr>
            <w:r>
              <w:rPr>
                <w:color w:val="000000"/>
                <w:sz w:val="16"/>
                <w:szCs w:val="16"/>
              </w:rPr>
              <w:t>R²</w:t>
            </w:r>
          </w:p>
        </w:tc>
        <w:tc>
          <w:tcPr>
            <w:tcW w:w="1869" w:type="dxa"/>
            <w:gridSpan w:val="3"/>
            <w:shd w:val="clear" w:color="000000" w:fill="D9D9D9"/>
            <w:noWrap/>
            <w:vAlign w:val="bottom"/>
          </w:tcPr>
          <w:p w14:paraId="3C47269E" w14:textId="1F9B572A" w:rsidR="005D0736" w:rsidRPr="005D0736" w:rsidRDefault="004550C4" w:rsidP="005D0736">
            <w:pPr>
              <w:jc w:val="center"/>
              <w:rPr>
                <w:color w:val="000000"/>
                <w:sz w:val="16"/>
                <w:szCs w:val="16"/>
              </w:rPr>
            </w:pPr>
            <w:r>
              <w:rPr>
                <w:color w:val="000000"/>
                <w:sz w:val="16"/>
                <w:szCs w:val="16"/>
              </w:rPr>
              <w:t>0,83</w:t>
            </w:r>
          </w:p>
        </w:tc>
        <w:tc>
          <w:tcPr>
            <w:tcW w:w="1859" w:type="dxa"/>
            <w:gridSpan w:val="3"/>
            <w:shd w:val="clear" w:color="000000" w:fill="DDEBF7"/>
            <w:noWrap/>
            <w:vAlign w:val="bottom"/>
          </w:tcPr>
          <w:p w14:paraId="7FB9D6A1" w14:textId="5E68B869" w:rsidR="005D0736" w:rsidRPr="005D0736" w:rsidRDefault="00DC79B8" w:rsidP="005D0736">
            <w:pPr>
              <w:jc w:val="center"/>
              <w:rPr>
                <w:color w:val="000000"/>
                <w:sz w:val="16"/>
                <w:szCs w:val="16"/>
              </w:rPr>
            </w:pPr>
            <w:r>
              <w:rPr>
                <w:color w:val="000000"/>
                <w:sz w:val="16"/>
                <w:szCs w:val="16"/>
              </w:rPr>
              <w:t>0,92</w:t>
            </w:r>
          </w:p>
        </w:tc>
        <w:tc>
          <w:tcPr>
            <w:tcW w:w="1858" w:type="dxa"/>
            <w:gridSpan w:val="3"/>
            <w:shd w:val="clear" w:color="000000" w:fill="FFF2CC"/>
            <w:noWrap/>
            <w:vAlign w:val="bottom"/>
          </w:tcPr>
          <w:p w14:paraId="66C0F12A" w14:textId="39467513" w:rsidR="005D0736" w:rsidRPr="005D0736" w:rsidRDefault="00DC79B8" w:rsidP="005D0736">
            <w:pPr>
              <w:jc w:val="center"/>
              <w:rPr>
                <w:color w:val="000000"/>
                <w:sz w:val="16"/>
                <w:szCs w:val="16"/>
              </w:rPr>
            </w:pPr>
            <w:r>
              <w:rPr>
                <w:color w:val="000000"/>
                <w:sz w:val="16"/>
                <w:szCs w:val="16"/>
              </w:rPr>
              <w:t>0,88</w:t>
            </w:r>
          </w:p>
        </w:tc>
        <w:tc>
          <w:tcPr>
            <w:tcW w:w="1858" w:type="dxa"/>
            <w:gridSpan w:val="3"/>
            <w:shd w:val="clear" w:color="000000" w:fill="E2EFDA"/>
            <w:noWrap/>
            <w:vAlign w:val="bottom"/>
          </w:tcPr>
          <w:p w14:paraId="519B6A19" w14:textId="18873838" w:rsidR="005D0736" w:rsidRPr="005D0736" w:rsidRDefault="00F106AF" w:rsidP="005D0736">
            <w:pPr>
              <w:jc w:val="center"/>
              <w:rPr>
                <w:color w:val="000000"/>
                <w:sz w:val="16"/>
                <w:szCs w:val="16"/>
              </w:rPr>
            </w:pPr>
            <w:r>
              <w:rPr>
                <w:color w:val="000000"/>
                <w:sz w:val="16"/>
                <w:szCs w:val="16"/>
              </w:rPr>
              <w:t>0,92</w:t>
            </w:r>
          </w:p>
        </w:tc>
      </w:tr>
      <w:tr w:rsidR="005D0736" w:rsidRPr="005D0736" w14:paraId="34F24373" w14:textId="77777777" w:rsidTr="002175D9">
        <w:trPr>
          <w:trHeight w:val="20"/>
        </w:trPr>
        <w:tc>
          <w:tcPr>
            <w:tcW w:w="1617" w:type="dxa"/>
            <w:shd w:val="clear" w:color="auto" w:fill="auto"/>
            <w:noWrap/>
            <w:vAlign w:val="bottom"/>
          </w:tcPr>
          <w:p w14:paraId="6C978E64" w14:textId="19866506" w:rsidR="005D0736" w:rsidRPr="005D0736" w:rsidRDefault="005D0736" w:rsidP="005D0736">
            <w:pPr>
              <w:rPr>
                <w:color w:val="000000"/>
                <w:sz w:val="16"/>
                <w:szCs w:val="16"/>
              </w:rPr>
            </w:pPr>
            <w:r>
              <w:rPr>
                <w:color w:val="000000"/>
                <w:sz w:val="16"/>
                <w:szCs w:val="16"/>
              </w:rPr>
              <w:t>R² Ajustado</w:t>
            </w:r>
          </w:p>
        </w:tc>
        <w:tc>
          <w:tcPr>
            <w:tcW w:w="1869" w:type="dxa"/>
            <w:gridSpan w:val="3"/>
            <w:shd w:val="clear" w:color="000000" w:fill="D9D9D9"/>
            <w:noWrap/>
            <w:vAlign w:val="bottom"/>
          </w:tcPr>
          <w:p w14:paraId="5E358924" w14:textId="7345D987" w:rsidR="005D0736" w:rsidRPr="005D0736" w:rsidRDefault="004550C4" w:rsidP="005D0736">
            <w:pPr>
              <w:jc w:val="center"/>
              <w:rPr>
                <w:color w:val="000000"/>
                <w:sz w:val="16"/>
                <w:szCs w:val="16"/>
              </w:rPr>
            </w:pPr>
            <w:r>
              <w:rPr>
                <w:color w:val="000000"/>
                <w:sz w:val="16"/>
                <w:szCs w:val="16"/>
              </w:rPr>
              <w:t>0,77</w:t>
            </w:r>
          </w:p>
        </w:tc>
        <w:tc>
          <w:tcPr>
            <w:tcW w:w="1859" w:type="dxa"/>
            <w:gridSpan w:val="3"/>
            <w:shd w:val="clear" w:color="000000" w:fill="DDEBF7"/>
            <w:noWrap/>
            <w:vAlign w:val="bottom"/>
          </w:tcPr>
          <w:p w14:paraId="24ADE07E" w14:textId="1BACDD9B" w:rsidR="005D0736" w:rsidRPr="005D0736" w:rsidRDefault="00DC79B8" w:rsidP="005D0736">
            <w:pPr>
              <w:jc w:val="center"/>
              <w:rPr>
                <w:color w:val="000000"/>
                <w:sz w:val="16"/>
                <w:szCs w:val="16"/>
              </w:rPr>
            </w:pPr>
            <w:r>
              <w:rPr>
                <w:color w:val="000000"/>
                <w:sz w:val="16"/>
                <w:szCs w:val="16"/>
              </w:rPr>
              <w:t>0,89</w:t>
            </w:r>
          </w:p>
        </w:tc>
        <w:tc>
          <w:tcPr>
            <w:tcW w:w="1858" w:type="dxa"/>
            <w:gridSpan w:val="3"/>
            <w:shd w:val="clear" w:color="000000" w:fill="FFF2CC"/>
            <w:noWrap/>
            <w:vAlign w:val="bottom"/>
          </w:tcPr>
          <w:p w14:paraId="33FD748C" w14:textId="37E900A0" w:rsidR="005D0736" w:rsidRPr="005D0736" w:rsidRDefault="00DC79B8" w:rsidP="005D0736">
            <w:pPr>
              <w:jc w:val="center"/>
              <w:rPr>
                <w:color w:val="000000"/>
                <w:sz w:val="16"/>
                <w:szCs w:val="16"/>
              </w:rPr>
            </w:pPr>
            <w:r>
              <w:rPr>
                <w:color w:val="000000"/>
                <w:sz w:val="16"/>
                <w:szCs w:val="16"/>
              </w:rPr>
              <w:t>0,85</w:t>
            </w:r>
          </w:p>
        </w:tc>
        <w:tc>
          <w:tcPr>
            <w:tcW w:w="1858" w:type="dxa"/>
            <w:gridSpan w:val="3"/>
            <w:shd w:val="clear" w:color="000000" w:fill="E2EFDA"/>
            <w:noWrap/>
            <w:vAlign w:val="bottom"/>
          </w:tcPr>
          <w:p w14:paraId="040E557D" w14:textId="54AEF16B" w:rsidR="005D0736" w:rsidRPr="005D0736" w:rsidRDefault="00F106AF" w:rsidP="005D0736">
            <w:pPr>
              <w:jc w:val="center"/>
              <w:rPr>
                <w:color w:val="000000"/>
                <w:sz w:val="16"/>
                <w:szCs w:val="16"/>
              </w:rPr>
            </w:pPr>
            <w:r>
              <w:rPr>
                <w:color w:val="000000"/>
                <w:sz w:val="16"/>
                <w:szCs w:val="16"/>
              </w:rPr>
              <w:t>0,90</w:t>
            </w:r>
          </w:p>
        </w:tc>
      </w:tr>
      <w:tr w:rsidR="005D0736" w:rsidRPr="005D0736" w14:paraId="7115B62B" w14:textId="77777777" w:rsidTr="002175D9">
        <w:trPr>
          <w:trHeight w:val="20"/>
        </w:trPr>
        <w:tc>
          <w:tcPr>
            <w:tcW w:w="1617" w:type="dxa"/>
            <w:shd w:val="clear" w:color="auto" w:fill="auto"/>
            <w:noWrap/>
            <w:vAlign w:val="bottom"/>
          </w:tcPr>
          <w:p w14:paraId="7CDE3F67" w14:textId="27AF68BE" w:rsidR="005D0736" w:rsidRPr="005D0736" w:rsidRDefault="005D0736" w:rsidP="005D0736">
            <w:pPr>
              <w:rPr>
                <w:color w:val="000000"/>
                <w:sz w:val="16"/>
                <w:szCs w:val="16"/>
              </w:rPr>
            </w:pPr>
            <w:r w:rsidRPr="00852236">
              <w:rPr>
                <w:sz w:val="18"/>
                <w:szCs w:val="18"/>
              </w:rPr>
              <w:t>Teste de Aderência do Modelo (teste F</w:t>
            </w:r>
            <w:r>
              <w:rPr>
                <w:sz w:val="18"/>
                <w:szCs w:val="18"/>
              </w:rPr>
              <w:t>)</w:t>
            </w:r>
          </w:p>
        </w:tc>
        <w:tc>
          <w:tcPr>
            <w:tcW w:w="1869" w:type="dxa"/>
            <w:gridSpan w:val="3"/>
            <w:shd w:val="clear" w:color="000000" w:fill="D9D9D9"/>
            <w:noWrap/>
            <w:vAlign w:val="bottom"/>
          </w:tcPr>
          <w:p w14:paraId="2A32A254" w14:textId="6E5DA3A9" w:rsidR="005D0736" w:rsidRPr="005D0736" w:rsidRDefault="004550C4" w:rsidP="005D0736">
            <w:pPr>
              <w:jc w:val="center"/>
              <w:rPr>
                <w:color w:val="000000"/>
                <w:sz w:val="16"/>
                <w:szCs w:val="16"/>
              </w:rPr>
            </w:pPr>
            <w:r>
              <w:rPr>
                <w:color w:val="000000"/>
                <w:sz w:val="16"/>
                <w:szCs w:val="16"/>
              </w:rPr>
              <w:t>16,00. Prob. 0,00</w:t>
            </w:r>
          </w:p>
        </w:tc>
        <w:tc>
          <w:tcPr>
            <w:tcW w:w="1859" w:type="dxa"/>
            <w:gridSpan w:val="3"/>
            <w:shd w:val="clear" w:color="000000" w:fill="DDEBF7"/>
            <w:noWrap/>
            <w:vAlign w:val="bottom"/>
          </w:tcPr>
          <w:p w14:paraId="29005B2E" w14:textId="014FFD3A" w:rsidR="005D0736" w:rsidRPr="005D0736" w:rsidRDefault="00DC79B8" w:rsidP="005D0736">
            <w:pPr>
              <w:jc w:val="center"/>
              <w:rPr>
                <w:color w:val="000000"/>
                <w:sz w:val="16"/>
                <w:szCs w:val="16"/>
              </w:rPr>
            </w:pPr>
            <w:r>
              <w:rPr>
                <w:color w:val="000000"/>
                <w:sz w:val="16"/>
                <w:szCs w:val="16"/>
              </w:rPr>
              <w:t>35,18. Prob. 0,00</w:t>
            </w:r>
          </w:p>
        </w:tc>
        <w:tc>
          <w:tcPr>
            <w:tcW w:w="1858" w:type="dxa"/>
            <w:gridSpan w:val="3"/>
            <w:shd w:val="clear" w:color="000000" w:fill="FFF2CC"/>
            <w:noWrap/>
            <w:vAlign w:val="bottom"/>
          </w:tcPr>
          <w:p w14:paraId="7493B956" w14:textId="25FCC469" w:rsidR="005D0736" w:rsidRPr="005D0736" w:rsidRDefault="00DC79B8" w:rsidP="005D0736">
            <w:pPr>
              <w:jc w:val="center"/>
              <w:rPr>
                <w:color w:val="000000"/>
                <w:sz w:val="16"/>
                <w:szCs w:val="16"/>
              </w:rPr>
            </w:pPr>
            <w:r>
              <w:rPr>
                <w:color w:val="000000"/>
                <w:sz w:val="16"/>
                <w:szCs w:val="16"/>
              </w:rPr>
              <w:t>28,61. Prob. 0,00</w:t>
            </w:r>
          </w:p>
        </w:tc>
        <w:tc>
          <w:tcPr>
            <w:tcW w:w="1858" w:type="dxa"/>
            <w:gridSpan w:val="3"/>
            <w:shd w:val="clear" w:color="000000" w:fill="E2EFDA"/>
            <w:noWrap/>
            <w:vAlign w:val="bottom"/>
          </w:tcPr>
          <w:p w14:paraId="09E6AA08" w14:textId="5BE5E974" w:rsidR="002175D9" w:rsidRPr="005D0736" w:rsidRDefault="00E37EA4" w:rsidP="002175D9">
            <w:pPr>
              <w:jc w:val="center"/>
              <w:rPr>
                <w:color w:val="000000"/>
                <w:sz w:val="16"/>
                <w:szCs w:val="16"/>
              </w:rPr>
            </w:pPr>
            <w:r>
              <w:rPr>
                <w:color w:val="000000"/>
                <w:sz w:val="16"/>
                <w:szCs w:val="16"/>
              </w:rPr>
              <w:t>45,79. Prob. 0,00</w:t>
            </w:r>
          </w:p>
        </w:tc>
      </w:tr>
      <w:tr w:rsidR="005D0736" w:rsidRPr="005D0736" w14:paraId="5DAD7F23" w14:textId="77777777" w:rsidTr="002175D9">
        <w:trPr>
          <w:trHeight w:val="20"/>
        </w:trPr>
        <w:tc>
          <w:tcPr>
            <w:tcW w:w="1617" w:type="dxa"/>
            <w:shd w:val="clear" w:color="auto" w:fill="auto"/>
            <w:noWrap/>
            <w:vAlign w:val="bottom"/>
          </w:tcPr>
          <w:p w14:paraId="0A8455D2" w14:textId="77684CBB" w:rsidR="005D0736" w:rsidRPr="005D0736" w:rsidRDefault="005D0736" w:rsidP="005D0736">
            <w:pPr>
              <w:rPr>
                <w:color w:val="000000"/>
                <w:sz w:val="16"/>
                <w:szCs w:val="16"/>
              </w:rPr>
            </w:pPr>
            <w:r w:rsidRPr="00852236">
              <w:rPr>
                <w:sz w:val="18"/>
                <w:szCs w:val="18"/>
              </w:rPr>
              <w:t>Teste para Efeito Fixo nas cross-section</w:t>
            </w:r>
            <w:r>
              <w:rPr>
                <w:sz w:val="18"/>
                <w:szCs w:val="18"/>
              </w:rPr>
              <w:t>s</w:t>
            </w:r>
          </w:p>
        </w:tc>
        <w:tc>
          <w:tcPr>
            <w:tcW w:w="1869" w:type="dxa"/>
            <w:gridSpan w:val="3"/>
            <w:shd w:val="clear" w:color="000000" w:fill="D9D9D9"/>
            <w:noWrap/>
            <w:vAlign w:val="bottom"/>
          </w:tcPr>
          <w:p w14:paraId="2AF09CCB" w14:textId="3C2F336B" w:rsidR="004550C4" w:rsidRDefault="004550C4" w:rsidP="004550C4">
            <w:pPr>
              <w:jc w:val="center"/>
              <w:rPr>
                <w:color w:val="000000"/>
                <w:sz w:val="16"/>
                <w:szCs w:val="16"/>
              </w:rPr>
            </w:pPr>
            <w:r>
              <w:rPr>
                <w:color w:val="000000"/>
                <w:sz w:val="16"/>
                <w:szCs w:val="16"/>
              </w:rPr>
              <w:t>Teste F = 16,60</w:t>
            </w:r>
          </w:p>
          <w:p w14:paraId="43D15397" w14:textId="4CA46A17" w:rsidR="005D0736" w:rsidRPr="005D0736" w:rsidRDefault="004550C4" w:rsidP="004550C4">
            <w:pPr>
              <w:jc w:val="center"/>
              <w:rPr>
                <w:color w:val="000000"/>
                <w:sz w:val="16"/>
                <w:szCs w:val="16"/>
              </w:rPr>
            </w:pPr>
            <w:r>
              <w:rPr>
                <w:color w:val="000000"/>
                <w:sz w:val="16"/>
                <w:szCs w:val="16"/>
              </w:rPr>
              <w:t>Prob. 0,00. GL: (62, 242)</w:t>
            </w:r>
          </w:p>
        </w:tc>
        <w:tc>
          <w:tcPr>
            <w:tcW w:w="1859" w:type="dxa"/>
            <w:gridSpan w:val="3"/>
            <w:shd w:val="clear" w:color="000000" w:fill="DDEBF7"/>
            <w:noWrap/>
            <w:vAlign w:val="bottom"/>
          </w:tcPr>
          <w:p w14:paraId="6133C3D7" w14:textId="1524F416" w:rsidR="00DC79B8" w:rsidRDefault="00DC79B8" w:rsidP="00DC79B8">
            <w:pPr>
              <w:jc w:val="center"/>
              <w:rPr>
                <w:color w:val="000000"/>
                <w:sz w:val="16"/>
                <w:szCs w:val="16"/>
              </w:rPr>
            </w:pPr>
            <w:r>
              <w:rPr>
                <w:color w:val="000000"/>
                <w:sz w:val="16"/>
                <w:szCs w:val="16"/>
              </w:rPr>
              <w:t>Teste F = 40,40</w:t>
            </w:r>
          </w:p>
          <w:p w14:paraId="2E0CD6B9" w14:textId="28508027" w:rsidR="005D0736" w:rsidRPr="005D0736" w:rsidRDefault="00DC79B8" w:rsidP="00DC79B8">
            <w:pPr>
              <w:jc w:val="center"/>
              <w:rPr>
                <w:color w:val="000000"/>
                <w:sz w:val="16"/>
                <w:szCs w:val="16"/>
              </w:rPr>
            </w:pPr>
            <w:r>
              <w:rPr>
                <w:color w:val="000000"/>
                <w:sz w:val="16"/>
                <w:szCs w:val="16"/>
              </w:rPr>
              <w:t>Prob. 0,00. GL: (48, 186)</w:t>
            </w:r>
          </w:p>
        </w:tc>
        <w:tc>
          <w:tcPr>
            <w:tcW w:w="1858" w:type="dxa"/>
            <w:gridSpan w:val="3"/>
            <w:shd w:val="clear" w:color="000000" w:fill="FFF2CC"/>
            <w:noWrap/>
            <w:vAlign w:val="bottom"/>
          </w:tcPr>
          <w:p w14:paraId="0EEA75E3" w14:textId="17E951FF" w:rsidR="00DC79B8" w:rsidRDefault="00DC79B8" w:rsidP="00DC79B8">
            <w:pPr>
              <w:jc w:val="center"/>
              <w:rPr>
                <w:color w:val="000000"/>
                <w:sz w:val="16"/>
                <w:szCs w:val="16"/>
              </w:rPr>
            </w:pPr>
            <w:r>
              <w:rPr>
                <w:color w:val="000000"/>
                <w:sz w:val="16"/>
                <w:szCs w:val="16"/>
              </w:rPr>
              <w:t>Teste F = 24,42</w:t>
            </w:r>
          </w:p>
          <w:p w14:paraId="5B52B798" w14:textId="4B6CB611" w:rsidR="005D0736" w:rsidRPr="005D0736" w:rsidRDefault="00DC79B8" w:rsidP="00DC79B8">
            <w:pPr>
              <w:jc w:val="center"/>
              <w:rPr>
                <w:color w:val="000000"/>
                <w:sz w:val="16"/>
                <w:szCs w:val="16"/>
              </w:rPr>
            </w:pPr>
            <w:r>
              <w:rPr>
                <w:color w:val="000000"/>
                <w:sz w:val="16"/>
                <w:szCs w:val="16"/>
              </w:rPr>
              <w:t>Prob. 0,00. GL: (190, 758)</w:t>
            </w:r>
          </w:p>
        </w:tc>
        <w:tc>
          <w:tcPr>
            <w:tcW w:w="1858" w:type="dxa"/>
            <w:gridSpan w:val="3"/>
            <w:shd w:val="clear" w:color="000000" w:fill="E2EFDA"/>
            <w:noWrap/>
            <w:vAlign w:val="bottom"/>
          </w:tcPr>
          <w:p w14:paraId="2888BD1D" w14:textId="77777777" w:rsidR="002175D9" w:rsidRDefault="002175D9" w:rsidP="002175D9">
            <w:pPr>
              <w:jc w:val="center"/>
              <w:rPr>
                <w:color w:val="000000"/>
                <w:sz w:val="16"/>
                <w:szCs w:val="16"/>
              </w:rPr>
            </w:pPr>
            <w:r>
              <w:rPr>
                <w:color w:val="000000"/>
                <w:sz w:val="16"/>
                <w:szCs w:val="16"/>
              </w:rPr>
              <w:t>Teste F = 45,03</w:t>
            </w:r>
          </w:p>
          <w:p w14:paraId="0293082E" w14:textId="20CBC92B" w:rsidR="005D0736" w:rsidRPr="005D0736" w:rsidRDefault="002175D9" w:rsidP="002175D9">
            <w:pPr>
              <w:jc w:val="center"/>
              <w:rPr>
                <w:color w:val="000000"/>
                <w:sz w:val="16"/>
                <w:szCs w:val="16"/>
              </w:rPr>
            </w:pPr>
            <w:r>
              <w:rPr>
                <w:color w:val="000000"/>
                <w:sz w:val="16"/>
                <w:szCs w:val="16"/>
              </w:rPr>
              <w:t>Prob. 0,00. GL: (227, 906)</w:t>
            </w:r>
          </w:p>
        </w:tc>
      </w:tr>
      <w:tr w:rsidR="005D0736" w:rsidRPr="005D0736" w14:paraId="5719CEF3" w14:textId="77777777" w:rsidTr="002175D9">
        <w:trPr>
          <w:trHeight w:val="20"/>
        </w:trPr>
        <w:tc>
          <w:tcPr>
            <w:tcW w:w="1617" w:type="dxa"/>
            <w:shd w:val="clear" w:color="auto" w:fill="auto"/>
            <w:noWrap/>
            <w:vAlign w:val="bottom"/>
          </w:tcPr>
          <w:p w14:paraId="3A2E6C38" w14:textId="68EFBB01" w:rsidR="005D0736" w:rsidRPr="005D0736" w:rsidRDefault="005D0736" w:rsidP="005D0736">
            <w:pPr>
              <w:rPr>
                <w:color w:val="000000"/>
                <w:sz w:val="16"/>
                <w:szCs w:val="16"/>
              </w:rPr>
            </w:pPr>
            <w:r w:rsidRPr="00852236">
              <w:rPr>
                <w:sz w:val="18"/>
                <w:szCs w:val="18"/>
              </w:rPr>
              <w:t>Teste de Hausmann para Efeito Aleatóri</w:t>
            </w:r>
            <w:r>
              <w:rPr>
                <w:sz w:val="18"/>
                <w:szCs w:val="18"/>
              </w:rPr>
              <w:t>o</w:t>
            </w:r>
          </w:p>
        </w:tc>
        <w:tc>
          <w:tcPr>
            <w:tcW w:w="1869" w:type="dxa"/>
            <w:gridSpan w:val="3"/>
            <w:shd w:val="clear" w:color="000000" w:fill="D9D9D9"/>
            <w:noWrap/>
            <w:vAlign w:val="bottom"/>
          </w:tcPr>
          <w:p w14:paraId="7F159456" w14:textId="6333CD95" w:rsidR="004550C4" w:rsidRDefault="004550C4" w:rsidP="004550C4">
            <w:pPr>
              <w:jc w:val="center"/>
              <w:rPr>
                <w:color w:val="000000"/>
                <w:sz w:val="16"/>
                <w:szCs w:val="16"/>
              </w:rPr>
            </w:pPr>
            <w:r>
              <w:rPr>
                <w:color w:val="000000"/>
                <w:sz w:val="16"/>
                <w:szCs w:val="16"/>
              </w:rPr>
              <w:t>Chi-Sq: 4,25. Prob. 0,94</w:t>
            </w:r>
          </w:p>
          <w:p w14:paraId="1783C60F" w14:textId="43865AA6" w:rsidR="005D0736" w:rsidRPr="005D0736" w:rsidRDefault="004550C4" w:rsidP="004550C4">
            <w:pPr>
              <w:jc w:val="center"/>
              <w:rPr>
                <w:color w:val="000000"/>
                <w:sz w:val="16"/>
                <w:szCs w:val="16"/>
              </w:rPr>
            </w:pPr>
            <w:r>
              <w:rPr>
                <w:color w:val="000000"/>
                <w:sz w:val="16"/>
                <w:szCs w:val="16"/>
              </w:rPr>
              <w:t>GL: (10)</w:t>
            </w:r>
          </w:p>
        </w:tc>
        <w:tc>
          <w:tcPr>
            <w:tcW w:w="1859" w:type="dxa"/>
            <w:gridSpan w:val="3"/>
            <w:shd w:val="clear" w:color="000000" w:fill="DDEBF7"/>
            <w:noWrap/>
            <w:vAlign w:val="bottom"/>
          </w:tcPr>
          <w:p w14:paraId="43613417" w14:textId="743368AD" w:rsidR="00DC79B8" w:rsidRDefault="00DC79B8" w:rsidP="00DC79B8">
            <w:pPr>
              <w:jc w:val="center"/>
              <w:rPr>
                <w:color w:val="000000"/>
                <w:sz w:val="16"/>
                <w:szCs w:val="16"/>
              </w:rPr>
            </w:pPr>
            <w:r>
              <w:rPr>
                <w:color w:val="000000"/>
                <w:sz w:val="16"/>
                <w:szCs w:val="16"/>
              </w:rPr>
              <w:t>Chi-Sq: 48,52. Prob. 0,00</w:t>
            </w:r>
          </w:p>
          <w:p w14:paraId="42EFBF53" w14:textId="3EB29349" w:rsidR="005D0736" w:rsidRPr="005D0736" w:rsidRDefault="00DC79B8" w:rsidP="00DC79B8">
            <w:pPr>
              <w:jc w:val="center"/>
              <w:rPr>
                <w:color w:val="000000"/>
                <w:sz w:val="16"/>
                <w:szCs w:val="16"/>
              </w:rPr>
            </w:pPr>
            <w:r>
              <w:rPr>
                <w:color w:val="000000"/>
                <w:sz w:val="16"/>
                <w:szCs w:val="16"/>
              </w:rPr>
              <w:t>GL: (10)</w:t>
            </w:r>
          </w:p>
        </w:tc>
        <w:tc>
          <w:tcPr>
            <w:tcW w:w="1858" w:type="dxa"/>
            <w:gridSpan w:val="3"/>
            <w:shd w:val="clear" w:color="000000" w:fill="FFF2CC"/>
            <w:noWrap/>
            <w:vAlign w:val="bottom"/>
          </w:tcPr>
          <w:p w14:paraId="3CE29134" w14:textId="3393D932" w:rsidR="00DC79B8" w:rsidRDefault="00DC79B8" w:rsidP="00DC79B8">
            <w:pPr>
              <w:jc w:val="center"/>
              <w:rPr>
                <w:color w:val="000000"/>
                <w:sz w:val="16"/>
                <w:szCs w:val="16"/>
              </w:rPr>
            </w:pPr>
            <w:r>
              <w:rPr>
                <w:color w:val="000000"/>
                <w:sz w:val="16"/>
                <w:szCs w:val="16"/>
              </w:rPr>
              <w:t>Chi-Sq: 16,59. Prob. 0,01</w:t>
            </w:r>
          </w:p>
          <w:p w14:paraId="741D560C" w14:textId="5AE95E02" w:rsidR="005D0736" w:rsidRPr="005D0736" w:rsidRDefault="00DC79B8" w:rsidP="00DC79B8">
            <w:pPr>
              <w:jc w:val="center"/>
              <w:rPr>
                <w:color w:val="000000"/>
                <w:sz w:val="16"/>
                <w:szCs w:val="16"/>
              </w:rPr>
            </w:pPr>
            <w:r>
              <w:rPr>
                <w:color w:val="000000"/>
                <w:sz w:val="16"/>
                <w:szCs w:val="16"/>
              </w:rPr>
              <w:t>GL: (6)</w:t>
            </w:r>
          </w:p>
        </w:tc>
        <w:tc>
          <w:tcPr>
            <w:tcW w:w="1858" w:type="dxa"/>
            <w:gridSpan w:val="3"/>
            <w:shd w:val="clear" w:color="000000" w:fill="E2EFDA"/>
            <w:noWrap/>
            <w:vAlign w:val="bottom"/>
          </w:tcPr>
          <w:p w14:paraId="53CF7899" w14:textId="77777777" w:rsidR="005D0736" w:rsidRDefault="00E37EA4" w:rsidP="005D0736">
            <w:pPr>
              <w:jc w:val="center"/>
              <w:rPr>
                <w:color w:val="000000"/>
                <w:sz w:val="16"/>
                <w:szCs w:val="16"/>
              </w:rPr>
            </w:pPr>
            <w:r>
              <w:rPr>
                <w:color w:val="000000"/>
                <w:sz w:val="16"/>
                <w:szCs w:val="16"/>
              </w:rPr>
              <w:t xml:space="preserve">Chi-Sq: </w:t>
            </w:r>
            <w:r w:rsidR="00DC79B8">
              <w:rPr>
                <w:color w:val="000000"/>
                <w:sz w:val="16"/>
                <w:szCs w:val="16"/>
              </w:rPr>
              <w:t>5,94. Prob. 0,43</w:t>
            </w:r>
          </w:p>
          <w:p w14:paraId="6347DDEE" w14:textId="12C203BF" w:rsidR="00DC79B8" w:rsidRPr="005D0736" w:rsidRDefault="00DC79B8" w:rsidP="005D0736">
            <w:pPr>
              <w:jc w:val="center"/>
              <w:rPr>
                <w:color w:val="000000"/>
                <w:sz w:val="16"/>
                <w:szCs w:val="16"/>
              </w:rPr>
            </w:pPr>
            <w:r>
              <w:rPr>
                <w:color w:val="000000"/>
                <w:sz w:val="16"/>
                <w:szCs w:val="16"/>
              </w:rPr>
              <w:t>GL: (6)</w:t>
            </w:r>
          </w:p>
        </w:tc>
      </w:tr>
      <w:tr w:rsidR="005D0736" w:rsidRPr="005D0736" w14:paraId="5C573C4E" w14:textId="77777777" w:rsidTr="002175D9">
        <w:trPr>
          <w:trHeight w:val="20"/>
        </w:trPr>
        <w:tc>
          <w:tcPr>
            <w:tcW w:w="9061" w:type="dxa"/>
            <w:gridSpan w:val="13"/>
            <w:shd w:val="clear" w:color="auto" w:fill="auto"/>
            <w:noWrap/>
            <w:vAlign w:val="bottom"/>
          </w:tcPr>
          <w:p w14:paraId="7C1D9326" w14:textId="50E1273F" w:rsidR="005D0736" w:rsidRPr="00852236" w:rsidRDefault="00647B1B" w:rsidP="005D0736">
            <w:pPr>
              <w:autoSpaceDE w:val="0"/>
              <w:autoSpaceDN w:val="0"/>
              <w:adjustRightInd w:val="0"/>
              <w:rPr>
                <w:color w:val="000000"/>
                <w:sz w:val="18"/>
                <w:szCs w:val="18"/>
              </w:rPr>
            </w:pPr>
            <w:r>
              <w:rPr>
                <w:color w:val="000000"/>
                <w:sz w:val="18"/>
                <w:szCs w:val="18"/>
              </w:rPr>
              <w:t>VARIÁVEIS: C: Constante; BD</w:t>
            </w:r>
            <w:r w:rsidR="005D0736" w:rsidRPr="00852236">
              <w:rPr>
                <w:color w:val="000000"/>
                <w:sz w:val="18"/>
                <w:szCs w:val="18"/>
              </w:rPr>
              <w:t xml:space="preserve">: Bid Ask; </w:t>
            </w:r>
            <w:r w:rsidR="005D0736" w:rsidRPr="00852236">
              <w:rPr>
                <w:sz w:val="18"/>
                <w:szCs w:val="18"/>
              </w:rPr>
              <w:t>INT</w:t>
            </w:r>
            <w:r w:rsidR="005D0736" w:rsidRPr="00852236">
              <w:rPr>
                <w:color w:val="000000"/>
                <w:sz w:val="18"/>
                <w:szCs w:val="18"/>
              </w:rPr>
              <w:t xml:space="preserve">: Intensidade do volume de negócios apresentada pela média da quantidade de negócios realizados no período; </w:t>
            </w:r>
            <w:r>
              <w:rPr>
                <w:sz w:val="18"/>
                <w:szCs w:val="18"/>
              </w:rPr>
              <w:t>OP</w:t>
            </w:r>
            <w:r w:rsidR="005D0736" w:rsidRPr="00852236">
              <w:rPr>
                <w:sz w:val="18"/>
                <w:szCs w:val="18"/>
              </w:rPr>
              <w:t>CRESC</w:t>
            </w:r>
            <w:r w:rsidR="005D0736" w:rsidRPr="00852236">
              <w:rPr>
                <w:color w:val="000000"/>
                <w:sz w:val="18"/>
                <w:szCs w:val="18"/>
              </w:rPr>
              <w:t>: Oportunidade de crescimento pela média anual</w:t>
            </w:r>
          </w:p>
          <w:p w14:paraId="15A31603" w14:textId="77777777" w:rsidR="005D0736" w:rsidRPr="00852236" w:rsidRDefault="005D0736" w:rsidP="005D0736">
            <w:pPr>
              <w:autoSpaceDE w:val="0"/>
              <w:autoSpaceDN w:val="0"/>
              <w:adjustRightInd w:val="0"/>
              <w:rPr>
                <w:color w:val="000000"/>
                <w:sz w:val="18"/>
                <w:szCs w:val="18"/>
              </w:rPr>
            </w:pPr>
            <w:r w:rsidRPr="00852236">
              <w:rPr>
                <w:sz w:val="18"/>
                <w:szCs w:val="18"/>
              </w:rPr>
              <w:t>RENT</w:t>
            </w:r>
            <w:r w:rsidRPr="00852236">
              <w:rPr>
                <w:color w:val="000000"/>
                <w:sz w:val="18"/>
                <w:szCs w:val="18"/>
              </w:rPr>
              <w:t xml:space="preserve">: Rentabilidade; </w:t>
            </w:r>
            <w:r w:rsidRPr="00852236">
              <w:rPr>
                <w:sz w:val="18"/>
                <w:szCs w:val="18"/>
              </w:rPr>
              <w:t xml:space="preserve">TAM: </w:t>
            </w:r>
            <w:r w:rsidRPr="00852236">
              <w:rPr>
                <w:color w:val="000000"/>
                <w:sz w:val="18"/>
                <w:szCs w:val="18"/>
              </w:rPr>
              <w:t xml:space="preserve">Logaritmo neperiano do Ativo total; </w:t>
            </w:r>
            <w:r w:rsidRPr="00852236">
              <w:rPr>
                <w:sz w:val="18"/>
                <w:szCs w:val="18"/>
              </w:rPr>
              <w:t xml:space="preserve">TANG: </w:t>
            </w:r>
            <w:r w:rsidRPr="00852236">
              <w:rPr>
                <w:color w:val="000000"/>
                <w:sz w:val="18"/>
                <w:szCs w:val="18"/>
              </w:rPr>
              <w:t>Tangibilidade; LIQ: Liquidez em bolsa</w:t>
            </w:r>
          </w:p>
          <w:p w14:paraId="33C65FD5" w14:textId="62EA167D" w:rsidR="005D0736" w:rsidRPr="005D0736" w:rsidRDefault="00647B1B" w:rsidP="00647B1B">
            <w:pPr>
              <w:rPr>
                <w:color w:val="000000"/>
                <w:sz w:val="16"/>
                <w:szCs w:val="16"/>
              </w:rPr>
            </w:pPr>
            <w:r>
              <w:rPr>
                <w:color w:val="000000"/>
                <w:sz w:val="18"/>
                <w:szCs w:val="18"/>
              </w:rPr>
              <w:t>RISCO: Risco; VOL</w:t>
            </w:r>
            <w:r w:rsidR="005D0736" w:rsidRPr="00852236">
              <w:rPr>
                <w:color w:val="000000"/>
                <w:sz w:val="18"/>
                <w:szCs w:val="18"/>
              </w:rPr>
              <w:t>: Volatilidade; TROF: Dummy para Troféu Transparência ANEFAC; N/D: Variáveis não disponívei</w:t>
            </w:r>
            <w:r w:rsidR="005D0736">
              <w:rPr>
                <w:color w:val="000000"/>
                <w:sz w:val="18"/>
                <w:szCs w:val="18"/>
              </w:rPr>
              <w:t>s</w:t>
            </w:r>
            <w:r>
              <w:rPr>
                <w:color w:val="000000"/>
                <w:sz w:val="18"/>
                <w:szCs w:val="18"/>
              </w:rPr>
              <w:t>.</w:t>
            </w:r>
          </w:p>
        </w:tc>
      </w:tr>
    </w:tbl>
    <w:p w14:paraId="0C9A7468" w14:textId="77777777" w:rsidR="00647B1B" w:rsidRPr="00EF2A33" w:rsidRDefault="00647B1B" w:rsidP="00647B1B">
      <w:pPr>
        <w:spacing w:line="360" w:lineRule="auto"/>
        <w:jc w:val="both"/>
        <w:rPr>
          <w:sz w:val="22"/>
          <w:szCs w:val="22"/>
        </w:rPr>
      </w:pPr>
      <w:r w:rsidRPr="00EF2A33">
        <w:rPr>
          <w:sz w:val="22"/>
          <w:szCs w:val="22"/>
        </w:rPr>
        <w:t>Fonte: resultados da pesquisa (2017).</w:t>
      </w:r>
    </w:p>
    <w:p w14:paraId="2BEA13F9" w14:textId="7331086E" w:rsidR="005D0736" w:rsidRPr="00EF2A33" w:rsidRDefault="005D0736" w:rsidP="00835FD0">
      <w:pPr>
        <w:spacing w:line="360" w:lineRule="auto"/>
        <w:jc w:val="both"/>
        <w:rPr>
          <w:sz w:val="22"/>
          <w:szCs w:val="22"/>
        </w:rPr>
      </w:pPr>
    </w:p>
    <w:p w14:paraId="6D4E8A3F" w14:textId="1963F3E0" w:rsidR="00566E1D" w:rsidRPr="00EF2A33" w:rsidRDefault="00E130EE" w:rsidP="00592267">
      <w:pPr>
        <w:spacing w:line="360" w:lineRule="auto"/>
        <w:ind w:firstLine="709"/>
        <w:jc w:val="both"/>
        <w:rPr>
          <w:sz w:val="22"/>
          <w:szCs w:val="22"/>
        </w:rPr>
      </w:pPr>
      <w:r w:rsidRPr="00EF2A33">
        <w:rPr>
          <w:sz w:val="22"/>
          <w:szCs w:val="22"/>
        </w:rPr>
        <w:t>O</w:t>
      </w:r>
      <w:r w:rsidR="003B3B85" w:rsidRPr="00EF2A33">
        <w:rPr>
          <w:sz w:val="22"/>
          <w:szCs w:val="22"/>
        </w:rPr>
        <w:t>s resultados das regressões apresentados na tabela acima são de</w:t>
      </w:r>
      <w:r w:rsidRPr="00EF2A33">
        <w:rPr>
          <w:sz w:val="22"/>
          <w:szCs w:val="22"/>
        </w:rPr>
        <w:t xml:space="preserve"> </w:t>
      </w:r>
      <w:r w:rsidR="00975AC3" w:rsidRPr="00EF2A33">
        <w:rPr>
          <w:sz w:val="22"/>
          <w:szCs w:val="22"/>
        </w:rPr>
        <w:t>modelo</w:t>
      </w:r>
      <w:r w:rsidR="003B3B85" w:rsidRPr="00EF2A33">
        <w:rPr>
          <w:sz w:val="22"/>
          <w:szCs w:val="22"/>
        </w:rPr>
        <w:t>s</w:t>
      </w:r>
      <w:r w:rsidR="00975AC3" w:rsidRPr="00EF2A33">
        <w:rPr>
          <w:sz w:val="22"/>
          <w:szCs w:val="22"/>
        </w:rPr>
        <w:t xml:space="preserve"> de efeito fixo</w:t>
      </w:r>
      <w:r w:rsidR="00C40420" w:rsidRPr="00EF2A33">
        <w:rPr>
          <w:sz w:val="22"/>
          <w:szCs w:val="22"/>
        </w:rPr>
        <w:t xml:space="preserve">. </w:t>
      </w:r>
      <w:r w:rsidR="00566E1D" w:rsidRPr="00EF2A33">
        <w:rPr>
          <w:sz w:val="22"/>
          <w:szCs w:val="22"/>
        </w:rPr>
        <w:t>Saliente-se que o modelo foi rodado utilizando-se a ponderação nas cross-sections</w:t>
      </w:r>
      <w:r w:rsidR="00FC0ACA" w:rsidRPr="00EF2A33">
        <w:rPr>
          <w:sz w:val="22"/>
          <w:szCs w:val="22"/>
        </w:rPr>
        <w:t xml:space="preserve"> (cross-sections weights)</w:t>
      </w:r>
      <w:r w:rsidR="00566E1D" w:rsidRPr="00EF2A33">
        <w:rPr>
          <w:sz w:val="22"/>
          <w:szCs w:val="22"/>
        </w:rPr>
        <w:t xml:space="preserve">, o que faz com que o software realize a estimação assumindo a presença da heterocedasticidade </w:t>
      </w:r>
      <w:r w:rsidR="00566E1D" w:rsidRPr="00EF2A33">
        <w:rPr>
          <w:sz w:val="22"/>
          <w:szCs w:val="22"/>
        </w:rPr>
        <w:lastRenderedPageBreak/>
        <w:t>nas cross-sections</w:t>
      </w:r>
      <w:r w:rsidR="00FC0ACA" w:rsidRPr="00EF2A33">
        <w:rPr>
          <w:sz w:val="22"/>
          <w:szCs w:val="22"/>
        </w:rPr>
        <w:t>, bem como que existe correlação contemporânea entre as cross-sections (White cross-sections)</w:t>
      </w:r>
      <w:r w:rsidR="00566E1D" w:rsidRPr="00EF2A33">
        <w:rPr>
          <w:sz w:val="22"/>
          <w:szCs w:val="22"/>
        </w:rPr>
        <w:t xml:space="preserve">. </w:t>
      </w:r>
    </w:p>
    <w:p w14:paraId="3480A67E" w14:textId="7F7862C9" w:rsidR="00E130EE" w:rsidRPr="00EF2A33" w:rsidRDefault="00C40420" w:rsidP="00592267">
      <w:pPr>
        <w:spacing w:line="360" w:lineRule="auto"/>
        <w:ind w:firstLine="709"/>
        <w:jc w:val="both"/>
        <w:rPr>
          <w:sz w:val="22"/>
          <w:szCs w:val="22"/>
        </w:rPr>
      </w:pPr>
      <w:r w:rsidRPr="00EF2A33">
        <w:rPr>
          <w:sz w:val="22"/>
          <w:szCs w:val="22"/>
        </w:rPr>
        <w:t xml:space="preserve">Foi realizado o </w:t>
      </w:r>
      <w:r w:rsidR="00975AC3" w:rsidRPr="00EF2A33">
        <w:rPr>
          <w:sz w:val="22"/>
          <w:szCs w:val="22"/>
        </w:rPr>
        <w:t xml:space="preserve">teste F, </w:t>
      </w:r>
      <w:r w:rsidR="00E130EE" w:rsidRPr="00EF2A33">
        <w:rPr>
          <w:sz w:val="22"/>
          <w:szCs w:val="22"/>
        </w:rPr>
        <w:t>que testa a aderência do modelo</w:t>
      </w:r>
      <w:r w:rsidR="00975AC3" w:rsidRPr="00EF2A33">
        <w:rPr>
          <w:sz w:val="22"/>
          <w:szCs w:val="22"/>
        </w:rPr>
        <w:t xml:space="preserve">, testando se </w:t>
      </w:r>
      <w:r w:rsidR="00E130EE" w:rsidRPr="00EF2A33">
        <w:rPr>
          <w:sz w:val="22"/>
          <w:szCs w:val="22"/>
        </w:rPr>
        <w:t>todos os parâmetros associados aos regressores são simultaneamente iguais a zero, a um determinado nível de significância relevante. Observa-se que, no caso</w:t>
      </w:r>
      <w:r w:rsidR="00A8744D" w:rsidRPr="00EF2A33">
        <w:rPr>
          <w:sz w:val="22"/>
          <w:szCs w:val="22"/>
        </w:rPr>
        <w:t xml:space="preserve"> </w:t>
      </w:r>
      <w:r w:rsidR="00975AC3" w:rsidRPr="00EF2A33">
        <w:rPr>
          <w:sz w:val="22"/>
          <w:szCs w:val="22"/>
        </w:rPr>
        <w:t xml:space="preserve">tanto das empresas brasileiras quanto das norte-americanas, </w:t>
      </w:r>
      <w:r w:rsidR="00E130EE" w:rsidRPr="00EF2A33">
        <w:rPr>
          <w:sz w:val="22"/>
          <w:szCs w:val="22"/>
        </w:rPr>
        <w:t>modelo de efeito fixo</w:t>
      </w:r>
      <w:r w:rsidR="00975AC3" w:rsidRPr="00EF2A33">
        <w:rPr>
          <w:sz w:val="22"/>
          <w:szCs w:val="22"/>
        </w:rPr>
        <w:t xml:space="preserve"> passa </w:t>
      </w:r>
      <w:r w:rsidR="00E130EE" w:rsidRPr="00EF2A33">
        <w:rPr>
          <w:sz w:val="22"/>
          <w:szCs w:val="22"/>
        </w:rPr>
        <w:t xml:space="preserve">pelo teste de aderência ao nível de significância de 1%. </w:t>
      </w:r>
    </w:p>
    <w:p w14:paraId="3A68FF41" w14:textId="3B026891" w:rsidR="00731943" w:rsidRPr="00EF2A33" w:rsidRDefault="00731943" w:rsidP="00592267">
      <w:pPr>
        <w:spacing w:line="360" w:lineRule="auto"/>
        <w:ind w:firstLine="709"/>
        <w:jc w:val="both"/>
        <w:rPr>
          <w:sz w:val="22"/>
          <w:szCs w:val="22"/>
          <w:lang w:val="pt-PT"/>
        </w:rPr>
      </w:pPr>
      <w:r w:rsidRPr="00EF2A33">
        <w:rPr>
          <w:sz w:val="22"/>
          <w:szCs w:val="22"/>
        </w:rPr>
        <w:t xml:space="preserve">O método de estimação para o painel de dados foi o </w:t>
      </w:r>
      <w:r w:rsidRPr="00EF2A33">
        <w:rPr>
          <w:i/>
          <w:sz w:val="22"/>
          <w:szCs w:val="22"/>
        </w:rPr>
        <w:t>Generalized Least Squares Estimator</w:t>
      </w:r>
      <w:r w:rsidRPr="00EF2A33">
        <w:rPr>
          <w:sz w:val="22"/>
          <w:szCs w:val="22"/>
        </w:rPr>
        <w:t xml:space="preserve"> (EGLS) ponderado pelas </w:t>
      </w:r>
      <w:r w:rsidR="009F2B6F" w:rsidRPr="00EF2A33">
        <w:rPr>
          <w:sz w:val="22"/>
          <w:szCs w:val="22"/>
        </w:rPr>
        <w:t xml:space="preserve">empresas </w:t>
      </w:r>
      <w:r w:rsidRPr="00EF2A33">
        <w:rPr>
          <w:sz w:val="22"/>
          <w:szCs w:val="22"/>
        </w:rPr>
        <w:t xml:space="preserve">e, para a correção da heterocedasticia foi utilizada o método de White </w:t>
      </w:r>
      <w:r w:rsidRPr="00EF2A33">
        <w:rPr>
          <w:sz w:val="22"/>
          <w:szCs w:val="22"/>
          <w:lang w:val="pt-PT"/>
        </w:rPr>
        <w:t>usando a matriz diagonal para variância e covariância dos erros</w:t>
      </w:r>
      <w:r w:rsidR="003B3B85" w:rsidRPr="00EF2A33">
        <w:rPr>
          <w:sz w:val="22"/>
          <w:szCs w:val="22"/>
          <w:lang w:val="pt-PT"/>
        </w:rPr>
        <w:t>, conforme indicado acima</w:t>
      </w:r>
      <w:r w:rsidRPr="00EF2A33">
        <w:rPr>
          <w:sz w:val="22"/>
          <w:szCs w:val="22"/>
          <w:lang w:val="pt-PT"/>
        </w:rPr>
        <w:t>.</w:t>
      </w:r>
    </w:p>
    <w:p w14:paraId="54B24AD2" w14:textId="36865B59" w:rsidR="00E407F3" w:rsidRPr="00EF2A33" w:rsidRDefault="0065269A" w:rsidP="00592267">
      <w:pPr>
        <w:spacing w:line="360" w:lineRule="auto"/>
        <w:ind w:firstLine="709"/>
        <w:jc w:val="both"/>
        <w:rPr>
          <w:sz w:val="22"/>
          <w:szCs w:val="22"/>
          <w:lang w:val="pt-PT"/>
        </w:rPr>
      </w:pPr>
      <w:r w:rsidRPr="00EF2A33">
        <w:rPr>
          <w:sz w:val="22"/>
          <w:szCs w:val="22"/>
          <w:lang w:val="pt-PT"/>
        </w:rPr>
        <w:t>Ao se utilizar dados em painel</w:t>
      </w:r>
      <w:r w:rsidR="00C40420" w:rsidRPr="00EF2A33">
        <w:rPr>
          <w:sz w:val="22"/>
          <w:szCs w:val="22"/>
          <w:lang w:val="pt-PT"/>
        </w:rPr>
        <w:t xml:space="preserve"> </w:t>
      </w:r>
      <w:r w:rsidRPr="00EF2A33">
        <w:rPr>
          <w:sz w:val="22"/>
          <w:szCs w:val="22"/>
          <w:lang w:val="pt-PT"/>
        </w:rPr>
        <w:t>se faz necessário avaliar</w:t>
      </w:r>
      <w:r w:rsidR="00C40420" w:rsidRPr="00EF2A33">
        <w:rPr>
          <w:sz w:val="22"/>
          <w:szCs w:val="22"/>
          <w:lang w:val="pt-PT"/>
        </w:rPr>
        <w:t xml:space="preserve">, </w:t>
      </w:r>
      <w:r w:rsidRPr="00EF2A33">
        <w:rPr>
          <w:sz w:val="22"/>
          <w:szCs w:val="22"/>
          <w:lang w:val="pt-PT"/>
        </w:rPr>
        <w:t>inicialmente</w:t>
      </w:r>
      <w:r w:rsidR="00C40420" w:rsidRPr="00EF2A33">
        <w:rPr>
          <w:sz w:val="22"/>
          <w:szCs w:val="22"/>
          <w:lang w:val="pt-PT"/>
        </w:rPr>
        <w:t>,</w:t>
      </w:r>
      <w:r w:rsidRPr="00EF2A33">
        <w:rPr>
          <w:sz w:val="22"/>
          <w:szCs w:val="22"/>
          <w:lang w:val="pt-PT"/>
        </w:rPr>
        <w:t xml:space="preserve"> se os dados podem </w:t>
      </w:r>
      <w:r w:rsidR="00745053" w:rsidRPr="00EF2A33">
        <w:rPr>
          <w:sz w:val="22"/>
          <w:szCs w:val="22"/>
          <w:lang w:val="pt-PT"/>
        </w:rPr>
        <w:t xml:space="preserve">ser </w:t>
      </w:r>
      <w:r w:rsidRPr="00EF2A33">
        <w:rPr>
          <w:sz w:val="22"/>
          <w:szCs w:val="22"/>
          <w:lang w:val="pt-PT"/>
        </w:rPr>
        <w:t>simplesmente e</w:t>
      </w:r>
      <w:r w:rsidR="00E407F3" w:rsidRPr="00EF2A33">
        <w:rPr>
          <w:sz w:val="22"/>
          <w:szCs w:val="22"/>
          <w:lang w:val="pt-PT"/>
        </w:rPr>
        <w:t>mpilhados</w:t>
      </w:r>
      <w:r w:rsidRPr="00EF2A33">
        <w:rPr>
          <w:sz w:val="22"/>
          <w:szCs w:val="22"/>
          <w:lang w:val="pt-PT"/>
        </w:rPr>
        <w:t xml:space="preserve"> (</w:t>
      </w:r>
      <w:r w:rsidRPr="00EF2A33">
        <w:rPr>
          <w:i/>
          <w:sz w:val="22"/>
          <w:szCs w:val="22"/>
          <w:lang w:val="pt-PT"/>
        </w:rPr>
        <w:t>pooled regression</w:t>
      </w:r>
      <w:r w:rsidRPr="00EF2A33">
        <w:rPr>
          <w:sz w:val="22"/>
          <w:szCs w:val="22"/>
          <w:lang w:val="pt-PT"/>
        </w:rPr>
        <w:t>) ou</w:t>
      </w:r>
      <w:r w:rsidR="00745053" w:rsidRPr="00EF2A33">
        <w:rPr>
          <w:sz w:val="22"/>
          <w:szCs w:val="22"/>
          <w:lang w:val="pt-PT"/>
        </w:rPr>
        <w:t>,</w:t>
      </w:r>
      <w:r w:rsidRPr="00EF2A33">
        <w:rPr>
          <w:sz w:val="22"/>
          <w:szCs w:val="22"/>
          <w:lang w:val="pt-PT"/>
        </w:rPr>
        <w:t xml:space="preserve"> se </w:t>
      </w:r>
      <w:r w:rsidR="00E407F3" w:rsidRPr="00EF2A33">
        <w:rPr>
          <w:sz w:val="22"/>
          <w:szCs w:val="22"/>
          <w:lang w:val="pt-PT"/>
        </w:rPr>
        <w:t xml:space="preserve">havendo heterogeneidade, como ela deve ser modelada. Assim sendo, procedeu-se inicialmente </w:t>
      </w:r>
      <w:r w:rsidR="009F2B6F" w:rsidRPr="00EF2A33">
        <w:rPr>
          <w:sz w:val="22"/>
          <w:szCs w:val="22"/>
          <w:lang w:val="pt-PT"/>
        </w:rPr>
        <w:t>ao teste F, para efeito fixo nas empresas</w:t>
      </w:r>
      <w:r w:rsidR="00E407F3" w:rsidRPr="00EF2A33">
        <w:rPr>
          <w:sz w:val="22"/>
          <w:szCs w:val="22"/>
          <w:lang w:val="pt-PT"/>
        </w:rPr>
        <w:t>. Este teste testa o modelo empilhado comparado ao modelo com variáveis binárias. No presente resultado, o efeito fixo testado foi das</w:t>
      </w:r>
      <w:r w:rsidR="009F2B6F" w:rsidRPr="00EF2A33">
        <w:rPr>
          <w:sz w:val="22"/>
          <w:szCs w:val="22"/>
          <w:lang w:val="pt-PT"/>
        </w:rPr>
        <w:t xml:space="preserve"> empresas</w:t>
      </w:r>
      <w:r w:rsidR="00E407F3" w:rsidRPr="00EF2A33">
        <w:rPr>
          <w:i/>
          <w:sz w:val="22"/>
          <w:szCs w:val="22"/>
          <w:lang w:val="pt-PT"/>
        </w:rPr>
        <w:t xml:space="preserve">, </w:t>
      </w:r>
      <w:r w:rsidR="00E407F3" w:rsidRPr="00EF2A33">
        <w:rPr>
          <w:sz w:val="22"/>
          <w:szCs w:val="22"/>
          <w:lang w:val="pt-PT"/>
        </w:rPr>
        <w:t>o qual se mostrou altamente significativo. Ou seja, existe heterogeneidade entre as empre</w:t>
      </w:r>
      <w:r w:rsidR="00F6239E" w:rsidRPr="00EF2A33">
        <w:rPr>
          <w:sz w:val="22"/>
          <w:szCs w:val="22"/>
          <w:lang w:val="pt-PT"/>
        </w:rPr>
        <w:t>sas, mas são invariantes no tempo. Foi testado também o efeito tempo, mas este não se mostrou relevante.</w:t>
      </w:r>
    </w:p>
    <w:p w14:paraId="38A91716" w14:textId="3B6BC488" w:rsidR="00B82824" w:rsidRPr="00EF2A33" w:rsidRDefault="00C40420" w:rsidP="00592267">
      <w:pPr>
        <w:spacing w:line="360" w:lineRule="auto"/>
        <w:ind w:firstLine="709"/>
        <w:jc w:val="both"/>
        <w:rPr>
          <w:sz w:val="22"/>
          <w:szCs w:val="22"/>
          <w:lang w:val="pt-PT"/>
        </w:rPr>
      </w:pPr>
      <w:r w:rsidRPr="00EF2A33">
        <w:rPr>
          <w:sz w:val="22"/>
          <w:szCs w:val="22"/>
          <w:lang w:val="pt-PT"/>
        </w:rPr>
        <w:t xml:space="preserve">Saliente-se </w:t>
      </w:r>
      <w:r w:rsidR="00F6239E" w:rsidRPr="00EF2A33">
        <w:rPr>
          <w:sz w:val="22"/>
          <w:szCs w:val="22"/>
          <w:lang w:val="pt-PT"/>
        </w:rPr>
        <w:t xml:space="preserve">que o modelo de efeito fixo “consome” um número considerável de graus de liberdade (é estimado um intercepto para cada empresa), </w:t>
      </w:r>
      <w:r w:rsidR="003B3B85" w:rsidRPr="00EF2A33">
        <w:rPr>
          <w:sz w:val="22"/>
          <w:szCs w:val="22"/>
          <w:lang w:val="pt-PT"/>
        </w:rPr>
        <w:t xml:space="preserve">e diante disso, </w:t>
      </w:r>
      <w:r w:rsidR="00F6239E" w:rsidRPr="00EF2A33">
        <w:rPr>
          <w:sz w:val="22"/>
          <w:szCs w:val="22"/>
          <w:lang w:val="pt-PT"/>
        </w:rPr>
        <w:t>procedeu-se o teste de Hausman para avaliar se a heterogeneidade pode ser captada pelo componente de erro ε</w:t>
      </w:r>
      <w:r w:rsidR="00F6239E" w:rsidRPr="00EF2A33">
        <w:rPr>
          <w:sz w:val="22"/>
          <w:szCs w:val="22"/>
          <w:vertAlign w:val="subscript"/>
          <w:lang w:val="pt-PT"/>
        </w:rPr>
        <w:t>i</w:t>
      </w:r>
      <w:r w:rsidR="004F2FC9" w:rsidRPr="00EF2A33">
        <w:rPr>
          <w:sz w:val="22"/>
          <w:szCs w:val="22"/>
          <w:lang w:val="pt-PT"/>
        </w:rPr>
        <w:t xml:space="preserve"> (aleatório). Ou seja, se não se rejeitar a hipótese nula subjacente ao teste de Hausman, os estimadores do modelo de efeito fixo e do modelo de componentes de erros, não diferem substancialmente. Assim, ganha-se em graus de liberdade com o modelo de componente de erro, ou de efeito aleatório. </w:t>
      </w:r>
    </w:p>
    <w:p w14:paraId="31F7D06B" w14:textId="4E60785E" w:rsidR="009A1F65" w:rsidRPr="00EF2A33" w:rsidRDefault="009A1F65" w:rsidP="00592267">
      <w:pPr>
        <w:spacing w:line="360" w:lineRule="auto"/>
        <w:ind w:firstLine="709"/>
        <w:jc w:val="both"/>
        <w:rPr>
          <w:color w:val="00000A"/>
          <w:sz w:val="22"/>
          <w:szCs w:val="22"/>
        </w:rPr>
      </w:pPr>
      <w:r w:rsidRPr="00EF2A33">
        <w:rPr>
          <w:color w:val="000000"/>
          <w:sz w:val="22"/>
          <w:szCs w:val="22"/>
        </w:rPr>
        <w:t>Confo</w:t>
      </w:r>
      <w:r w:rsidR="002D01E3" w:rsidRPr="00EF2A33">
        <w:rPr>
          <w:color w:val="000000"/>
          <w:sz w:val="22"/>
          <w:szCs w:val="22"/>
        </w:rPr>
        <w:t xml:space="preserve">rme se verificou </w:t>
      </w:r>
      <w:r w:rsidR="00FF6001" w:rsidRPr="00EF2A33">
        <w:rPr>
          <w:color w:val="000000"/>
          <w:sz w:val="22"/>
          <w:szCs w:val="22"/>
        </w:rPr>
        <w:t>(ver Tabela 2</w:t>
      </w:r>
      <w:r w:rsidR="00184D5F" w:rsidRPr="00EF2A33">
        <w:rPr>
          <w:color w:val="000000"/>
          <w:sz w:val="22"/>
          <w:szCs w:val="22"/>
        </w:rPr>
        <w:t>)</w:t>
      </w:r>
      <w:r w:rsidRPr="00EF2A33">
        <w:rPr>
          <w:color w:val="000000"/>
          <w:sz w:val="22"/>
          <w:szCs w:val="22"/>
        </w:rPr>
        <w:t xml:space="preserve">, o resultado do </w:t>
      </w:r>
      <w:r w:rsidR="00172BC7" w:rsidRPr="00EF2A33">
        <w:rPr>
          <w:color w:val="000000"/>
          <w:sz w:val="22"/>
          <w:szCs w:val="22"/>
        </w:rPr>
        <w:t xml:space="preserve">teste de Hausman </w:t>
      </w:r>
      <w:r w:rsidRPr="00EF2A33">
        <w:rPr>
          <w:color w:val="000000"/>
          <w:sz w:val="22"/>
          <w:szCs w:val="22"/>
        </w:rPr>
        <w:t xml:space="preserve">reportado indicou um </w:t>
      </w:r>
      <w:r w:rsidRPr="00EF2A33">
        <w:rPr>
          <w:i/>
          <w:color w:val="000000"/>
          <w:sz w:val="22"/>
          <w:szCs w:val="22"/>
        </w:rPr>
        <w:t>p-value</w:t>
      </w:r>
      <w:r w:rsidRPr="00EF2A33">
        <w:rPr>
          <w:color w:val="000000"/>
          <w:sz w:val="22"/>
          <w:szCs w:val="22"/>
        </w:rPr>
        <w:t xml:space="preserve"> de 0,00</w:t>
      </w:r>
      <w:r w:rsidR="00A32505" w:rsidRPr="00EF2A33">
        <w:rPr>
          <w:color w:val="000000"/>
          <w:sz w:val="22"/>
          <w:szCs w:val="22"/>
        </w:rPr>
        <w:t xml:space="preserve"> para as empresas brasileiras</w:t>
      </w:r>
      <w:r w:rsidR="003B3B85" w:rsidRPr="00EF2A33">
        <w:rPr>
          <w:color w:val="000000"/>
          <w:sz w:val="22"/>
          <w:szCs w:val="22"/>
        </w:rPr>
        <w:t xml:space="preserve"> com valores acima da média da variável tamanho e para as empresas estadunidenses com valores abaixo da média da variável tamanho</w:t>
      </w:r>
      <w:r w:rsidRPr="00EF2A33">
        <w:rPr>
          <w:color w:val="000000"/>
          <w:sz w:val="22"/>
          <w:szCs w:val="22"/>
        </w:rPr>
        <w:t xml:space="preserve">, o que </w:t>
      </w:r>
      <w:r w:rsidRPr="00EF2A33">
        <w:rPr>
          <w:sz w:val="22"/>
          <w:szCs w:val="22"/>
        </w:rPr>
        <w:t xml:space="preserve">permite </w:t>
      </w:r>
      <w:r w:rsidRPr="00EF2A33">
        <w:rPr>
          <w:color w:val="00000A"/>
          <w:sz w:val="22"/>
          <w:szCs w:val="22"/>
        </w:rPr>
        <w:t xml:space="preserve">rejeitar com segurança a hipótese nula a qualquer nível </w:t>
      </w:r>
      <w:r w:rsidR="004F2FC9" w:rsidRPr="00EF2A33">
        <w:rPr>
          <w:color w:val="00000A"/>
          <w:sz w:val="22"/>
          <w:szCs w:val="22"/>
        </w:rPr>
        <w:t>de significância</w:t>
      </w:r>
      <w:r w:rsidR="00A32505" w:rsidRPr="00EF2A33">
        <w:rPr>
          <w:color w:val="00000A"/>
          <w:sz w:val="22"/>
          <w:szCs w:val="22"/>
        </w:rPr>
        <w:t xml:space="preserve">. </w:t>
      </w:r>
      <w:r w:rsidRPr="00EF2A33">
        <w:rPr>
          <w:color w:val="00000A"/>
          <w:sz w:val="22"/>
          <w:szCs w:val="22"/>
        </w:rPr>
        <w:t>Assim, assume-se que o modelo apresenta efeito fixo, uma vez que existe correlação entre os efeitos individuais e as variáveis explicativas do modelo.</w:t>
      </w:r>
    </w:p>
    <w:p w14:paraId="3390B459" w14:textId="77777777" w:rsidR="003B3B85" w:rsidRPr="00EF2A33" w:rsidRDefault="00A32505" w:rsidP="00592267">
      <w:pPr>
        <w:spacing w:line="360" w:lineRule="auto"/>
        <w:ind w:firstLine="709"/>
        <w:jc w:val="both"/>
        <w:rPr>
          <w:color w:val="00000A"/>
          <w:sz w:val="22"/>
          <w:szCs w:val="22"/>
        </w:rPr>
      </w:pPr>
      <w:r w:rsidRPr="00EF2A33">
        <w:rPr>
          <w:color w:val="00000A"/>
          <w:sz w:val="22"/>
          <w:szCs w:val="22"/>
        </w:rPr>
        <w:t xml:space="preserve">Curioso notar que para as empresas </w:t>
      </w:r>
      <w:r w:rsidR="003B3B85" w:rsidRPr="00EF2A33">
        <w:rPr>
          <w:color w:val="00000A"/>
          <w:sz w:val="22"/>
          <w:szCs w:val="22"/>
        </w:rPr>
        <w:t xml:space="preserve">brasileiras com valores acima da média da variável tamanho e </w:t>
      </w:r>
      <w:r w:rsidRPr="00EF2A33">
        <w:rPr>
          <w:color w:val="00000A"/>
          <w:sz w:val="22"/>
          <w:szCs w:val="22"/>
        </w:rPr>
        <w:t>norte-americanas</w:t>
      </w:r>
      <w:r w:rsidR="003B3B85" w:rsidRPr="00EF2A33">
        <w:rPr>
          <w:color w:val="00000A"/>
          <w:sz w:val="22"/>
          <w:szCs w:val="22"/>
        </w:rPr>
        <w:t xml:space="preserve"> com valores abaixo da média da variável tamanho, </w:t>
      </w:r>
      <w:r w:rsidRPr="00EF2A33">
        <w:rPr>
          <w:color w:val="00000A"/>
          <w:sz w:val="22"/>
          <w:szCs w:val="22"/>
        </w:rPr>
        <w:t>o teste de Hausman reporto</w:t>
      </w:r>
      <w:r w:rsidR="00184D5F" w:rsidRPr="00EF2A33">
        <w:rPr>
          <w:color w:val="00000A"/>
          <w:sz w:val="22"/>
          <w:szCs w:val="22"/>
        </w:rPr>
        <w:t>u</w:t>
      </w:r>
      <w:r w:rsidRPr="00EF2A33">
        <w:rPr>
          <w:color w:val="00000A"/>
          <w:sz w:val="22"/>
          <w:szCs w:val="22"/>
        </w:rPr>
        <w:t xml:space="preserve"> </w:t>
      </w:r>
      <w:r w:rsidRPr="00EF2A33">
        <w:rPr>
          <w:i/>
          <w:color w:val="00000A"/>
          <w:sz w:val="22"/>
          <w:szCs w:val="22"/>
        </w:rPr>
        <w:t>p-value</w:t>
      </w:r>
      <w:r w:rsidRPr="00EF2A33">
        <w:rPr>
          <w:color w:val="00000A"/>
          <w:sz w:val="22"/>
          <w:szCs w:val="22"/>
        </w:rPr>
        <w:t xml:space="preserve"> de </w:t>
      </w:r>
      <w:r w:rsidR="003B3B85" w:rsidRPr="00EF2A33">
        <w:rPr>
          <w:color w:val="00000A"/>
          <w:sz w:val="22"/>
          <w:szCs w:val="22"/>
        </w:rPr>
        <w:t xml:space="preserve">0,94 e 0,43, respectivamente, </w:t>
      </w:r>
      <w:r w:rsidRPr="00EF2A33">
        <w:rPr>
          <w:color w:val="00000A"/>
          <w:sz w:val="22"/>
          <w:szCs w:val="22"/>
        </w:rPr>
        <w:t>o que indica efeito aleatório no modelo. No entanto, o teste F indicou que o modelo é aderente ao efeito fixo. Portanto, diante dessa dicotomia, e por uma questão de coerência com o</w:t>
      </w:r>
      <w:r w:rsidR="003B3B85" w:rsidRPr="00EF2A33">
        <w:rPr>
          <w:color w:val="00000A"/>
          <w:sz w:val="22"/>
          <w:szCs w:val="22"/>
        </w:rPr>
        <w:t>s demais</w:t>
      </w:r>
      <w:r w:rsidRPr="00EF2A33">
        <w:rPr>
          <w:color w:val="00000A"/>
          <w:sz w:val="22"/>
          <w:szCs w:val="22"/>
        </w:rPr>
        <w:t xml:space="preserve"> modelo</w:t>
      </w:r>
      <w:r w:rsidR="003B3B85" w:rsidRPr="00EF2A33">
        <w:rPr>
          <w:color w:val="00000A"/>
          <w:sz w:val="22"/>
          <w:szCs w:val="22"/>
        </w:rPr>
        <w:t xml:space="preserve">s já indicados, adotou-se </w:t>
      </w:r>
      <w:r w:rsidRPr="00EF2A33">
        <w:rPr>
          <w:color w:val="00000A"/>
          <w:sz w:val="22"/>
          <w:szCs w:val="22"/>
        </w:rPr>
        <w:t xml:space="preserve">o modelo de efeito fixo para </w:t>
      </w:r>
      <w:r w:rsidR="003B3B85" w:rsidRPr="00EF2A33">
        <w:rPr>
          <w:color w:val="00000A"/>
          <w:sz w:val="22"/>
          <w:szCs w:val="22"/>
        </w:rPr>
        <w:t>todas as empresas.</w:t>
      </w:r>
    </w:p>
    <w:p w14:paraId="21092F2C" w14:textId="2B205F14" w:rsidR="00DE5E47" w:rsidRPr="00EF2A33" w:rsidRDefault="00B60697" w:rsidP="00592267">
      <w:pPr>
        <w:spacing w:line="360" w:lineRule="auto"/>
        <w:ind w:firstLine="709"/>
        <w:jc w:val="both"/>
        <w:rPr>
          <w:color w:val="00000A"/>
          <w:sz w:val="22"/>
          <w:szCs w:val="22"/>
        </w:rPr>
      </w:pPr>
      <w:r w:rsidRPr="00EF2A33">
        <w:rPr>
          <w:color w:val="00000A"/>
          <w:sz w:val="22"/>
          <w:szCs w:val="22"/>
        </w:rPr>
        <w:t xml:space="preserve">Importante frisar que </w:t>
      </w:r>
      <w:r w:rsidR="00DE5E47" w:rsidRPr="00EF2A33">
        <w:rPr>
          <w:color w:val="00000A"/>
          <w:sz w:val="22"/>
          <w:szCs w:val="22"/>
        </w:rPr>
        <w:t xml:space="preserve">os </w:t>
      </w:r>
      <w:r w:rsidR="00BC3F72" w:rsidRPr="00EF2A33">
        <w:rPr>
          <w:color w:val="00000A"/>
          <w:sz w:val="22"/>
          <w:szCs w:val="22"/>
        </w:rPr>
        <w:t xml:space="preserve">modelos apresentados na tabela </w:t>
      </w:r>
      <w:r w:rsidRPr="00EF2A33">
        <w:rPr>
          <w:color w:val="00000A"/>
          <w:sz w:val="22"/>
          <w:szCs w:val="22"/>
        </w:rPr>
        <w:t xml:space="preserve">acima </w:t>
      </w:r>
      <w:r w:rsidR="00DE5E47" w:rsidRPr="00EF2A33">
        <w:rPr>
          <w:color w:val="00000A"/>
          <w:sz w:val="22"/>
          <w:szCs w:val="22"/>
        </w:rPr>
        <w:t>foram rodados com correção de White</w:t>
      </w:r>
      <w:r w:rsidR="000A308E" w:rsidRPr="00EF2A33">
        <w:rPr>
          <w:color w:val="00000A"/>
          <w:sz w:val="22"/>
          <w:szCs w:val="22"/>
        </w:rPr>
        <w:t xml:space="preserve"> que, segundo Martins, Machado e Callado (2014), aumenta o erro padrão, diminuindo a estatística t, tornando sua estimativa mais robusta.</w:t>
      </w:r>
    </w:p>
    <w:p w14:paraId="730725A4" w14:textId="60DCDFAF" w:rsidR="003B4CF4" w:rsidRPr="00EF2A33" w:rsidRDefault="003B4CF4" w:rsidP="00592267">
      <w:pPr>
        <w:spacing w:line="360" w:lineRule="auto"/>
        <w:ind w:firstLine="709"/>
        <w:jc w:val="both"/>
        <w:rPr>
          <w:color w:val="00000A"/>
          <w:sz w:val="22"/>
          <w:szCs w:val="22"/>
        </w:rPr>
      </w:pPr>
      <w:r w:rsidRPr="00EF2A33">
        <w:rPr>
          <w:color w:val="00000A"/>
          <w:sz w:val="22"/>
          <w:szCs w:val="22"/>
        </w:rPr>
        <w:lastRenderedPageBreak/>
        <w:t xml:space="preserve">Passando para a análise dos resultados do modelo, em </w:t>
      </w:r>
      <w:r w:rsidR="00672C93" w:rsidRPr="00EF2A33">
        <w:rPr>
          <w:color w:val="00000A"/>
          <w:sz w:val="22"/>
          <w:szCs w:val="22"/>
        </w:rPr>
        <w:t xml:space="preserve">três dos quatro </w:t>
      </w:r>
      <w:r w:rsidRPr="00EF2A33">
        <w:rPr>
          <w:color w:val="00000A"/>
          <w:sz w:val="22"/>
          <w:szCs w:val="22"/>
        </w:rPr>
        <w:t>modelos a constante mostrou-se significativa,</w:t>
      </w:r>
      <w:r w:rsidR="000B1675" w:rsidRPr="00EF2A33">
        <w:rPr>
          <w:color w:val="00000A"/>
          <w:sz w:val="22"/>
          <w:szCs w:val="22"/>
        </w:rPr>
        <w:t xml:space="preserve"> sendo que seu coeficiente passou </w:t>
      </w:r>
      <w:r w:rsidRPr="00EF2A33">
        <w:rPr>
          <w:color w:val="00000A"/>
          <w:sz w:val="22"/>
          <w:szCs w:val="22"/>
        </w:rPr>
        <w:t xml:space="preserve">pelo teste t </w:t>
      </w:r>
      <w:r w:rsidR="00672C93" w:rsidRPr="00EF2A33">
        <w:rPr>
          <w:color w:val="00000A"/>
          <w:sz w:val="22"/>
          <w:szCs w:val="22"/>
        </w:rPr>
        <w:t xml:space="preserve">a 1%. No entanto, </w:t>
      </w:r>
      <w:r w:rsidRPr="00EF2A33">
        <w:rPr>
          <w:color w:val="00000A"/>
          <w:sz w:val="22"/>
          <w:szCs w:val="22"/>
        </w:rPr>
        <w:t xml:space="preserve">para </w:t>
      </w:r>
      <w:r w:rsidR="00672C93" w:rsidRPr="00EF2A33">
        <w:rPr>
          <w:color w:val="00000A"/>
          <w:sz w:val="22"/>
          <w:szCs w:val="22"/>
        </w:rPr>
        <w:t xml:space="preserve">as </w:t>
      </w:r>
      <w:r w:rsidRPr="00EF2A33">
        <w:rPr>
          <w:color w:val="00000A"/>
          <w:sz w:val="22"/>
          <w:szCs w:val="22"/>
        </w:rPr>
        <w:t xml:space="preserve">empresas brasileiras </w:t>
      </w:r>
      <w:r w:rsidR="00672C93" w:rsidRPr="00EF2A33">
        <w:rPr>
          <w:color w:val="00000A"/>
          <w:sz w:val="22"/>
          <w:szCs w:val="22"/>
        </w:rPr>
        <w:t xml:space="preserve">com tamanho inferior à média, a constante não se mostrou significativa. </w:t>
      </w:r>
      <w:r w:rsidR="00735872" w:rsidRPr="00EF2A33">
        <w:rPr>
          <w:color w:val="00000A"/>
          <w:sz w:val="22"/>
          <w:szCs w:val="22"/>
        </w:rPr>
        <w:t>Apenas para fins argumentativos, rodando esse modelo com efeito aleatório, a constante passou pelo teste t a 5% de significância com coeficiente positivo, porém, nenhum, repita-se, nenhum coeficiente das variáveis explicativas passou pelo referido teste. Para as empresas brasileiras com tamanho inferior à média do tamanho, o teste de Hausman acusou um modelo com efeito aleatório (</w:t>
      </w:r>
      <w:r w:rsidR="00735872" w:rsidRPr="00EF2A33">
        <w:rPr>
          <w:i/>
          <w:color w:val="00000A"/>
          <w:sz w:val="22"/>
          <w:szCs w:val="22"/>
        </w:rPr>
        <w:t>p-value</w:t>
      </w:r>
      <w:r w:rsidR="00735872" w:rsidRPr="00EF2A33">
        <w:rPr>
          <w:color w:val="00000A"/>
          <w:sz w:val="22"/>
          <w:szCs w:val="22"/>
        </w:rPr>
        <w:t xml:space="preserve"> &gt; 0,05), porém, o teste F acusou um modelo aderente ao de efeito fixo. </w:t>
      </w:r>
    </w:p>
    <w:p w14:paraId="0B23C7C3" w14:textId="7E94DF07" w:rsidR="00693476" w:rsidRPr="00EF2A33" w:rsidRDefault="00B443A8" w:rsidP="00592267">
      <w:pPr>
        <w:spacing w:line="360" w:lineRule="auto"/>
        <w:ind w:firstLine="709"/>
        <w:jc w:val="both"/>
        <w:rPr>
          <w:color w:val="00000A"/>
          <w:sz w:val="22"/>
          <w:szCs w:val="22"/>
        </w:rPr>
      </w:pPr>
      <w:r w:rsidRPr="00EF2A33">
        <w:rPr>
          <w:color w:val="00000A"/>
          <w:sz w:val="22"/>
          <w:szCs w:val="22"/>
        </w:rPr>
        <w:t xml:space="preserve">O problema de se ter um intercepto que não passa pelo teste t reside no fato de que se trata de um valor estatisticamente não significativo, ou seja, com isso, podemos inferir que o coeficiente da constante é atribuído </w:t>
      </w:r>
      <w:r w:rsidR="00693476" w:rsidRPr="00EF2A33">
        <w:rPr>
          <w:color w:val="00000A"/>
          <w:sz w:val="22"/>
          <w:szCs w:val="22"/>
        </w:rPr>
        <w:t>ao acaso</w:t>
      </w:r>
      <w:r w:rsidRPr="00EF2A33">
        <w:rPr>
          <w:color w:val="00000A"/>
          <w:sz w:val="22"/>
          <w:szCs w:val="22"/>
        </w:rPr>
        <w:t>, e não a fatores não controlados no modelo.</w:t>
      </w:r>
    </w:p>
    <w:p w14:paraId="2A034F58" w14:textId="1A3BBD8A" w:rsidR="00672C93" w:rsidRPr="00EF2A33" w:rsidRDefault="00B443A8" w:rsidP="00592267">
      <w:pPr>
        <w:spacing w:line="360" w:lineRule="auto"/>
        <w:ind w:firstLine="709"/>
        <w:jc w:val="both"/>
        <w:rPr>
          <w:color w:val="00000A"/>
          <w:sz w:val="22"/>
          <w:szCs w:val="22"/>
        </w:rPr>
      </w:pPr>
      <w:r w:rsidRPr="00EF2A33">
        <w:rPr>
          <w:color w:val="00000A"/>
          <w:sz w:val="22"/>
          <w:szCs w:val="22"/>
        </w:rPr>
        <w:t xml:space="preserve">Afora isso, tem-se nos modelos das demais sub-amostras constantes altamente significativas. No entanto, os coeficientes das constantes que passam pelo teste t, embora significativos, apresentaram valores baixos. Considerando que as variáveis explicativas apresentaram, igualmente, coeficientes bastante baixos, conforme indicado na tabela 2, acima, era de se esperar que tanto a constante quanto as variáveis explicativas retornassem coeficientes mais altos, ou seja, com maior poder explicativo. </w:t>
      </w:r>
      <w:r w:rsidR="00F269FF" w:rsidRPr="00EF2A33">
        <w:rPr>
          <w:color w:val="00000A"/>
          <w:sz w:val="22"/>
          <w:szCs w:val="22"/>
        </w:rPr>
        <w:t>Saliente-se que embora fosse de se esperar coeficientes mais robustos, não causa estranheza tal fato, dado que o endividamento empresarial é fenômeno dos mais complexos no campo das finanças corporativas, com ene fatores que interferem na sua dinâmica, sendo pouco provável que um modelo, por mais bem postado que seja, consiga captar de maneira definitiva e cabal todas as variantes que explicam a dívida, o que de certa maneira ajuda a justificar os coeficientes tão baixos retornados pelo modelo de dados em painel.</w:t>
      </w:r>
    </w:p>
    <w:p w14:paraId="528EFC27" w14:textId="15A41127" w:rsidR="003B4CF4" w:rsidRPr="00EF2A33" w:rsidRDefault="00F269FF" w:rsidP="00473F50">
      <w:pPr>
        <w:spacing w:line="360" w:lineRule="auto"/>
        <w:ind w:firstLine="709"/>
        <w:jc w:val="both"/>
        <w:rPr>
          <w:color w:val="00000A"/>
          <w:sz w:val="22"/>
          <w:szCs w:val="22"/>
        </w:rPr>
      </w:pPr>
      <w:r w:rsidRPr="00EF2A33">
        <w:rPr>
          <w:color w:val="00000A"/>
          <w:sz w:val="22"/>
          <w:szCs w:val="22"/>
        </w:rPr>
        <w:t xml:space="preserve">Seguindo na análise, agora tratando das </w:t>
      </w:r>
      <w:r w:rsidR="006D7DE6" w:rsidRPr="00EF2A33">
        <w:rPr>
          <w:color w:val="00000A"/>
          <w:sz w:val="22"/>
          <w:szCs w:val="22"/>
        </w:rPr>
        <w:t>variáveis explicativas, no caso das empresas brasileiras</w:t>
      </w:r>
      <w:r w:rsidR="002B13CA" w:rsidRPr="00EF2A33">
        <w:rPr>
          <w:color w:val="00000A"/>
          <w:sz w:val="22"/>
          <w:szCs w:val="22"/>
        </w:rPr>
        <w:t xml:space="preserve"> abaixo da média da variável tamanho</w:t>
      </w:r>
      <w:r w:rsidR="006D7DE6" w:rsidRPr="00EF2A33">
        <w:rPr>
          <w:color w:val="00000A"/>
          <w:sz w:val="22"/>
          <w:szCs w:val="22"/>
        </w:rPr>
        <w:t xml:space="preserve">, tem-se que </w:t>
      </w:r>
      <w:r w:rsidR="002B13CA" w:rsidRPr="00EF2A33">
        <w:rPr>
          <w:color w:val="00000A"/>
          <w:sz w:val="22"/>
          <w:szCs w:val="22"/>
        </w:rPr>
        <w:t>6</w:t>
      </w:r>
      <w:r w:rsidR="006D7DE6" w:rsidRPr="00EF2A33">
        <w:rPr>
          <w:color w:val="00000A"/>
          <w:sz w:val="22"/>
          <w:szCs w:val="22"/>
        </w:rPr>
        <w:t xml:space="preserve"> das 10 variáveis </w:t>
      </w:r>
      <w:r w:rsidR="00184D5F" w:rsidRPr="00EF2A33">
        <w:rPr>
          <w:color w:val="00000A"/>
          <w:sz w:val="22"/>
          <w:szCs w:val="22"/>
        </w:rPr>
        <w:t>tiveram coeficientes estatisticamente</w:t>
      </w:r>
      <w:r w:rsidR="006D7DE6" w:rsidRPr="00EF2A33">
        <w:rPr>
          <w:color w:val="00000A"/>
          <w:sz w:val="22"/>
          <w:szCs w:val="22"/>
        </w:rPr>
        <w:t xml:space="preserve"> significantes</w:t>
      </w:r>
      <w:r w:rsidR="002B13CA" w:rsidRPr="00EF2A33">
        <w:rPr>
          <w:color w:val="00000A"/>
          <w:sz w:val="22"/>
          <w:szCs w:val="22"/>
        </w:rPr>
        <w:t>, todos eles passando pelo teste t a 1%, o que indica altíssima significância</w:t>
      </w:r>
      <w:r w:rsidR="006D7DE6" w:rsidRPr="00EF2A33">
        <w:rPr>
          <w:color w:val="00000A"/>
          <w:sz w:val="22"/>
          <w:szCs w:val="22"/>
        </w:rPr>
        <w:t xml:space="preserve">. </w:t>
      </w:r>
      <w:r w:rsidR="00E74963" w:rsidRPr="00EF2A33">
        <w:rPr>
          <w:color w:val="00000A"/>
          <w:sz w:val="22"/>
          <w:szCs w:val="22"/>
        </w:rPr>
        <w:t xml:space="preserve">Da mesma forma, 6 variáveis de 10 das </w:t>
      </w:r>
      <w:r w:rsidR="002B13CA" w:rsidRPr="00EF2A33">
        <w:rPr>
          <w:color w:val="00000A"/>
          <w:sz w:val="22"/>
          <w:szCs w:val="22"/>
        </w:rPr>
        <w:t>empresas brasileiras com valores acima da média da variável tamanho</w:t>
      </w:r>
      <w:r w:rsidR="00E74963" w:rsidRPr="00EF2A33">
        <w:rPr>
          <w:color w:val="00000A"/>
          <w:sz w:val="22"/>
          <w:szCs w:val="22"/>
        </w:rPr>
        <w:t xml:space="preserve"> passaram pelo teste t. No modelo para empresas norte-americanas, o resultado se mostrou bastante curioso. </w:t>
      </w:r>
      <w:r w:rsidR="00473F50" w:rsidRPr="00EF2A33">
        <w:rPr>
          <w:color w:val="00000A"/>
          <w:sz w:val="22"/>
          <w:szCs w:val="22"/>
        </w:rPr>
        <w:t xml:space="preserve">Para as empresas dos EUA com valores acima da média da variável tamanho, apenas uma variável explicativa de 6 passou pelo teste t, enquanto que no modelo com empresas cujos valores estavam abaixo da média da variável tamanho 5 de 6 variáveis explicativas passaram pelo teste t, ou seja, apresentaram coeficientes estatisticamente significativos. </w:t>
      </w:r>
    </w:p>
    <w:p w14:paraId="6A6CA6A9" w14:textId="75853532" w:rsidR="002428BF" w:rsidRPr="00EF2A33" w:rsidRDefault="002428BF" w:rsidP="00592267">
      <w:pPr>
        <w:spacing w:line="360" w:lineRule="auto"/>
        <w:ind w:firstLine="709"/>
        <w:jc w:val="both"/>
        <w:rPr>
          <w:color w:val="00000A"/>
          <w:sz w:val="22"/>
          <w:szCs w:val="22"/>
        </w:rPr>
      </w:pPr>
      <w:r w:rsidRPr="00EF2A33">
        <w:rPr>
          <w:color w:val="00000A"/>
          <w:sz w:val="22"/>
          <w:szCs w:val="22"/>
        </w:rPr>
        <w:t xml:space="preserve">Em ambos os modelos, </w:t>
      </w:r>
      <w:r w:rsidR="00473F50" w:rsidRPr="00EF2A33">
        <w:rPr>
          <w:color w:val="00000A"/>
          <w:sz w:val="22"/>
          <w:szCs w:val="22"/>
        </w:rPr>
        <w:t xml:space="preserve">como já mencionado, </w:t>
      </w:r>
      <w:r w:rsidRPr="00EF2A33">
        <w:rPr>
          <w:color w:val="00000A"/>
          <w:sz w:val="22"/>
          <w:szCs w:val="22"/>
        </w:rPr>
        <w:t xml:space="preserve">o coeficiente associado </w:t>
      </w:r>
      <w:r w:rsidR="000B1675" w:rsidRPr="00EF2A33">
        <w:rPr>
          <w:color w:val="00000A"/>
          <w:sz w:val="22"/>
          <w:szCs w:val="22"/>
        </w:rPr>
        <w:t>a</w:t>
      </w:r>
      <w:r w:rsidRPr="00EF2A33">
        <w:rPr>
          <w:color w:val="00000A"/>
          <w:sz w:val="22"/>
          <w:szCs w:val="22"/>
        </w:rPr>
        <w:t xml:space="preserve"> constante se mostrou </w:t>
      </w:r>
      <w:r w:rsidR="00473F50" w:rsidRPr="00EF2A33">
        <w:rPr>
          <w:color w:val="00000A"/>
          <w:sz w:val="22"/>
          <w:szCs w:val="22"/>
        </w:rPr>
        <w:t xml:space="preserve">o mais </w:t>
      </w:r>
      <w:r w:rsidRPr="00EF2A33">
        <w:rPr>
          <w:color w:val="00000A"/>
          <w:sz w:val="22"/>
          <w:szCs w:val="22"/>
        </w:rPr>
        <w:t xml:space="preserve">representativo, </w:t>
      </w:r>
      <w:r w:rsidR="00473F50" w:rsidRPr="00EF2A33">
        <w:rPr>
          <w:color w:val="00000A"/>
          <w:sz w:val="22"/>
          <w:szCs w:val="22"/>
        </w:rPr>
        <w:t xml:space="preserve">ou seja, </w:t>
      </w:r>
      <w:r w:rsidRPr="00EF2A33">
        <w:rPr>
          <w:color w:val="00000A"/>
          <w:sz w:val="22"/>
          <w:szCs w:val="22"/>
        </w:rPr>
        <w:t>com o maior poder explicativo dentre as variáveis modeladas</w:t>
      </w:r>
      <w:r w:rsidR="00473F50" w:rsidRPr="00EF2A33">
        <w:rPr>
          <w:color w:val="00000A"/>
          <w:sz w:val="22"/>
          <w:szCs w:val="22"/>
        </w:rPr>
        <w:t>.</w:t>
      </w:r>
    </w:p>
    <w:p w14:paraId="3A59D4DA" w14:textId="10460F74" w:rsidR="000B1675" w:rsidRPr="00EF2A33" w:rsidRDefault="00382089" w:rsidP="00592267">
      <w:pPr>
        <w:spacing w:line="360" w:lineRule="auto"/>
        <w:ind w:firstLine="709"/>
        <w:jc w:val="both"/>
        <w:rPr>
          <w:sz w:val="22"/>
          <w:szCs w:val="22"/>
        </w:rPr>
      </w:pPr>
      <w:r w:rsidRPr="00EF2A33">
        <w:rPr>
          <w:color w:val="00000A"/>
          <w:sz w:val="22"/>
          <w:szCs w:val="22"/>
        </w:rPr>
        <w:t xml:space="preserve">Em relação à variável </w:t>
      </w:r>
      <w:r w:rsidR="006C5AEE" w:rsidRPr="00EF2A33">
        <w:rPr>
          <w:i/>
          <w:color w:val="00000A"/>
          <w:sz w:val="22"/>
          <w:szCs w:val="22"/>
        </w:rPr>
        <w:t>bid-</w:t>
      </w:r>
      <w:r w:rsidRPr="00EF2A33">
        <w:rPr>
          <w:i/>
          <w:color w:val="00000A"/>
          <w:sz w:val="22"/>
          <w:szCs w:val="22"/>
        </w:rPr>
        <w:t>ask, proxy</w:t>
      </w:r>
      <w:r w:rsidRPr="00EF2A33">
        <w:rPr>
          <w:color w:val="00000A"/>
          <w:sz w:val="22"/>
          <w:szCs w:val="22"/>
        </w:rPr>
        <w:t xml:space="preserve"> para assimetria de informação, seu coeficiente foi estatisticamente significativo apenas no modelo de empresas brasileiras</w:t>
      </w:r>
      <w:r w:rsidR="00310DFE" w:rsidRPr="00EF2A33">
        <w:rPr>
          <w:color w:val="00000A"/>
          <w:sz w:val="22"/>
          <w:szCs w:val="22"/>
        </w:rPr>
        <w:t xml:space="preserve"> com valores acima da média do tamanho, em que passou </w:t>
      </w:r>
      <w:r w:rsidRPr="00EF2A33">
        <w:rPr>
          <w:color w:val="00000A"/>
          <w:sz w:val="22"/>
          <w:szCs w:val="22"/>
        </w:rPr>
        <w:t xml:space="preserve">pelo teste t a qualquer nível de significância relevante. </w:t>
      </w:r>
      <w:r w:rsidR="00310DFE" w:rsidRPr="00EF2A33">
        <w:rPr>
          <w:color w:val="00000A"/>
          <w:sz w:val="22"/>
          <w:szCs w:val="22"/>
        </w:rPr>
        <w:t xml:space="preserve">Em </w:t>
      </w:r>
      <w:r w:rsidR="0083613B" w:rsidRPr="00EF2A33">
        <w:rPr>
          <w:color w:val="00000A"/>
          <w:sz w:val="22"/>
          <w:szCs w:val="22"/>
        </w:rPr>
        <w:t xml:space="preserve">relação ao sinal, o coeficiente associado à variável apresentou </w:t>
      </w:r>
      <w:r w:rsidR="001C59C8" w:rsidRPr="00EF2A33">
        <w:rPr>
          <w:color w:val="00000A"/>
          <w:sz w:val="22"/>
          <w:szCs w:val="22"/>
        </w:rPr>
        <w:t>relação positiva</w:t>
      </w:r>
      <w:r w:rsidR="0083613B" w:rsidRPr="00EF2A33">
        <w:rPr>
          <w:color w:val="00000A"/>
          <w:sz w:val="22"/>
          <w:szCs w:val="22"/>
        </w:rPr>
        <w:t xml:space="preserve"> com a variável dependente, dentro do </w:t>
      </w:r>
      <w:r w:rsidR="0083613B" w:rsidRPr="00EF2A33">
        <w:rPr>
          <w:color w:val="00000A"/>
          <w:sz w:val="22"/>
          <w:szCs w:val="22"/>
        </w:rPr>
        <w:lastRenderedPageBreak/>
        <w:t xml:space="preserve">esperado, pois quanto maior o </w:t>
      </w:r>
      <w:r w:rsidR="0083613B" w:rsidRPr="00EF2A33">
        <w:rPr>
          <w:i/>
          <w:color w:val="00000A"/>
          <w:sz w:val="22"/>
          <w:szCs w:val="22"/>
        </w:rPr>
        <w:t>spread</w:t>
      </w:r>
      <w:r w:rsidR="0083613B" w:rsidRPr="00EF2A33">
        <w:rPr>
          <w:color w:val="00000A"/>
          <w:sz w:val="22"/>
          <w:szCs w:val="22"/>
        </w:rPr>
        <w:t xml:space="preserve"> da empresa maior tende a ser seu endividamento. </w:t>
      </w:r>
      <w:r w:rsidR="00310DFE" w:rsidRPr="00EF2A33">
        <w:rPr>
          <w:color w:val="00000A"/>
          <w:sz w:val="22"/>
          <w:szCs w:val="22"/>
        </w:rPr>
        <w:t xml:space="preserve">Em todos os demais modelos rodados, tal variável não apresentou coeficiente significativo. </w:t>
      </w:r>
      <w:r w:rsidR="005F7FE8" w:rsidRPr="00EF2A33">
        <w:rPr>
          <w:sz w:val="22"/>
          <w:szCs w:val="22"/>
        </w:rPr>
        <w:t xml:space="preserve">Infere-se, portanto, que a assimetria de informação, mensurada pelo </w:t>
      </w:r>
      <w:r w:rsidR="005F7FE8" w:rsidRPr="00EF2A33">
        <w:rPr>
          <w:i/>
          <w:sz w:val="22"/>
          <w:szCs w:val="22"/>
        </w:rPr>
        <w:t>bid</w:t>
      </w:r>
      <w:r w:rsidR="006B5A2B" w:rsidRPr="00EF2A33">
        <w:rPr>
          <w:i/>
          <w:sz w:val="22"/>
          <w:szCs w:val="22"/>
        </w:rPr>
        <w:t>-</w:t>
      </w:r>
      <w:r w:rsidR="005F7FE8" w:rsidRPr="00EF2A33">
        <w:rPr>
          <w:i/>
          <w:sz w:val="22"/>
          <w:szCs w:val="22"/>
        </w:rPr>
        <w:t>ask</w:t>
      </w:r>
      <w:r w:rsidR="005F7FE8" w:rsidRPr="00EF2A33">
        <w:rPr>
          <w:sz w:val="22"/>
          <w:szCs w:val="22"/>
        </w:rPr>
        <w:t xml:space="preserve">, é relevante para a determinação da estrutura de capital das </w:t>
      </w:r>
      <w:r w:rsidR="00310DFE" w:rsidRPr="00EF2A33">
        <w:rPr>
          <w:sz w:val="22"/>
          <w:szCs w:val="22"/>
        </w:rPr>
        <w:t xml:space="preserve">grandes </w:t>
      </w:r>
      <w:r w:rsidR="005F7FE8" w:rsidRPr="00EF2A33">
        <w:rPr>
          <w:sz w:val="22"/>
          <w:szCs w:val="22"/>
        </w:rPr>
        <w:t>empresas brasileiras</w:t>
      </w:r>
      <w:r w:rsidR="00310DFE" w:rsidRPr="00EF2A33">
        <w:rPr>
          <w:sz w:val="22"/>
          <w:szCs w:val="22"/>
        </w:rPr>
        <w:t>, não se mostrando uma variável com grande poder explicativo para empresas menores no contexto brasileiro, tampouco para qualquer tamanho de empresas nos EUA.</w:t>
      </w:r>
    </w:p>
    <w:p w14:paraId="1D20A7D1" w14:textId="18A8A4AC" w:rsidR="00B83C6C" w:rsidRPr="00EF2A33" w:rsidRDefault="00475C40" w:rsidP="00592267">
      <w:pPr>
        <w:spacing w:line="360" w:lineRule="auto"/>
        <w:ind w:firstLine="709"/>
        <w:jc w:val="both"/>
        <w:rPr>
          <w:sz w:val="22"/>
          <w:szCs w:val="22"/>
        </w:rPr>
      </w:pPr>
      <w:r w:rsidRPr="00EF2A33">
        <w:rPr>
          <w:sz w:val="22"/>
          <w:szCs w:val="22"/>
        </w:rPr>
        <w:t xml:space="preserve">Extrapolando um pouco os limites do modelo, e inferindo acerca do resultado da variável, </w:t>
      </w:r>
      <w:r w:rsidR="0070609B" w:rsidRPr="00EF2A33">
        <w:rPr>
          <w:sz w:val="22"/>
          <w:szCs w:val="22"/>
        </w:rPr>
        <w:t xml:space="preserve">é curioso notar que as duas variáveis </w:t>
      </w:r>
      <w:r w:rsidR="0070609B" w:rsidRPr="00EF2A33">
        <w:rPr>
          <w:i/>
          <w:sz w:val="22"/>
          <w:szCs w:val="22"/>
        </w:rPr>
        <w:t>proxies</w:t>
      </w:r>
      <w:r w:rsidR="0070609B" w:rsidRPr="00EF2A33">
        <w:rPr>
          <w:sz w:val="22"/>
          <w:szCs w:val="22"/>
        </w:rPr>
        <w:t xml:space="preserve"> de assimetria modeladas para as empresas americanas </w:t>
      </w:r>
      <w:r w:rsidR="00CE6016" w:rsidRPr="00EF2A33">
        <w:rPr>
          <w:sz w:val="22"/>
          <w:szCs w:val="22"/>
        </w:rPr>
        <w:t xml:space="preserve">(bid-ask e intensidade do volume de negócios), para empresas acima da média do tamanho (ou seja, grandes empresas), ambas </w:t>
      </w:r>
      <w:r w:rsidR="0070609B" w:rsidRPr="00EF2A33">
        <w:rPr>
          <w:sz w:val="22"/>
          <w:szCs w:val="22"/>
        </w:rPr>
        <w:t>não passam pelo teste t, ou seja, não são relevantes para definição dos níveis de endividamento daquelas empresas</w:t>
      </w:r>
      <w:r w:rsidR="00CE6016" w:rsidRPr="00EF2A33">
        <w:rPr>
          <w:sz w:val="22"/>
          <w:szCs w:val="22"/>
        </w:rPr>
        <w:t xml:space="preserve">, e em relação às empresas com valores inferiores à média da variável tamanho, apenas a variável intensidade do volume de negócios passa pelo teste t. Diante disso, seria, portanto, crível concluir, em absoluto, </w:t>
      </w:r>
      <w:r w:rsidR="006E3635" w:rsidRPr="00EF2A33">
        <w:rPr>
          <w:sz w:val="22"/>
          <w:szCs w:val="22"/>
        </w:rPr>
        <w:t xml:space="preserve">que a assimetria de informação </w:t>
      </w:r>
      <w:r w:rsidR="00CE6016" w:rsidRPr="00EF2A33">
        <w:rPr>
          <w:sz w:val="22"/>
          <w:szCs w:val="22"/>
        </w:rPr>
        <w:t xml:space="preserve">pouco </w:t>
      </w:r>
      <w:r w:rsidR="006E3635" w:rsidRPr="00EF2A33">
        <w:rPr>
          <w:sz w:val="22"/>
          <w:szCs w:val="22"/>
        </w:rPr>
        <w:t>influencia</w:t>
      </w:r>
      <w:r w:rsidR="00CE6016" w:rsidRPr="00EF2A33">
        <w:rPr>
          <w:sz w:val="22"/>
          <w:szCs w:val="22"/>
        </w:rPr>
        <w:t xml:space="preserve"> </w:t>
      </w:r>
      <w:r w:rsidR="006E3635" w:rsidRPr="00EF2A33">
        <w:rPr>
          <w:sz w:val="22"/>
          <w:szCs w:val="22"/>
        </w:rPr>
        <w:t xml:space="preserve">as empresas daquele país? Acreditamos que não, </w:t>
      </w:r>
      <w:r w:rsidR="00A4329A" w:rsidRPr="00EF2A33">
        <w:rPr>
          <w:sz w:val="22"/>
          <w:szCs w:val="22"/>
        </w:rPr>
        <w:t>porém, não há como contrariar o resultado da regressão com os dados analisados para a amostra de empresas e o período aqui discutidos.</w:t>
      </w:r>
      <w:r w:rsidR="00F325FE" w:rsidRPr="00EF2A33">
        <w:rPr>
          <w:sz w:val="22"/>
          <w:szCs w:val="22"/>
        </w:rPr>
        <w:t xml:space="preserve"> </w:t>
      </w:r>
      <w:r w:rsidR="00B83C6C" w:rsidRPr="00EF2A33">
        <w:rPr>
          <w:sz w:val="22"/>
          <w:szCs w:val="22"/>
        </w:rPr>
        <w:t xml:space="preserve">Além de que, as empresas americanas, como verificado, possuem baixa alavancagem (ao menos as da amostra), o que, em tese, evidencia que são recursos próprios que financiam parte das suas operações. Segundo já constataram Lesmond, O’Connor e Senbet (2008), a substituição do capital de terceiros por capital próprio aumenta a assimetria informacional e, por conseguinte, eleva os custos de liquidez – </w:t>
      </w:r>
      <w:r w:rsidR="00B83C6C" w:rsidRPr="00EF2A33">
        <w:rPr>
          <w:i/>
          <w:sz w:val="22"/>
          <w:szCs w:val="22"/>
        </w:rPr>
        <w:t>bid-ask spread</w:t>
      </w:r>
      <w:r w:rsidR="00B83C6C" w:rsidRPr="00EF2A33">
        <w:rPr>
          <w:sz w:val="22"/>
          <w:szCs w:val="22"/>
        </w:rPr>
        <w:t xml:space="preserve"> empresarial, o que contribui como elemento argumentativo para ser pouco crível que a assimetria de informação não </w:t>
      </w:r>
      <w:r w:rsidR="001C59C8" w:rsidRPr="00EF2A33">
        <w:rPr>
          <w:sz w:val="22"/>
          <w:szCs w:val="22"/>
        </w:rPr>
        <w:t xml:space="preserve">seja </w:t>
      </w:r>
      <w:r w:rsidR="00B83C6C" w:rsidRPr="00EF2A33">
        <w:rPr>
          <w:sz w:val="22"/>
          <w:szCs w:val="22"/>
        </w:rPr>
        <w:t>um parâmetro relevante para tais empresas.</w:t>
      </w:r>
    </w:p>
    <w:p w14:paraId="460E47AF" w14:textId="0B0DDDFD" w:rsidR="00CE6016" w:rsidRPr="00EF2A33" w:rsidRDefault="00F325FE" w:rsidP="00592267">
      <w:pPr>
        <w:spacing w:line="360" w:lineRule="auto"/>
        <w:ind w:firstLine="709"/>
        <w:jc w:val="both"/>
        <w:rPr>
          <w:sz w:val="22"/>
          <w:szCs w:val="22"/>
        </w:rPr>
      </w:pPr>
      <w:r w:rsidRPr="00EF2A33">
        <w:rPr>
          <w:sz w:val="22"/>
          <w:szCs w:val="22"/>
        </w:rPr>
        <w:t>O que talvez contribua para explicar esse resultado seja a grande heterogeneidade das empresas, e o grande número da amostra, pois dificilmente se descartaria, por completo, a influência da assimetria no endividamento empresarial, dada a ampla gama de pesquisas que constataram sua influência</w:t>
      </w:r>
      <w:r w:rsidR="00227F38" w:rsidRPr="00EF2A33">
        <w:rPr>
          <w:sz w:val="22"/>
          <w:szCs w:val="22"/>
        </w:rPr>
        <w:t xml:space="preserve"> no nível de endividamento empresarial.</w:t>
      </w:r>
      <w:r w:rsidR="00CE6016" w:rsidRPr="00EF2A33">
        <w:rPr>
          <w:sz w:val="22"/>
          <w:szCs w:val="22"/>
        </w:rPr>
        <w:t xml:space="preserve"> Mesmo com a segregação das empresas em sub-amostras, isso, por si só, não controla todos os efeitos da heterogenia das organizações, o que se mostra um fator que contribui para justificar os resultados obtidos na regressão.</w:t>
      </w:r>
    </w:p>
    <w:p w14:paraId="065DBA49" w14:textId="3AB0DD2A" w:rsidR="00C61419" w:rsidRPr="00EF2A33" w:rsidRDefault="00744873" w:rsidP="00592267">
      <w:pPr>
        <w:spacing w:line="360" w:lineRule="auto"/>
        <w:ind w:firstLine="709"/>
        <w:jc w:val="both"/>
        <w:rPr>
          <w:color w:val="000000"/>
          <w:sz w:val="22"/>
          <w:szCs w:val="22"/>
        </w:rPr>
      </w:pPr>
      <w:r w:rsidRPr="00EF2A33">
        <w:rPr>
          <w:sz w:val="22"/>
          <w:szCs w:val="22"/>
        </w:rPr>
        <w:t xml:space="preserve">No caso das empresas brasileiras, o resultado apenas confirma a hipótese teórica, pois quanto maior o </w:t>
      </w:r>
      <w:r w:rsidRPr="00EF2A33">
        <w:rPr>
          <w:i/>
          <w:sz w:val="22"/>
          <w:szCs w:val="22"/>
        </w:rPr>
        <w:t>spread</w:t>
      </w:r>
      <w:r w:rsidRPr="00EF2A33">
        <w:rPr>
          <w:sz w:val="22"/>
          <w:szCs w:val="22"/>
        </w:rPr>
        <w:t xml:space="preserve"> verificado nas ações, maior tende a ser o nível de endividamento empresarial.</w:t>
      </w:r>
      <w:r w:rsidR="00D51F2F" w:rsidRPr="00EF2A33">
        <w:rPr>
          <w:sz w:val="22"/>
          <w:szCs w:val="22"/>
        </w:rPr>
        <w:t xml:space="preserve"> Esse resultado é referendado por vasta literatura</w:t>
      </w:r>
      <w:r w:rsidR="00C61419" w:rsidRPr="00EF2A33">
        <w:rPr>
          <w:sz w:val="22"/>
          <w:szCs w:val="22"/>
        </w:rPr>
        <w:t xml:space="preserve">. Por exemplo, </w:t>
      </w:r>
      <w:r w:rsidR="00C61419" w:rsidRPr="00EF2A33">
        <w:rPr>
          <w:color w:val="000000"/>
          <w:sz w:val="22"/>
          <w:szCs w:val="22"/>
        </w:rPr>
        <w:t xml:space="preserve">Lipson e Mortal (2009) verificaram que empresas mais líquidas são menos endividadas do que as demais, tendo em vista que quanto maior a liquidez, menor o custo do seu capital, ou seja, com liquidez maior, optariam por utilizar capital próprio em detrimento do endividamento. Por sua vez, </w:t>
      </w:r>
      <w:r w:rsidR="0055106F" w:rsidRPr="00EF2A33">
        <w:rPr>
          <w:color w:val="000000"/>
          <w:sz w:val="22"/>
          <w:szCs w:val="22"/>
        </w:rPr>
        <w:t>Healy e Palepu (2001)</w:t>
      </w:r>
      <w:r w:rsidR="00C61419" w:rsidRPr="00EF2A33">
        <w:rPr>
          <w:color w:val="000000"/>
          <w:sz w:val="22"/>
          <w:szCs w:val="22"/>
        </w:rPr>
        <w:t xml:space="preserve"> verificaram que quanto menor a assimetria de informações, maior é a </w:t>
      </w:r>
      <w:r w:rsidR="0055106F" w:rsidRPr="00EF2A33">
        <w:rPr>
          <w:color w:val="000000"/>
          <w:sz w:val="22"/>
          <w:szCs w:val="22"/>
        </w:rPr>
        <w:t>liquidez</w:t>
      </w:r>
      <w:r w:rsidR="00C61419" w:rsidRPr="00EF2A33">
        <w:rPr>
          <w:color w:val="000000"/>
          <w:sz w:val="22"/>
          <w:szCs w:val="22"/>
        </w:rPr>
        <w:t xml:space="preserve"> da empresa, dada a redução do </w:t>
      </w:r>
      <w:r w:rsidR="0055106F" w:rsidRPr="00EF2A33">
        <w:rPr>
          <w:color w:val="000000"/>
          <w:sz w:val="22"/>
          <w:szCs w:val="22"/>
        </w:rPr>
        <w:t>risco de seleção adversa</w:t>
      </w:r>
      <w:r w:rsidR="00C61419" w:rsidRPr="00EF2A33">
        <w:rPr>
          <w:color w:val="000000"/>
          <w:sz w:val="22"/>
          <w:szCs w:val="22"/>
        </w:rPr>
        <w:t xml:space="preserve">. Ou seja, quanto maior o </w:t>
      </w:r>
      <w:r w:rsidR="00C61419" w:rsidRPr="00EF2A33">
        <w:rPr>
          <w:i/>
          <w:color w:val="000000"/>
          <w:sz w:val="22"/>
          <w:szCs w:val="22"/>
        </w:rPr>
        <w:t>bid-ask</w:t>
      </w:r>
      <w:r w:rsidR="00C61419" w:rsidRPr="00EF2A33">
        <w:rPr>
          <w:color w:val="000000"/>
          <w:sz w:val="22"/>
          <w:szCs w:val="22"/>
        </w:rPr>
        <w:t>, maior a assimetria de informações, menor a liquidez da empresa e, consequentemente, maior o seu endividamento. Portanto, o resultado para as emp</w:t>
      </w:r>
      <w:r w:rsidR="00F62E10" w:rsidRPr="00EF2A33">
        <w:rPr>
          <w:color w:val="000000"/>
          <w:sz w:val="22"/>
          <w:szCs w:val="22"/>
        </w:rPr>
        <w:t>resas do Brasil apenas confirma</w:t>
      </w:r>
      <w:r w:rsidR="00C61419" w:rsidRPr="00EF2A33">
        <w:rPr>
          <w:color w:val="000000"/>
          <w:sz w:val="22"/>
          <w:szCs w:val="22"/>
        </w:rPr>
        <w:t xml:space="preserve"> as evidências teóricas</w:t>
      </w:r>
      <w:r w:rsidR="00B0324A" w:rsidRPr="00EF2A33">
        <w:rPr>
          <w:color w:val="000000"/>
          <w:sz w:val="22"/>
          <w:szCs w:val="22"/>
        </w:rPr>
        <w:t>, pelo menos em relação às empresas brasileiras com valores acima da média do tamanho, em que tal variável se mostrou altamente significativa</w:t>
      </w:r>
      <w:r w:rsidR="00C61419" w:rsidRPr="00EF2A33">
        <w:rPr>
          <w:color w:val="000000"/>
          <w:sz w:val="22"/>
          <w:szCs w:val="22"/>
        </w:rPr>
        <w:t>.</w:t>
      </w:r>
    </w:p>
    <w:p w14:paraId="50AF4DF9" w14:textId="693DDDFD" w:rsidR="006E7823" w:rsidRPr="00EF2A33" w:rsidRDefault="00B5792F" w:rsidP="00592267">
      <w:pPr>
        <w:spacing w:line="360" w:lineRule="auto"/>
        <w:ind w:firstLine="709"/>
        <w:jc w:val="both"/>
        <w:rPr>
          <w:color w:val="00000A"/>
          <w:sz w:val="22"/>
          <w:szCs w:val="22"/>
        </w:rPr>
      </w:pPr>
      <w:r w:rsidRPr="00EF2A33">
        <w:rPr>
          <w:color w:val="00000A"/>
          <w:sz w:val="22"/>
          <w:szCs w:val="22"/>
        </w:rPr>
        <w:lastRenderedPageBreak/>
        <w:t xml:space="preserve">A variável intensidade do volume de negócios, </w:t>
      </w:r>
      <w:r w:rsidR="006E7823" w:rsidRPr="00EF2A33">
        <w:rPr>
          <w:color w:val="00000A"/>
          <w:sz w:val="22"/>
          <w:szCs w:val="22"/>
        </w:rPr>
        <w:t xml:space="preserve">que estabelece uma relação entre a quantidade de negócios operados pela empresa e sua quantidade de títulos, </w:t>
      </w:r>
      <w:r w:rsidR="00580D00" w:rsidRPr="00EF2A33">
        <w:rPr>
          <w:color w:val="00000A"/>
          <w:sz w:val="22"/>
          <w:szCs w:val="22"/>
        </w:rPr>
        <w:t xml:space="preserve">teve coeficiente que se mostrou significativo </w:t>
      </w:r>
      <w:r w:rsidR="00A72469" w:rsidRPr="00EF2A33">
        <w:rPr>
          <w:color w:val="00000A"/>
          <w:sz w:val="22"/>
          <w:szCs w:val="22"/>
        </w:rPr>
        <w:t>apenas para as maiores empresas brasileiras e pa</w:t>
      </w:r>
      <w:r w:rsidR="00DA5A96" w:rsidRPr="00EF2A33">
        <w:rPr>
          <w:color w:val="00000A"/>
          <w:sz w:val="22"/>
          <w:szCs w:val="22"/>
        </w:rPr>
        <w:t xml:space="preserve">ra as menores empresas dos EUA. </w:t>
      </w:r>
      <w:r w:rsidR="00465BD0" w:rsidRPr="00EF2A33">
        <w:rPr>
          <w:color w:val="00000A"/>
          <w:sz w:val="22"/>
          <w:szCs w:val="22"/>
        </w:rPr>
        <w:t xml:space="preserve">Em ambos os casos o sinal foi positivo, porém, com coeficientes bastante baixos, ou seja, com baixo poder explicativo. Já para as menores empresas brasileiras e as maiores dos EUA, o coeficiente da variável não se mostrou significativo. </w:t>
      </w:r>
      <w:r w:rsidR="00EA37F3" w:rsidRPr="00EF2A33">
        <w:rPr>
          <w:color w:val="00000A"/>
          <w:sz w:val="22"/>
          <w:szCs w:val="22"/>
        </w:rPr>
        <w:t xml:space="preserve">Com isso, infere-se que o volume de transações realizado pelas empresas </w:t>
      </w:r>
      <w:r w:rsidR="00465BD0" w:rsidRPr="00EF2A33">
        <w:rPr>
          <w:color w:val="00000A"/>
          <w:sz w:val="22"/>
          <w:szCs w:val="22"/>
        </w:rPr>
        <w:t xml:space="preserve">constitui </w:t>
      </w:r>
      <w:r w:rsidR="00EA37F3" w:rsidRPr="00EF2A33">
        <w:rPr>
          <w:color w:val="00000A"/>
          <w:sz w:val="22"/>
          <w:szCs w:val="22"/>
        </w:rPr>
        <w:t>um fator determinante para influenciar na sua estrutura de capital</w:t>
      </w:r>
      <w:r w:rsidR="00465BD0" w:rsidRPr="00EF2A33">
        <w:rPr>
          <w:color w:val="00000A"/>
          <w:sz w:val="22"/>
          <w:szCs w:val="22"/>
        </w:rPr>
        <w:t xml:space="preserve"> apenas para parte das empresas da amostra. Essa variável é bastante modelada em trabalhos da área de finanças corporativas, com os mais diversos resultados retornados. Por exemplo, </w:t>
      </w:r>
      <w:r w:rsidR="00FC0DB2" w:rsidRPr="00EF2A33">
        <w:rPr>
          <w:color w:val="00000A"/>
          <w:sz w:val="22"/>
          <w:szCs w:val="22"/>
        </w:rPr>
        <w:t xml:space="preserve">Cândido (2010), </w:t>
      </w:r>
      <w:r w:rsidR="00465BD0" w:rsidRPr="00EF2A33">
        <w:rPr>
          <w:color w:val="00000A"/>
          <w:sz w:val="22"/>
          <w:szCs w:val="22"/>
        </w:rPr>
        <w:t xml:space="preserve">ao modelar tal variável, verificou que ela sequer passou pelo teste t </w:t>
      </w:r>
      <w:r w:rsidR="00FC0DB2" w:rsidRPr="00EF2A33">
        <w:rPr>
          <w:color w:val="00000A"/>
          <w:sz w:val="22"/>
          <w:szCs w:val="22"/>
        </w:rPr>
        <w:t xml:space="preserve">em um dos modelos rodados em seu trabalho, </w:t>
      </w:r>
      <w:r w:rsidR="00465BD0" w:rsidRPr="00EF2A33">
        <w:rPr>
          <w:color w:val="00000A"/>
          <w:sz w:val="22"/>
          <w:szCs w:val="22"/>
        </w:rPr>
        <w:t xml:space="preserve">ou seja, </w:t>
      </w:r>
      <w:r w:rsidR="00FC0DB2" w:rsidRPr="00EF2A33">
        <w:rPr>
          <w:color w:val="00000A"/>
          <w:sz w:val="22"/>
          <w:szCs w:val="22"/>
        </w:rPr>
        <w:t xml:space="preserve">que a </w:t>
      </w:r>
      <w:r w:rsidR="00465BD0" w:rsidRPr="00EF2A33">
        <w:rPr>
          <w:color w:val="00000A"/>
          <w:sz w:val="22"/>
          <w:szCs w:val="22"/>
        </w:rPr>
        <w:t xml:space="preserve">variável </w:t>
      </w:r>
      <w:r w:rsidR="00FC0DB2" w:rsidRPr="00EF2A33">
        <w:rPr>
          <w:color w:val="00000A"/>
          <w:sz w:val="22"/>
          <w:szCs w:val="22"/>
        </w:rPr>
        <w:t xml:space="preserve">não apresentou coeficiente estatisticamente significativo. </w:t>
      </w:r>
      <w:r w:rsidR="009348DB" w:rsidRPr="00EF2A33">
        <w:rPr>
          <w:color w:val="00000A"/>
          <w:sz w:val="22"/>
          <w:szCs w:val="22"/>
        </w:rPr>
        <w:t>Por sua vez, o resultado verificado para a amostra contraria o result</w:t>
      </w:r>
      <w:r w:rsidR="00112938" w:rsidRPr="00EF2A33">
        <w:rPr>
          <w:color w:val="00000A"/>
          <w:sz w:val="22"/>
          <w:szCs w:val="22"/>
        </w:rPr>
        <w:t>ado encontrado por Albanez (2008</w:t>
      </w:r>
      <w:r w:rsidR="009348DB" w:rsidRPr="00EF2A33">
        <w:rPr>
          <w:color w:val="00000A"/>
          <w:sz w:val="22"/>
          <w:szCs w:val="22"/>
        </w:rPr>
        <w:t xml:space="preserve">), que a intensidade de negócios apresentou coeficiente positivo, estatisticamente significativo na análise de curto prazo, porém, não </w:t>
      </w:r>
      <w:r w:rsidR="00E4257C" w:rsidRPr="00EF2A33">
        <w:rPr>
          <w:color w:val="00000A"/>
          <w:sz w:val="22"/>
          <w:szCs w:val="22"/>
        </w:rPr>
        <w:t>representativo para oferecer uma grande contribuição para explicação do modelo</w:t>
      </w:r>
      <w:r w:rsidR="009348DB" w:rsidRPr="00EF2A33">
        <w:rPr>
          <w:color w:val="00000A"/>
          <w:sz w:val="22"/>
          <w:szCs w:val="22"/>
        </w:rPr>
        <w:t>.</w:t>
      </w:r>
    </w:p>
    <w:p w14:paraId="56559352" w14:textId="7C6007E5" w:rsidR="00C61419" w:rsidRPr="00EF2A33" w:rsidRDefault="00465BD0" w:rsidP="00592267">
      <w:pPr>
        <w:spacing w:line="360" w:lineRule="auto"/>
        <w:ind w:firstLine="709"/>
        <w:jc w:val="both"/>
        <w:rPr>
          <w:color w:val="00000A"/>
          <w:sz w:val="22"/>
          <w:szCs w:val="22"/>
        </w:rPr>
      </w:pPr>
      <w:r w:rsidRPr="00EF2A33">
        <w:rPr>
          <w:color w:val="00000A"/>
          <w:sz w:val="22"/>
          <w:szCs w:val="22"/>
        </w:rPr>
        <w:t xml:space="preserve">Para essa variável, se esperava </w:t>
      </w:r>
      <w:r w:rsidR="00BE0939" w:rsidRPr="00EF2A33">
        <w:rPr>
          <w:color w:val="00000A"/>
          <w:sz w:val="22"/>
          <w:szCs w:val="22"/>
        </w:rPr>
        <w:t xml:space="preserve">uma relação negativa da </w:t>
      </w:r>
      <w:r w:rsidRPr="00EF2A33">
        <w:rPr>
          <w:color w:val="00000A"/>
          <w:sz w:val="22"/>
          <w:szCs w:val="22"/>
        </w:rPr>
        <w:t xml:space="preserve">intensidade do volume de negócios </w:t>
      </w:r>
      <w:r w:rsidR="00BE0939" w:rsidRPr="00EF2A33">
        <w:rPr>
          <w:color w:val="00000A"/>
          <w:sz w:val="22"/>
          <w:szCs w:val="22"/>
        </w:rPr>
        <w:t xml:space="preserve">com o endividamento, já que quanto maior o volume de negócios, maior a liquidez da empresa e, consequentemente, menor sua dependência do capital de terceiros, porém, os </w:t>
      </w:r>
      <w:r w:rsidRPr="00EF2A33">
        <w:rPr>
          <w:color w:val="00000A"/>
          <w:sz w:val="22"/>
          <w:szCs w:val="22"/>
        </w:rPr>
        <w:t xml:space="preserve">resultados, quando estatisticamente significativos, </w:t>
      </w:r>
      <w:r w:rsidR="00BE0939" w:rsidRPr="00EF2A33">
        <w:rPr>
          <w:color w:val="00000A"/>
          <w:sz w:val="22"/>
          <w:szCs w:val="22"/>
        </w:rPr>
        <w:t xml:space="preserve">não conduziram a </w:t>
      </w:r>
      <w:r w:rsidRPr="00EF2A33">
        <w:rPr>
          <w:color w:val="00000A"/>
          <w:sz w:val="22"/>
          <w:szCs w:val="22"/>
        </w:rPr>
        <w:t>essa premissa, visto que apresentaram coeficiente com sinal positivo quando significativos</w:t>
      </w:r>
      <w:r w:rsidR="00BE0939" w:rsidRPr="00EF2A33">
        <w:rPr>
          <w:color w:val="00000A"/>
          <w:sz w:val="22"/>
          <w:szCs w:val="22"/>
        </w:rPr>
        <w:t xml:space="preserve">. </w:t>
      </w:r>
      <w:r w:rsidR="001A69BC" w:rsidRPr="00EF2A33">
        <w:rPr>
          <w:color w:val="00000A"/>
          <w:sz w:val="22"/>
          <w:szCs w:val="22"/>
        </w:rPr>
        <w:t>Como dito, questões como tamanho expressivo da amostra, e sua heterogeneidade podem conduzir à baixa significância de algumas variáveis</w:t>
      </w:r>
      <w:r w:rsidRPr="00EF2A33">
        <w:rPr>
          <w:color w:val="00000A"/>
          <w:sz w:val="22"/>
          <w:szCs w:val="22"/>
        </w:rPr>
        <w:t xml:space="preserve"> e a sinais diferentes dos esperados</w:t>
      </w:r>
      <w:r w:rsidR="001A69BC" w:rsidRPr="00EF2A33">
        <w:rPr>
          <w:color w:val="00000A"/>
          <w:sz w:val="22"/>
          <w:szCs w:val="22"/>
        </w:rPr>
        <w:t>, como ora verificado.</w:t>
      </w:r>
    </w:p>
    <w:p w14:paraId="6CE764EB" w14:textId="7F8B2944" w:rsidR="009745E0" w:rsidRPr="00EF2A33" w:rsidRDefault="007B77A0" w:rsidP="00592267">
      <w:pPr>
        <w:spacing w:line="360" w:lineRule="auto"/>
        <w:ind w:firstLine="709"/>
        <w:jc w:val="both"/>
        <w:rPr>
          <w:color w:val="00000A"/>
          <w:sz w:val="22"/>
          <w:szCs w:val="22"/>
        </w:rPr>
      </w:pPr>
      <w:r w:rsidRPr="00EF2A33">
        <w:rPr>
          <w:color w:val="00000A"/>
          <w:sz w:val="22"/>
          <w:szCs w:val="22"/>
        </w:rPr>
        <w:t xml:space="preserve">Outra variável modelada foi a oportunidade de crescimento, que </w:t>
      </w:r>
      <w:r w:rsidR="006C7D63" w:rsidRPr="00EF2A33">
        <w:rPr>
          <w:color w:val="00000A"/>
          <w:sz w:val="22"/>
          <w:szCs w:val="22"/>
        </w:rPr>
        <w:t xml:space="preserve">é dada pela relação entre o valor da cotação da ação da empresa e seu valor patrimonial. </w:t>
      </w:r>
      <w:r w:rsidR="009745E0" w:rsidRPr="00EF2A33">
        <w:rPr>
          <w:color w:val="00000A"/>
          <w:sz w:val="22"/>
          <w:szCs w:val="22"/>
        </w:rPr>
        <w:t xml:space="preserve">Para Daher (2004), é de se esperar que empresas com maiores oportunidades de crescimento tenham um nível de endividamento mais baixo, porque o peso das dívidas pode levá-las a ter que diminuir a velocidade com que esperavam crescer e também porque estas empresas geram maior percepção de risco, forçando-as a trabalhar com maior volume de capital próprio. </w:t>
      </w:r>
    </w:p>
    <w:p w14:paraId="72AB7864" w14:textId="0B132B21" w:rsidR="00C46FA0" w:rsidRPr="00EF2A33" w:rsidRDefault="00C46FA0" w:rsidP="00592267">
      <w:pPr>
        <w:spacing w:line="360" w:lineRule="auto"/>
        <w:ind w:firstLine="709"/>
        <w:jc w:val="both"/>
        <w:rPr>
          <w:sz w:val="22"/>
          <w:szCs w:val="22"/>
        </w:rPr>
      </w:pPr>
      <w:r w:rsidRPr="00EF2A33">
        <w:rPr>
          <w:color w:val="00000A"/>
          <w:sz w:val="22"/>
          <w:szCs w:val="22"/>
        </w:rPr>
        <w:t xml:space="preserve">Complementando </w:t>
      </w:r>
      <w:r w:rsidR="00CB5532" w:rsidRPr="00EF2A33">
        <w:rPr>
          <w:color w:val="00000A"/>
          <w:sz w:val="22"/>
          <w:szCs w:val="22"/>
        </w:rPr>
        <w:t xml:space="preserve">esse </w:t>
      </w:r>
      <w:r w:rsidRPr="00EF2A33">
        <w:rPr>
          <w:color w:val="00000A"/>
          <w:sz w:val="22"/>
          <w:szCs w:val="22"/>
        </w:rPr>
        <w:t xml:space="preserve">entendimento, </w:t>
      </w:r>
      <w:r w:rsidRPr="00EF2A33">
        <w:rPr>
          <w:sz w:val="22"/>
          <w:szCs w:val="22"/>
        </w:rPr>
        <w:t>Kirch (2008) esclarece que empresas com latentes oportunidades de crescimento procuram manter baixos níveis de endividamento, justamente para que, caso necessário, possam recorrer com mais facilidade ao mercado de dívidas para se financiarem, não desperdiçando, assim, uma bo</w:t>
      </w:r>
      <w:r w:rsidR="00780FC1" w:rsidRPr="00EF2A33">
        <w:rPr>
          <w:sz w:val="22"/>
          <w:szCs w:val="22"/>
        </w:rPr>
        <w:t>a oportunidade de negócio futuro</w:t>
      </w:r>
      <w:r w:rsidRPr="00EF2A33">
        <w:rPr>
          <w:sz w:val="22"/>
          <w:szCs w:val="22"/>
        </w:rPr>
        <w:t>.</w:t>
      </w:r>
    </w:p>
    <w:p w14:paraId="165ECA19" w14:textId="749F4180" w:rsidR="00523B2B" w:rsidRPr="00EF2A33" w:rsidRDefault="00580D00" w:rsidP="00592267">
      <w:pPr>
        <w:spacing w:line="360" w:lineRule="auto"/>
        <w:ind w:firstLine="709"/>
        <w:jc w:val="both"/>
        <w:rPr>
          <w:sz w:val="22"/>
          <w:szCs w:val="22"/>
        </w:rPr>
      </w:pPr>
      <w:r w:rsidRPr="00EF2A33">
        <w:rPr>
          <w:sz w:val="22"/>
          <w:szCs w:val="22"/>
        </w:rPr>
        <w:t xml:space="preserve">Para as empresas brasileiras, o </w:t>
      </w:r>
      <w:r w:rsidR="00A67773" w:rsidRPr="00EF2A33">
        <w:rPr>
          <w:sz w:val="22"/>
          <w:szCs w:val="22"/>
        </w:rPr>
        <w:t xml:space="preserve">coeficiente </w:t>
      </w:r>
      <w:r w:rsidRPr="00EF2A33">
        <w:rPr>
          <w:sz w:val="22"/>
          <w:szCs w:val="22"/>
        </w:rPr>
        <w:t xml:space="preserve">da variável em questão </w:t>
      </w:r>
      <w:r w:rsidR="0082252F" w:rsidRPr="00EF2A33">
        <w:rPr>
          <w:sz w:val="22"/>
          <w:szCs w:val="22"/>
        </w:rPr>
        <w:t xml:space="preserve">passou pelo teste t apenas para as maiores empresas da amostra, qual sejam, aquelas que apresentaram valores acima média para a variável tamanho. No entanto, o coeficiente retornado na regressão foi muito baixo, o que evidencia uma variável altamente significativa do ponto de vista estatístico, porém, pouco explicativa do ponto de vista econômico, dado que o coeficiente da variável, retornado na regressão foi muito baixo (0,00 arredondado). </w:t>
      </w:r>
      <w:r w:rsidR="00523B2B" w:rsidRPr="00EF2A33">
        <w:rPr>
          <w:sz w:val="22"/>
          <w:szCs w:val="22"/>
        </w:rPr>
        <w:t xml:space="preserve">Quanto ao sinal, o coeficiente associado à variável retornou sinal positivo, diverso do </w:t>
      </w:r>
      <w:r w:rsidR="00523B2B" w:rsidRPr="00EF2A33">
        <w:rPr>
          <w:sz w:val="22"/>
          <w:szCs w:val="22"/>
        </w:rPr>
        <w:lastRenderedPageBreak/>
        <w:t>esperado, já que, conforme evidencia a teoria, empresas com melhores oportunidades de crescimento tenderiam a manter menores níveis de endividamento, porém, essa premissa não se confirmou para as grandes empresas brasileiras desta amostra.</w:t>
      </w:r>
    </w:p>
    <w:p w14:paraId="798EB14B" w14:textId="3FF0DD18" w:rsidR="00556412" w:rsidRPr="00EF2A33" w:rsidRDefault="0082252F" w:rsidP="00592267">
      <w:pPr>
        <w:spacing w:line="360" w:lineRule="auto"/>
        <w:ind w:firstLine="709"/>
        <w:jc w:val="both"/>
        <w:rPr>
          <w:sz w:val="22"/>
          <w:szCs w:val="22"/>
        </w:rPr>
      </w:pPr>
      <w:r w:rsidRPr="00EF2A33">
        <w:rPr>
          <w:sz w:val="22"/>
          <w:szCs w:val="22"/>
        </w:rPr>
        <w:t>Para as empresas brasileiras de menor porte, a variável se mostrou estatisticamente não significativa (</w:t>
      </w:r>
      <w:r w:rsidRPr="00EF2A33">
        <w:rPr>
          <w:i/>
          <w:sz w:val="22"/>
          <w:szCs w:val="22"/>
        </w:rPr>
        <w:t>p-value</w:t>
      </w:r>
      <w:r w:rsidRPr="00EF2A33">
        <w:rPr>
          <w:sz w:val="22"/>
          <w:szCs w:val="22"/>
        </w:rPr>
        <w:t xml:space="preserve"> de 0,10).</w:t>
      </w:r>
      <w:r w:rsidR="00523B2B" w:rsidRPr="00EF2A33">
        <w:rPr>
          <w:sz w:val="22"/>
          <w:szCs w:val="22"/>
        </w:rPr>
        <w:t xml:space="preserve"> Para essa variável, </w:t>
      </w:r>
      <w:r w:rsidR="00556412" w:rsidRPr="00EF2A33">
        <w:rPr>
          <w:sz w:val="22"/>
          <w:szCs w:val="22"/>
        </w:rPr>
        <w:t>Couto e Ferreira (2010)</w:t>
      </w:r>
      <w:r w:rsidR="00523B2B" w:rsidRPr="00EF2A33">
        <w:rPr>
          <w:sz w:val="22"/>
          <w:szCs w:val="22"/>
        </w:rPr>
        <w:t xml:space="preserve"> também verificaram coeficientes sem significância estatística para a </w:t>
      </w:r>
      <w:r w:rsidR="00556412" w:rsidRPr="00EF2A33">
        <w:rPr>
          <w:sz w:val="22"/>
          <w:szCs w:val="22"/>
        </w:rPr>
        <w:t>estrutura de capital de e</w:t>
      </w:r>
      <w:r w:rsidR="007C25D3" w:rsidRPr="00EF2A33">
        <w:rPr>
          <w:sz w:val="22"/>
          <w:szCs w:val="22"/>
        </w:rPr>
        <w:t>mpresas do Mercado de Capitais p</w:t>
      </w:r>
      <w:r w:rsidR="00556412" w:rsidRPr="00EF2A33">
        <w:rPr>
          <w:sz w:val="22"/>
          <w:szCs w:val="22"/>
        </w:rPr>
        <w:t>ortuguês. Por sua vez, Albanez e Valle (2009) também modelaram tal variável em estudo visando verificar os impactos da assimetria de informação na estrutura de capital de empresas brasileiras abertas e</w:t>
      </w:r>
      <w:r w:rsidR="008F772A" w:rsidRPr="00EF2A33">
        <w:rPr>
          <w:sz w:val="22"/>
          <w:szCs w:val="22"/>
        </w:rPr>
        <w:t>, em todos os modelos rodados, o coeficiente associado à</w:t>
      </w:r>
      <w:r w:rsidR="00556412" w:rsidRPr="00EF2A33">
        <w:rPr>
          <w:sz w:val="22"/>
          <w:szCs w:val="22"/>
        </w:rPr>
        <w:t xml:space="preserve"> variável não passou pelo teste t.</w:t>
      </w:r>
      <w:r w:rsidR="00523B2B" w:rsidRPr="00EF2A33">
        <w:rPr>
          <w:sz w:val="22"/>
          <w:szCs w:val="22"/>
        </w:rPr>
        <w:t xml:space="preserve"> </w:t>
      </w:r>
    </w:p>
    <w:p w14:paraId="51E38E70" w14:textId="5FF29F40" w:rsidR="008F772A" w:rsidRPr="00EF2A33" w:rsidRDefault="00523B2B" w:rsidP="00A231C9">
      <w:pPr>
        <w:spacing w:line="360" w:lineRule="auto"/>
        <w:ind w:firstLine="709"/>
        <w:jc w:val="both"/>
        <w:rPr>
          <w:sz w:val="22"/>
          <w:szCs w:val="22"/>
        </w:rPr>
      </w:pPr>
      <w:r w:rsidRPr="00EF2A33">
        <w:rPr>
          <w:sz w:val="22"/>
          <w:szCs w:val="22"/>
        </w:rPr>
        <w:t xml:space="preserve">Para as </w:t>
      </w:r>
      <w:r w:rsidR="00580D00" w:rsidRPr="00EF2A33">
        <w:rPr>
          <w:sz w:val="22"/>
          <w:szCs w:val="22"/>
        </w:rPr>
        <w:t xml:space="preserve">empresas norte-americanas, </w:t>
      </w:r>
      <w:r w:rsidRPr="00EF2A33">
        <w:rPr>
          <w:sz w:val="22"/>
          <w:szCs w:val="22"/>
        </w:rPr>
        <w:t xml:space="preserve">o cenário retornado na regressão foi parecido com o verificado nas empresas brasileiras. Para as grandes empresas americanas, o coeficiente associado à variável não apresentou significância estatística, </w:t>
      </w:r>
      <w:r w:rsidR="00A231C9" w:rsidRPr="00EF2A33">
        <w:rPr>
          <w:sz w:val="22"/>
          <w:szCs w:val="22"/>
        </w:rPr>
        <w:t xml:space="preserve">enquanto que para as empresas com valores inferiores à média da variável tamanho, o coeficiente associado à variável retornou valor altamente significativo, porém, com baixa relevância econômica, dado que o coeficiente retornado foi de 0,00 (arredondado). </w:t>
      </w:r>
      <w:r w:rsidR="0083613B" w:rsidRPr="00EF2A33">
        <w:rPr>
          <w:sz w:val="22"/>
          <w:szCs w:val="22"/>
        </w:rPr>
        <w:t xml:space="preserve">Quanto ao sinal, </w:t>
      </w:r>
      <w:r w:rsidR="00557013" w:rsidRPr="00EF2A33">
        <w:rPr>
          <w:sz w:val="22"/>
          <w:szCs w:val="22"/>
        </w:rPr>
        <w:t xml:space="preserve">era de se esperar uma relação negativa entre a oportunidade de crescimento e o endividamento, porém, o coeficiente retornado tem sinal positivo com o endividamento. Com isso, infere-se que </w:t>
      </w:r>
      <w:r w:rsidR="006D123F" w:rsidRPr="00EF2A33">
        <w:rPr>
          <w:sz w:val="22"/>
          <w:szCs w:val="22"/>
        </w:rPr>
        <w:t>não há receio, pelas empresas norte-americanas, em perder boas oportunidades de negócios futuros por conta de um endividamento mais elevado.</w:t>
      </w:r>
      <w:r w:rsidR="00A231C9" w:rsidRPr="00EF2A33">
        <w:rPr>
          <w:sz w:val="22"/>
          <w:szCs w:val="22"/>
        </w:rPr>
        <w:t xml:space="preserve"> Salientando-se que o mesmo sinal foi obtido para parte das empresas brasileiras analisadas no estudo. </w:t>
      </w:r>
    </w:p>
    <w:p w14:paraId="578045EA" w14:textId="3A0AF847" w:rsidR="006D123F" w:rsidRPr="00EF2A33" w:rsidRDefault="002447C8" w:rsidP="00592267">
      <w:pPr>
        <w:spacing w:line="360" w:lineRule="auto"/>
        <w:ind w:firstLine="709"/>
        <w:jc w:val="both"/>
        <w:rPr>
          <w:sz w:val="22"/>
          <w:szCs w:val="22"/>
        </w:rPr>
      </w:pPr>
      <w:r w:rsidRPr="00EF2A33">
        <w:rPr>
          <w:sz w:val="22"/>
          <w:szCs w:val="22"/>
        </w:rPr>
        <w:t>A rentabilidade foi uma das variáveis de controle modeladas. É de se esperar que empresas mais rentáveis apresentem menores índices de endividamento, justamente pela sua capacidade de utilizar seus próprios lucros para financiamento das suas operações.</w:t>
      </w:r>
    </w:p>
    <w:p w14:paraId="240EAAE4" w14:textId="1947D015" w:rsidR="0077683F" w:rsidRPr="00EF2A33" w:rsidRDefault="0077683F" w:rsidP="00592267">
      <w:pPr>
        <w:spacing w:line="360" w:lineRule="auto"/>
        <w:ind w:firstLine="709"/>
        <w:jc w:val="both"/>
        <w:rPr>
          <w:sz w:val="22"/>
          <w:szCs w:val="22"/>
        </w:rPr>
      </w:pPr>
      <w:r w:rsidRPr="00EF2A33">
        <w:rPr>
          <w:sz w:val="22"/>
          <w:szCs w:val="22"/>
        </w:rPr>
        <w:t xml:space="preserve">Exceto para a amostra de empresas brasileiras com valores abaixo da média da variável tamanho, em todas as demais empresas da amostra o coeficiente associado à variável rentabilidade apresentou-se altamente significativo, passando pelo teste t a 1%. </w:t>
      </w:r>
      <w:r w:rsidR="00D141AC" w:rsidRPr="00EF2A33">
        <w:rPr>
          <w:sz w:val="22"/>
          <w:szCs w:val="22"/>
        </w:rPr>
        <w:t xml:space="preserve">No caso das </w:t>
      </w:r>
      <w:r w:rsidRPr="00EF2A33">
        <w:rPr>
          <w:sz w:val="22"/>
          <w:szCs w:val="22"/>
        </w:rPr>
        <w:t xml:space="preserve">maiores empresas brasileiras e norte-americanas, </w:t>
      </w:r>
      <w:r w:rsidR="00BA7F7C" w:rsidRPr="00EF2A33">
        <w:rPr>
          <w:sz w:val="22"/>
          <w:szCs w:val="22"/>
        </w:rPr>
        <w:t>o coeficiente é representativo na regressão, contribuindo para a explicação do resultado do modelo</w:t>
      </w:r>
      <w:r w:rsidRPr="00EF2A33">
        <w:rPr>
          <w:sz w:val="22"/>
          <w:szCs w:val="22"/>
        </w:rPr>
        <w:t xml:space="preserve">, enquanto que nas menores empresas norte-americanas o coeficiente apresentou um valor relativamente baixo, com pouco poder explicativo no modelo. </w:t>
      </w:r>
    </w:p>
    <w:p w14:paraId="5767F8EB" w14:textId="40263DD4" w:rsidR="00383014" w:rsidRPr="00EF2A33" w:rsidRDefault="0077683F" w:rsidP="00A41AAD">
      <w:pPr>
        <w:spacing w:line="360" w:lineRule="auto"/>
        <w:ind w:firstLine="709"/>
        <w:jc w:val="both"/>
        <w:rPr>
          <w:sz w:val="22"/>
          <w:szCs w:val="22"/>
        </w:rPr>
      </w:pPr>
      <w:r w:rsidRPr="00EF2A33">
        <w:rPr>
          <w:sz w:val="22"/>
          <w:szCs w:val="22"/>
        </w:rPr>
        <w:t xml:space="preserve">Quanto ao sinal, era de se esperar que </w:t>
      </w:r>
      <w:r w:rsidR="000067E0" w:rsidRPr="00EF2A33">
        <w:rPr>
          <w:sz w:val="22"/>
          <w:szCs w:val="22"/>
        </w:rPr>
        <w:t>empresas mais lucrativas possu</w:t>
      </w:r>
      <w:r w:rsidRPr="00EF2A33">
        <w:rPr>
          <w:sz w:val="22"/>
          <w:szCs w:val="22"/>
        </w:rPr>
        <w:t xml:space="preserve">íssem </w:t>
      </w:r>
      <w:r w:rsidR="000067E0" w:rsidRPr="00EF2A33">
        <w:rPr>
          <w:sz w:val="22"/>
          <w:szCs w:val="22"/>
        </w:rPr>
        <w:t xml:space="preserve">menores níveis de endividamento, </w:t>
      </w:r>
      <w:r w:rsidRPr="00EF2A33">
        <w:rPr>
          <w:sz w:val="22"/>
          <w:szCs w:val="22"/>
        </w:rPr>
        <w:t xml:space="preserve">dada sua capacidade de geração de resultados e emprego desses para financiamento de suas operações. No entanto, </w:t>
      </w:r>
      <w:r w:rsidR="00A41AAD" w:rsidRPr="00EF2A33">
        <w:rPr>
          <w:sz w:val="22"/>
          <w:szCs w:val="22"/>
        </w:rPr>
        <w:t>apenas no modelo das grandes empresas norte-americanas o coeficiente associado à rentabilidade apresentou sinal negativo, de acordo com a teoria. Para as demais empresas, o sinal verificado foi positivo, contrariando o esperado.</w:t>
      </w:r>
    </w:p>
    <w:p w14:paraId="2B45F01E" w14:textId="3AB1BFDC" w:rsidR="00780BB7" w:rsidRPr="00EF2A33" w:rsidRDefault="00780BB7" w:rsidP="00592267">
      <w:pPr>
        <w:spacing w:line="360" w:lineRule="auto"/>
        <w:ind w:firstLine="709"/>
        <w:jc w:val="both"/>
        <w:rPr>
          <w:sz w:val="22"/>
          <w:szCs w:val="22"/>
        </w:rPr>
      </w:pPr>
      <w:r w:rsidRPr="00EF2A33">
        <w:rPr>
          <w:sz w:val="22"/>
          <w:szCs w:val="22"/>
        </w:rPr>
        <w:t xml:space="preserve">Esse </w:t>
      </w:r>
      <w:r w:rsidR="00A41AAD" w:rsidRPr="00EF2A33">
        <w:rPr>
          <w:sz w:val="22"/>
          <w:szCs w:val="22"/>
        </w:rPr>
        <w:t xml:space="preserve">sinal positivo associado ao coeficiente para grandes empresas brasileiras e pequenas empresas norte-americanas </w:t>
      </w:r>
      <w:r w:rsidRPr="00EF2A33">
        <w:rPr>
          <w:sz w:val="22"/>
          <w:szCs w:val="22"/>
        </w:rPr>
        <w:t>pode ser explicado</w:t>
      </w:r>
      <w:r w:rsidR="00390097" w:rsidRPr="00EF2A33">
        <w:rPr>
          <w:sz w:val="22"/>
          <w:szCs w:val="22"/>
        </w:rPr>
        <w:t xml:space="preserve"> pela teoria </w:t>
      </w:r>
      <w:r w:rsidR="00390097" w:rsidRPr="00EF2A33">
        <w:rPr>
          <w:i/>
          <w:sz w:val="22"/>
          <w:szCs w:val="22"/>
        </w:rPr>
        <w:t>trade-off</w:t>
      </w:r>
      <w:r w:rsidR="00390097" w:rsidRPr="00EF2A33">
        <w:rPr>
          <w:sz w:val="22"/>
          <w:szCs w:val="22"/>
        </w:rPr>
        <w:t xml:space="preserve">, que preconiza a busca, pelas empresas, de uma estrutura de capital alvo, em que as empresas </w:t>
      </w:r>
      <w:r w:rsidR="007C235A" w:rsidRPr="00EF2A33">
        <w:rPr>
          <w:sz w:val="22"/>
          <w:szCs w:val="22"/>
        </w:rPr>
        <w:t>almejam</w:t>
      </w:r>
      <w:r w:rsidR="00390097" w:rsidRPr="00EF2A33">
        <w:rPr>
          <w:sz w:val="22"/>
          <w:szCs w:val="22"/>
        </w:rPr>
        <w:t xml:space="preserve"> atingir um nível tal de endividamento que proporcione o adequado benefício fiscal oriundo da dívida, como a dedução das </w:t>
      </w:r>
      <w:r w:rsidR="00390097" w:rsidRPr="00EF2A33">
        <w:rPr>
          <w:sz w:val="22"/>
          <w:szCs w:val="22"/>
        </w:rPr>
        <w:lastRenderedPageBreak/>
        <w:t xml:space="preserve">despesas com juros e encargos sobre </w:t>
      </w:r>
      <w:r w:rsidR="00597D88" w:rsidRPr="00EF2A33">
        <w:rPr>
          <w:sz w:val="22"/>
          <w:szCs w:val="22"/>
        </w:rPr>
        <w:t>a dívida da base de cálculo do imposto de r</w:t>
      </w:r>
      <w:r w:rsidR="00390097" w:rsidRPr="00EF2A33">
        <w:rPr>
          <w:sz w:val="22"/>
          <w:szCs w:val="22"/>
        </w:rPr>
        <w:t xml:space="preserve">enda, sem, no entanto, expor a empresa a níveis alarmantes de endividamento que </w:t>
      </w:r>
      <w:r w:rsidR="0097207B" w:rsidRPr="00EF2A33">
        <w:rPr>
          <w:sz w:val="22"/>
          <w:szCs w:val="22"/>
        </w:rPr>
        <w:t>a coloquem</w:t>
      </w:r>
      <w:r w:rsidR="00390097" w:rsidRPr="00EF2A33">
        <w:rPr>
          <w:sz w:val="22"/>
          <w:szCs w:val="22"/>
        </w:rPr>
        <w:t xml:space="preserve"> em situação de risco de falência. </w:t>
      </w:r>
      <w:r w:rsidR="0097207B" w:rsidRPr="00EF2A33">
        <w:rPr>
          <w:sz w:val="22"/>
          <w:szCs w:val="22"/>
        </w:rPr>
        <w:t xml:space="preserve">Portanto, embora o estudo </w:t>
      </w:r>
      <w:r w:rsidR="00491AD8" w:rsidRPr="00EF2A33">
        <w:rPr>
          <w:sz w:val="22"/>
          <w:szCs w:val="22"/>
        </w:rPr>
        <w:t xml:space="preserve">analise as empresas na ótica da teoria de </w:t>
      </w:r>
      <w:r w:rsidR="00491AD8" w:rsidRPr="00EF2A33">
        <w:rPr>
          <w:i/>
          <w:sz w:val="22"/>
          <w:szCs w:val="22"/>
        </w:rPr>
        <w:t>pecking order</w:t>
      </w:r>
      <w:r w:rsidR="00491AD8" w:rsidRPr="00EF2A33">
        <w:rPr>
          <w:sz w:val="22"/>
          <w:szCs w:val="22"/>
        </w:rPr>
        <w:t xml:space="preserve">, </w:t>
      </w:r>
      <w:r w:rsidR="00080207" w:rsidRPr="00EF2A33">
        <w:rPr>
          <w:sz w:val="22"/>
          <w:szCs w:val="22"/>
        </w:rPr>
        <w:t xml:space="preserve">não se pode deixar de constatar que o resultado em questão pode ser explicado pela teoria </w:t>
      </w:r>
      <w:r w:rsidR="00080207" w:rsidRPr="00EF2A33">
        <w:rPr>
          <w:i/>
          <w:sz w:val="22"/>
          <w:szCs w:val="22"/>
        </w:rPr>
        <w:t>trade-off</w:t>
      </w:r>
      <w:r w:rsidR="00080207" w:rsidRPr="00EF2A33">
        <w:rPr>
          <w:sz w:val="22"/>
          <w:szCs w:val="22"/>
        </w:rPr>
        <w:t xml:space="preserve">. Assim, mesmo lucrativas, </w:t>
      </w:r>
      <w:r w:rsidR="00A41AAD" w:rsidRPr="00EF2A33">
        <w:rPr>
          <w:sz w:val="22"/>
          <w:szCs w:val="22"/>
        </w:rPr>
        <w:t xml:space="preserve">parte das empresas </w:t>
      </w:r>
      <w:r w:rsidR="00080207" w:rsidRPr="00EF2A33">
        <w:rPr>
          <w:sz w:val="22"/>
          <w:szCs w:val="22"/>
        </w:rPr>
        <w:t xml:space="preserve">brasileiras </w:t>
      </w:r>
      <w:r w:rsidR="00A41AAD" w:rsidRPr="00EF2A33">
        <w:rPr>
          <w:sz w:val="22"/>
          <w:szCs w:val="22"/>
        </w:rPr>
        <w:t xml:space="preserve">e norte-americanas </w:t>
      </w:r>
      <w:r w:rsidR="00080207" w:rsidRPr="00EF2A33">
        <w:rPr>
          <w:sz w:val="22"/>
          <w:szCs w:val="22"/>
        </w:rPr>
        <w:t xml:space="preserve">da amostra, na média, optaram por não utilizar seus resultados positivos para financiar suas atividades, mas sim recorrer ao recurso de terceiros, comportamento explicado, como dito, pela teria </w:t>
      </w:r>
      <w:r w:rsidR="00080207" w:rsidRPr="00EF2A33">
        <w:rPr>
          <w:i/>
          <w:sz w:val="22"/>
          <w:szCs w:val="22"/>
        </w:rPr>
        <w:t>trade-off.</w:t>
      </w:r>
    </w:p>
    <w:p w14:paraId="1AAE556B" w14:textId="2F410AF2" w:rsidR="000067E0" w:rsidRPr="00EF2A33" w:rsidRDefault="000067E0" w:rsidP="00592267">
      <w:pPr>
        <w:spacing w:line="360" w:lineRule="auto"/>
        <w:ind w:firstLine="709"/>
        <w:jc w:val="both"/>
        <w:rPr>
          <w:sz w:val="22"/>
          <w:szCs w:val="22"/>
        </w:rPr>
      </w:pPr>
      <w:r w:rsidRPr="00EF2A33">
        <w:rPr>
          <w:sz w:val="22"/>
          <w:szCs w:val="22"/>
        </w:rPr>
        <w:t xml:space="preserve">Já em relação às </w:t>
      </w:r>
      <w:r w:rsidR="00A41AAD" w:rsidRPr="00EF2A33">
        <w:rPr>
          <w:sz w:val="22"/>
          <w:szCs w:val="22"/>
        </w:rPr>
        <w:t xml:space="preserve">grandes </w:t>
      </w:r>
      <w:r w:rsidRPr="00EF2A33">
        <w:rPr>
          <w:sz w:val="22"/>
          <w:szCs w:val="22"/>
        </w:rPr>
        <w:t xml:space="preserve">empresas norte-americanas, </w:t>
      </w:r>
      <w:r w:rsidR="00DC55BE" w:rsidRPr="00EF2A33">
        <w:rPr>
          <w:sz w:val="22"/>
          <w:szCs w:val="22"/>
        </w:rPr>
        <w:t>o coeficiente associado à variável mostrou-se igualmente significativo, pois passa pelo teste t a qualquer nível relevante, e o sinal do coeficiente retornado na regressão é condizente com o esperado</w:t>
      </w:r>
      <w:r w:rsidR="001F588A" w:rsidRPr="00EF2A33">
        <w:rPr>
          <w:sz w:val="22"/>
          <w:szCs w:val="22"/>
        </w:rPr>
        <w:t xml:space="preserve"> pela teoria de </w:t>
      </w:r>
      <w:r w:rsidR="001F588A" w:rsidRPr="00EF2A33">
        <w:rPr>
          <w:i/>
          <w:sz w:val="22"/>
          <w:szCs w:val="22"/>
        </w:rPr>
        <w:t>pecking-order</w:t>
      </w:r>
      <w:r w:rsidR="00DC55BE" w:rsidRPr="00EF2A33">
        <w:rPr>
          <w:sz w:val="22"/>
          <w:szCs w:val="22"/>
        </w:rPr>
        <w:t xml:space="preserve">, ou seja, negativo. Por conta disso, infere-se que as </w:t>
      </w:r>
      <w:r w:rsidR="00A41AAD" w:rsidRPr="00EF2A33">
        <w:rPr>
          <w:sz w:val="22"/>
          <w:szCs w:val="22"/>
        </w:rPr>
        <w:t xml:space="preserve">grandes </w:t>
      </w:r>
      <w:r w:rsidR="00DC55BE" w:rsidRPr="00EF2A33">
        <w:rPr>
          <w:sz w:val="22"/>
          <w:szCs w:val="22"/>
        </w:rPr>
        <w:t>empresas norte-americanas</w:t>
      </w:r>
      <w:r w:rsidR="00A41AAD" w:rsidRPr="00EF2A33">
        <w:rPr>
          <w:sz w:val="22"/>
          <w:szCs w:val="22"/>
        </w:rPr>
        <w:t>, mesmo as</w:t>
      </w:r>
      <w:r w:rsidR="00DC55BE" w:rsidRPr="00EF2A33">
        <w:rPr>
          <w:sz w:val="22"/>
          <w:szCs w:val="22"/>
        </w:rPr>
        <w:t xml:space="preserve"> mais lucrativas</w:t>
      </w:r>
      <w:r w:rsidR="00A41AAD" w:rsidRPr="00EF2A33">
        <w:rPr>
          <w:sz w:val="22"/>
          <w:szCs w:val="22"/>
        </w:rPr>
        <w:t>,</w:t>
      </w:r>
      <w:r w:rsidR="00DC55BE" w:rsidRPr="00EF2A33">
        <w:rPr>
          <w:sz w:val="22"/>
          <w:szCs w:val="22"/>
        </w:rPr>
        <w:t xml:space="preserve"> possuem menores níveis de endividamento, postura condizente com os dizeres da teoria</w:t>
      </w:r>
      <w:r w:rsidR="001F588A" w:rsidRPr="00EF2A33">
        <w:rPr>
          <w:sz w:val="22"/>
          <w:szCs w:val="22"/>
        </w:rPr>
        <w:t xml:space="preserve"> em questão.</w:t>
      </w:r>
    </w:p>
    <w:p w14:paraId="6A852D56" w14:textId="47CDA4B6" w:rsidR="006C2F50" w:rsidRPr="00EF2A33" w:rsidRDefault="005E4503" w:rsidP="00592267">
      <w:pPr>
        <w:spacing w:line="360" w:lineRule="auto"/>
        <w:ind w:firstLine="709"/>
        <w:jc w:val="both"/>
        <w:rPr>
          <w:sz w:val="22"/>
          <w:szCs w:val="22"/>
        </w:rPr>
      </w:pPr>
      <w:r w:rsidRPr="00EF2A33">
        <w:rPr>
          <w:sz w:val="22"/>
          <w:szCs w:val="22"/>
        </w:rPr>
        <w:t>A variável tamanho também foi modelada como vari</w:t>
      </w:r>
      <w:r w:rsidR="000A417A" w:rsidRPr="00EF2A33">
        <w:rPr>
          <w:sz w:val="22"/>
          <w:szCs w:val="22"/>
        </w:rPr>
        <w:t xml:space="preserve">ável de controle no modelo. Para essa variável, segundo </w:t>
      </w:r>
      <w:r w:rsidR="006C2F50" w:rsidRPr="00EF2A33">
        <w:rPr>
          <w:sz w:val="22"/>
          <w:szCs w:val="22"/>
        </w:rPr>
        <w:t xml:space="preserve">Brito, Corrar e Batistella (2007), é de se esperar que empresas maiores obtenham mais facilidade de acesso ao crédito, portanto, teria essa variável relação positiva com o endividamento. </w:t>
      </w:r>
    </w:p>
    <w:p w14:paraId="3734C1F8" w14:textId="6066DFF4" w:rsidR="006C2F50" w:rsidRPr="00EF2A33" w:rsidRDefault="000B5228" w:rsidP="00592267">
      <w:pPr>
        <w:spacing w:line="360" w:lineRule="auto"/>
        <w:ind w:firstLine="709"/>
        <w:jc w:val="both"/>
        <w:rPr>
          <w:sz w:val="22"/>
          <w:szCs w:val="22"/>
        </w:rPr>
      </w:pPr>
      <w:r w:rsidRPr="00EF2A33">
        <w:rPr>
          <w:sz w:val="22"/>
          <w:szCs w:val="22"/>
        </w:rPr>
        <w:t xml:space="preserve">Excluindo-se as grandes empresas brasileiras, tal variável retornou coeficientes altamente significativos para toda a amostra norte-americana e para as empresas de menor porte brasileiras. Curioso, no entanto, que para as </w:t>
      </w:r>
      <w:r w:rsidR="006C2F50" w:rsidRPr="00EF2A33">
        <w:rPr>
          <w:sz w:val="22"/>
          <w:szCs w:val="22"/>
        </w:rPr>
        <w:t>empresas brasileiras</w:t>
      </w:r>
      <w:r w:rsidRPr="00EF2A33">
        <w:rPr>
          <w:sz w:val="22"/>
          <w:szCs w:val="22"/>
        </w:rPr>
        <w:t xml:space="preserve"> de menor porte, o sinal </w:t>
      </w:r>
      <w:r w:rsidR="006C2F50" w:rsidRPr="00EF2A33">
        <w:rPr>
          <w:sz w:val="22"/>
          <w:szCs w:val="22"/>
        </w:rPr>
        <w:t>verificado foi negativo</w:t>
      </w:r>
      <w:r w:rsidRPr="00EF2A33">
        <w:rPr>
          <w:sz w:val="22"/>
          <w:szCs w:val="22"/>
        </w:rPr>
        <w:t xml:space="preserve">. Portanto, para essa sub-amostra, quanto maior a empresa, menor foi seu endividamento verificado. </w:t>
      </w:r>
      <w:r w:rsidR="006C2F50" w:rsidRPr="00EF2A33">
        <w:rPr>
          <w:sz w:val="22"/>
          <w:szCs w:val="22"/>
        </w:rPr>
        <w:t xml:space="preserve">Em relação às empresas </w:t>
      </w:r>
      <w:r w:rsidR="001319BB" w:rsidRPr="00EF2A33">
        <w:rPr>
          <w:sz w:val="22"/>
          <w:szCs w:val="22"/>
        </w:rPr>
        <w:t xml:space="preserve">norte-americanas, a relação foi positiva, ou seja, as empresas </w:t>
      </w:r>
      <w:r w:rsidRPr="00EF2A33">
        <w:rPr>
          <w:sz w:val="22"/>
          <w:szCs w:val="22"/>
        </w:rPr>
        <w:t xml:space="preserve">dos EUA, tanto as maiores quanto as menores, </w:t>
      </w:r>
      <w:r w:rsidR="001319BB" w:rsidRPr="00EF2A33">
        <w:rPr>
          <w:sz w:val="22"/>
          <w:szCs w:val="22"/>
        </w:rPr>
        <w:t>apresentaram maior endividamento, sinal esperado para a variável em questão.</w:t>
      </w:r>
    </w:p>
    <w:p w14:paraId="207091EE" w14:textId="043B4787" w:rsidR="00BC213D" w:rsidRPr="00EF2A33" w:rsidRDefault="00BC213D" w:rsidP="00592267">
      <w:pPr>
        <w:spacing w:line="360" w:lineRule="auto"/>
        <w:ind w:firstLine="709"/>
        <w:jc w:val="both"/>
        <w:rPr>
          <w:sz w:val="22"/>
          <w:szCs w:val="22"/>
        </w:rPr>
      </w:pPr>
      <w:r w:rsidRPr="00EF2A33">
        <w:rPr>
          <w:sz w:val="22"/>
          <w:szCs w:val="22"/>
        </w:rPr>
        <w:t xml:space="preserve">A última variável de controle modelada tanto para empresas brasileiras quanto norte-americanas foi a tangibilidade. </w:t>
      </w:r>
      <w:r w:rsidR="0076381E" w:rsidRPr="00EF2A33">
        <w:rPr>
          <w:sz w:val="22"/>
          <w:szCs w:val="22"/>
        </w:rPr>
        <w:t xml:space="preserve">Segundo Gomes e Leal (2000), empresas que possuem maior tangibilidade, em função da existência de assimetria informacional entre acionistas e credores, passam uma mensagem de maior segurança aos seus credores, visto que a existência de ativos representa uma garantia para os credores em caso de falência da entidade. Assim, é de se esperar uma relação positiva entre </w:t>
      </w:r>
      <w:r w:rsidR="000204D8" w:rsidRPr="00EF2A33">
        <w:rPr>
          <w:sz w:val="22"/>
          <w:szCs w:val="22"/>
        </w:rPr>
        <w:t xml:space="preserve">o endividamento e a tangibilidade. </w:t>
      </w:r>
    </w:p>
    <w:p w14:paraId="785A5F41" w14:textId="4A3C034E" w:rsidR="00674277" w:rsidRPr="00EF2A33" w:rsidRDefault="00674277" w:rsidP="00592267">
      <w:pPr>
        <w:spacing w:line="360" w:lineRule="auto"/>
        <w:ind w:firstLine="709"/>
        <w:jc w:val="both"/>
        <w:rPr>
          <w:sz w:val="22"/>
          <w:szCs w:val="22"/>
        </w:rPr>
      </w:pPr>
      <w:r w:rsidRPr="00EF2A33">
        <w:rPr>
          <w:sz w:val="22"/>
          <w:szCs w:val="22"/>
        </w:rPr>
        <w:t>Para as grandes empresas brasileiras e norte-americanas, o coeficiente associado à variável não foi estatisticamente significativo. Já para as empresas brasileiras e norte-americanas com valores abaixo da média da variável tamanho, a tangibilidade se mostrou altamente significativa do ponto de vista estatístico, passando pelo teste t a qualquer nível de significância.</w:t>
      </w:r>
    </w:p>
    <w:p w14:paraId="7B57A631" w14:textId="69426CCA" w:rsidR="00E52C93" w:rsidRPr="00EF2A33" w:rsidRDefault="00E10631" w:rsidP="00592267">
      <w:pPr>
        <w:spacing w:line="360" w:lineRule="auto"/>
        <w:ind w:firstLine="709"/>
        <w:jc w:val="both"/>
        <w:rPr>
          <w:sz w:val="22"/>
          <w:szCs w:val="22"/>
        </w:rPr>
      </w:pPr>
      <w:r w:rsidRPr="00EF2A33">
        <w:rPr>
          <w:sz w:val="22"/>
          <w:szCs w:val="22"/>
        </w:rPr>
        <w:t xml:space="preserve">Curioso notar que, em relação ao sinal, empresas brasileiras </w:t>
      </w:r>
      <w:r w:rsidR="005B11BD" w:rsidRPr="00EF2A33">
        <w:rPr>
          <w:sz w:val="22"/>
          <w:szCs w:val="22"/>
        </w:rPr>
        <w:t xml:space="preserve">com mais ativos tangíveis possuem menores níveis de dívida, sinal negativo, portanto. Já empresas norte-americanas, quanto mais ativos tangíveis, maior seu nível de endividamento, sinal esse esperado pela teoria para a variável tangibilidade. </w:t>
      </w:r>
    </w:p>
    <w:p w14:paraId="2A2F4AD4" w14:textId="2096E70E" w:rsidR="00EE1D2B" w:rsidRPr="00EF2A33" w:rsidRDefault="00EE1D2B" w:rsidP="00592267">
      <w:pPr>
        <w:spacing w:line="360" w:lineRule="auto"/>
        <w:ind w:firstLine="709"/>
        <w:jc w:val="both"/>
        <w:rPr>
          <w:sz w:val="22"/>
          <w:szCs w:val="22"/>
        </w:rPr>
      </w:pPr>
      <w:r w:rsidRPr="00EF2A33">
        <w:rPr>
          <w:sz w:val="22"/>
          <w:szCs w:val="22"/>
        </w:rPr>
        <w:lastRenderedPageBreak/>
        <w:t>As variáveis liquidez em bolsa, risco, volatilidade e troféu transparência ANEFAC foram modeladas tão somente para o</w:t>
      </w:r>
      <w:r w:rsidR="00114BC5" w:rsidRPr="00EF2A33">
        <w:rPr>
          <w:sz w:val="22"/>
          <w:szCs w:val="22"/>
        </w:rPr>
        <w:t xml:space="preserve"> Brasil, dada a impossibilidade da sua modelagem para as empresas norte-americanas. Portanto, diferentemente do que se analisou até aqui, tais variáveis referem-se exclusivamente às companhias brasileiras.</w:t>
      </w:r>
    </w:p>
    <w:p w14:paraId="582AC379" w14:textId="385E1670" w:rsidR="00172B5B" w:rsidRPr="00EF2A33" w:rsidRDefault="00172B5B" w:rsidP="00592267">
      <w:pPr>
        <w:spacing w:line="360" w:lineRule="auto"/>
        <w:ind w:firstLine="709"/>
        <w:jc w:val="both"/>
        <w:rPr>
          <w:sz w:val="22"/>
          <w:szCs w:val="22"/>
        </w:rPr>
      </w:pPr>
      <w:r w:rsidRPr="00EF2A33">
        <w:rPr>
          <w:sz w:val="22"/>
          <w:szCs w:val="22"/>
        </w:rPr>
        <w:t>Para a liquidez, apenas para as empresas brasileiras de menor porte o coeficiente se mostrou estatisticamente significativo, e o sinal verificado foi positivo</w:t>
      </w:r>
      <w:r w:rsidR="00EF051C" w:rsidRPr="00EF2A33">
        <w:rPr>
          <w:sz w:val="22"/>
          <w:szCs w:val="22"/>
        </w:rPr>
        <w:t>, diferente do esperado para a variável. Segundo prediz a teoria, empresas com maiores níveis de liquidez tenderiam a depender menos do capital de terceiros para financiar suas operações, justamente pela maior circulação de seus títulos no mercado, consequentemente, maior facilidade na obtenção de recursos via Patrimônio Líquido, porém, para as empresas brasileiras da amostra, o coeficiente associado à variável não apresentou o sinal esperado</w:t>
      </w:r>
      <w:r w:rsidR="006F14F9" w:rsidRPr="00EF2A33">
        <w:rPr>
          <w:sz w:val="22"/>
          <w:szCs w:val="22"/>
        </w:rPr>
        <w:t>, visto que quanto mais líquidas as empresas, maiores foram seus níveis de endividamento</w:t>
      </w:r>
      <w:r w:rsidR="00EF051C" w:rsidRPr="00EF2A33">
        <w:rPr>
          <w:sz w:val="22"/>
          <w:szCs w:val="22"/>
        </w:rPr>
        <w:t>.</w:t>
      </w:r>
      <w:r w:rsidR="006F14F9" w:rsidRPr="00EF2A33">
        <w:rPr>
          <w:sz w:val="22"/>
          <w:szCs w:val="22"/>
        </w:rPr>
        <w:t xml:space="preserve"> Isso pode indicar que as empresas brasileiras, mesmo as mais líquidas, priorizariam o financiamento via recursos de terceiros, visando obter as vantagens que</w:t>
      </w:r>
      <w:r w:rsidR="00EF051C" w:rsidRPr="00EF2A33">
        <w:rPr>
          <w:sz w:val="22"/>
          <w:szCs w:val="22"/>
        </w:rPr>
        <w:t xml:space="preserve"> </w:t>
      </w:r>
      <w:r w:rsidR="006F14F9" w:rsidRPr="00EF2A33">
        <w:rPr>
          <w:sz w:val="22"/>
          <w:szCs w:val="22"/>
        </w:rPr>
        <w:t xml:space="preserve">o endividamento controlado oferece, comportamento predito pela teoria de </w:t>
      </w:r>
      <w:r w:rsidR="006F14F9" w:rsidRPr="00EF2A33">
        <w:rPr>
          <w:i/>
          <w:sz w:val="22"/>
          <w:szCs w:val="22"/>
        </w:rPr>
        <w:t>trade-off</w:t>
      </w:r>
      <w:r w:rsidR="006F14F9" w:rsidRPr="00EF2A33">
        <w:rPr>
          <w:sz w:val="22"/>
          <w:szCs w:val="22"/>
        </w:rPr>
        <w:t>.</w:t>
      </w:r>
    </w:p>
    <w:p w14:paraId="13336E3A" w14:textId="5D5647D0" w:rsidR="00797DE4" w:rsidRPr="00EF2A33" w:rsidRDefault="00481831" w:rsidP="00592267">
      <w:pPr>
        <w:spacing w:line="360" w:lineRule="auto"/>
        <w:ind w:firstLine="709"/>
        <w:jc w:val="both"/>
        <w:rPr>
          <w:sz w:val="22"/>
          <w:szCs w:val="22"/>
        </w:rPr>
      </w:pPr>
      <w:r w:rsidRPr="00EF2A33">
        <w:rPr>
          <w:sz w:val="22"/>
          <w:szCs w:val="22"/>
        </w:rPr>
        <w:t xml:space="preserve">Em relação ao risco, somente para as empresas brasileiras de maior porte o coeficiente associado à variável mostrou-se estatisticamente significativo, conforme indicou a tabela 2, porém, a magnitude do coeficiente, ou seja, sua relevância econômica foi baixa. </w:t>
      </w:r>
      <w:r w:rsidR="00797DE4" w:rsidRPr="00EF2A33">
        <w:rPr>
          <w:sz w:val="22"/>
          <w:szCs w:val="22"/>
        </w:rPr>
        <w:t xml:space="preserve">O risco é uma </w:t>
      </w:r>
      <w:r w:rsidR="008E091E" w:rsidRPr="00EF2A33">
        <w:rPr>
          <w:sz w:val="22"/>
          <w:szCs w:val="22"/>
        </w:rPr>
        <w:t xml:space="preserve">variável ligada a forma como o mercado reage à situação da empresa, mensurando, dentre outros aspectos, a capacidade da empresa em honrar seus compromissos. Por conta disso, a </w:t>
      </w:r>
      <w:r w:rsidR="001C6B20" w:rsidRPr="00EF2A33">
        <w:rPr>
          <w:sz w:val="22"/>
          <w:szCs w:val="22"/>
        </w:rPr>
        <w:t xml:space="preserve">relação esperada do risco com o endividamento é negativa, ou seja, quanto maior o risco da empresa menor tende a ser seu endividamento. Por conta disso, empresas com </w:t>
      </w:r>
      <w:r w:rsidR="00C84086" w:rsidRPr="00EF2A33">
        <w:rPr>
          <w:sz w:val="22"/>
          <w:szCs w:val="22"/>
        </w:rPr>
        <w:t xml:space="preserve">índices de risco </w:t>
      </w:r>
      <w:r w:rsidR="00753C99" w:rsidRPr="00EF2A33">
        <w:rPr>
          <w:sz w:val="22"/>
          <w:szCs w:val="22"/>
        </w:rPr>
        <w:t xml:space="preserve">mais elevado </w:t>
      </w:r>
      <w:r w:rsidR="00C84086" w:rsidRPr="00EF2A33">
        <w:rPr>
          <w:sz w:val="22"/>
          <w:szCs w:val="22"/>
        </w:rPr>
        <w:t>tendem a emitir maior volume de ações.</w:t>
      </w:r>
      <w:r w:rsidR="00310890" w:rsidRPr="00EF2A33">
        <w:rPr>
          <w:sz w:val="22"/>
          <w:szCs w:val="22"/>
        </w:rPr>
        <w:t xml:space="preserve"> Em relação ao coeficiente associado à variável, o sinal foi positivo, </w:t>
      </w:r>
      <w:r w:rsidR="00631943" w:rsidRPr="00EF2A33">
        <w:rPr>
          <w:sz w:val="22"/>
          <w:szCs w:val="22"/>
        </w:rPr>
        <w:t>diverso do esperado, o que permite inferir que</w:t>
      </w:r>
      <w:r w:rsidR="00F834D7" w:rsidRPr="00EF2A33">
        <w:rPr>
          <w:sz w:val="22"/>
          <w:szCs w:val="22"/>
        </w:rPr>
        <w:t>,</w:t>
      </w:r>
      <w:r w:rsidR="00631943" w:rsidRPr="00EF2A33">
        <w:rPr>
          <w:sz w:val="22"/>
          <w:szCs w:val="22"/>
        </w:rPr>
        <w:t xml:space="preserve"> no ambiente brasil</w:t>
      </w:r>
      <w:r w:rsidR="00F834D7" w:rsidRPr="00EF2A33">
        <w:rPr>
          <w:sz w:val="22"/>
          <w:szCs w:val="22"/>
        </w:rPr>
        <w:t>eiro, um maior risco associado à empresa não se mostra, na média, um fator impeditivo para obtenção de crédito.</w:t>
      </w:r>
    </w:p>
    <w:p w14:paraId="520DDF16" w14:textId="2F815E87" w:rsidR="00547E2A" w:rsidRPr="00EF2A33" w:rsidRDefault="00547E2A" w:rsidP="00592267">
      <w:pPr>
        <w:spacing w:line="360" w:lineRule="auto"/>
        <w:ind w:firstLine="709"/>
        <w:jc w:val="both"/>
        <w:rPr>
          <w:sz w:val="22"/>
          <w:szCs w:val="22"/>
        </w:rPr>
      </w:pPr>
      <w:r w:rsidRPr="00EF2A33">
        <w:rPr>
          <w:sz w:val="22"/>
          <w:szCs w:val="22"/>
        </w:rPr>
        <w:t xml:space="preserve">Já em relação a variável troféu transparência ANEFAC, esta se mostrou </w:t>
      </w:r>
      <w:r w:rsidR="002D7881" w:rsidRPr="00EF2A33">
        <w:rPr>
          <w:sz w:val="22"/>
          <w:szCs w:val="22"/>
        </w:rPr>
        <w:t xml:space="preserve">estatisticamente </w:t>
      </w:r>
      <w:r w:rsidRPr="00EF2A33">
        <w:rPr>
          <w:sz w:val="22"/>
          <w:szCs w:val="22"/>
        </w:rPr>
        <w:t>significativa apenas para as empresas brasileiras com valores abaixo da m</w:t>
      </w:r>
      <w:r w:rsidR="002D7881" w:rsidRPr="00EF2A33">
        <w:rPr>
          <w:sz w:val="22"/>
          <w:szCs w:val="22"/>
        </w:rPr>
        <w:t>édia. O sinal esperado para tal variável é negativo, já que, em tese, empresas mais transparentes, agraciadas com a indicação como finalista do troféu ANEFAC, estariam menos sujeitas ao endividamento via recursos de terceiros do que as demais, priorizando o financiamento via capital próprio, justamente pela maior facilidade na captação desse tipo de recurso via emissão de ações, dada a menor assimetria de informações existente. No caso das empresas brasileiras, o sinal verificado foi negativo, de acordo com o esperado, o que permite inferir que as empresas brasileiras indicadas ao troféu ANEFAC possuem, em média, menores níveis de dívida do que as demais.</w:t>
      </w:r>
    </w:p>
    <w:p w14:paraId="111421C9" w14:textId="4253A014" w:rsidR="00D452F8" w:rsidRPr="00EF2A33" w:rsidRDefault="002D7881" w:rsidP="00D452F8">
      <w:pPr>
        <w:spacing w:line="360" w:lineRule="auto"/>
        <w:ind w:firstLine="709"/>
        <w:jc w:val="both"/>
        <w:rPr>
          <w:sz w:val="22"/>
          <w:szCs w:val="22"/>
        </w:rPr>
      </w:pPr>
      <w:r w:rsidRPr="00EF2A33">
        <w:rPr>
          <w:sz w:val="22"/>
          <w:szCs w:val="22"/>
        </w:rPr>
        <w:t xml:space="preserve">E por fim, </w:t>
      </w:r>
      <w:r w:rsidR="00DB18D6" w:rsidRPr="00EF2A33">
        <w:rPr>
          <w:sz w:val="22"/>
          <w:szCs w:val="22"/>
        </w:rPr>
        <w:t>a volatilidade foi a última variável modelada. A volatilidade é uma variável ligada à oscilação da cotação do preço do ativo da empresa, e conforme sugere a teoria, quanto mais volátil o preço</w:t>
      </w:r>
      <w:r w:rsidR="00ED2D91" w:rsidRPr="00EF2A33">
        <w:rPr>
          <w:sz w:val="22"/>
          <w:szCs w:val="22"/>
        </w:rPr>
        <w:t xml:space="preserve"> do ativo menor tende a ser seu</w:t>
      </w:r>
      <w:r w:rsidR="00DB18D6" w:rsidRPr="00EF2A33">
        <w:rPr>
          <w:sz w:val="22"/>
          <w:szCs w:val="22"/>
        </w:rPr>
        <w:t xml:space="preserve"> n</w:t>
      </w:r>
      <w:r w:rsidR="00ED2D91" w:rsidRPr="00EF2A33">
        <w:rPr>
          <w:sz w:val="22"/>
          <w:szCs w:val="22"/>
        </w:rPr>
        <w:t xml:space="preserve">ível </w:t>
      </w:r>
      <w:r w:rsidR="00DB18D6" w:rsidRPr="00EF2A33">
        <w:rPr>
          <w:sz w:val="22"/>
          <w:szCs w:val="22"/>
        </w:rPr>
        <w:t xml:space="preserve">de endividamento, dada a maior dificuldade na captação de recursos de terceiros. Portanto, a relação sugerida para tal variável é negativa. Essa variável mostrou-se </w:t>
      </w:r>
      <w:r w:rsidR="00DB18D6" w:rsidRPr="00EF2A33">
        <w:rPr>
          <w:sz w:val="22"/>
          <w:szCs w:val="22"/>
        </w:rPr>
        <w:lastRenderedPageBreak/>
        <w:t>estatisticamente significativa apenas para empresas</w:t>
      </w:r>
      <w:r w:rsidR="00ED2D91" w:rsidRPr="00EF2A33">
        <w:rPr>
          <w:sz w:val="22"/>
          <w:szCs w:val="22"/>
        </w:rPr>
        <w:t xml:space="preserve"> brasileiras de maior porte, porém, com um coeficiente de magnitude baixa, o que indica o pequeno poder explicativo dessa variável </w:t>
      </w:r>
      <w:r w:rsidR="00A75ED1" w:rsidRPr="00EF2A33">
        <w:rPr>
          <w:sz w:val="22"/>
          <w:szCs w:val="22"/>
        </w:rPr>
        <w:t xml:space="preserve">no modelo. </w:t>
      </w:r>
      <w:r w:rsidR="00D452F8" w:rsidRPr="00EF2A33">
        <w:rPr>
          <w:sz w:val="22"/>
          <w:szCs w:val="22"/>
        </w:rPr>
        <w:t>Diferente do sinal esperado, o coeficiente associado à variável apresentou sinal positivo, ou seja, quanto mais volátil o título da empresa, maior seu nível de endividamento, o que contraria a teoria. Com isso infere-se que o mercado não entende como um fator de risco e, portanto, impeditivo do empréstimo de recursos uma maior volatilidade do ativo empresarial.</w:t>
      </w:r>
    </w:p>
    <w:p w14:paraId="339243B1" w14:textId="6D02692D" w:rsidR="00F32E9B" w:rsidRPr="00EF2A33" w:rsidRDefault="006918CE" w:rsidP="00592267">
      <w:pPr>
        <w:spacing w:line="360" w:lineRule="auto"/>
        <w:ind w:firstLine="709"/>
        <w:jc w:val="both"/>
        <w:rPr>
          <w:sz w:val="22"/>
          <w:szCs w:val="22"/>
        </w:rPr>
      </w:pPr>
      <w:r w:rsidRPr="00EF2A33">
        <w:rPr>
          <w:sz w:val="22"/>
          <w:szCs w:val="22"/>
        </w:rPr>
        <w:t xml:space="preserve">Sobre a existência de coeficientes associados a algumas das variáveis modeladas não se mostrarem estatisticamente significativos, tal fato não causa espanto, tendo em vista que outros estudos também chegaram a situação semelhante. Por exemplo, </w:t>
      </w:r>
      <w:r w:rsidR="00A563FD" w:rsidRPr="00EF2A33">
        <w:rPr>
          <w:sz w:val="22"/>
          <w:szCs w:val="22"/>
        </w:rPr>
        <w:t xml:space="preserve">Mitushima, Nakamura e Araújo (2010), em estudo que analisou os determinantes da estrutura de capital de companhias abertas brasileiras e a velocidade de ajuste ao nível meta no período de 1996 a 2007, verificaram que diversos coeficientes associados à variáveis explicativas não passaram pelo teste t, como, por exemplo, tamanho, rentabilidade, risco (no modelo de efeito aleatório) e PIB, ou seja, apenas as variáveis tangibilidade (TANG), crescimento (CESC) e juro real (JUROR) </w:t>
      </w:r>
      <w:r w:rsidR="00597D88" w:rsidRPr="00EF2A33">
        <w:rPr>
          <w:sz w:val="22"/>
          <w:szCs w:val="22"/>
        </w:rPr>
        <w:t>tiveram coeficientes</w:t>
      </w:r>
      <w:r w:rsidR="00A563FD" w:rsidRPr="00EF2A33">
        <w:rPr>
          <w:sz w:val="22"/>
          <w:szCs w:val="22"/>
        </w:rPr>
        <w:t xml:space="preserve"> estatisticamente significantes na pesquisa empreendida pelos autores, situação essa similar à verificada no estudo, em que </w:t>
      </w:r>
      <w:r w:rsidRPr="00EF2A33">
        <w:rPr>
          <w:sz w:val="22"/>
          <w:szCs w:val="22"/>
        </w:rPr>
        <w:t xml:space="preserve">os coeficientes de </w:t>
      </w:r>
      <w:r w:rsidR="00A563FD" w:rsidRPr="00EF2A33">
        <w:rPr>
          <w:sz w:val="22"/>
          <w:szCs w:val="22"/>
        </w:rPr>
        <w:t xml:space="preserve">algumas variáveis </w:t>
      </w:r>
      <w:r w:rsidR="00597D88" w:rsidRPr="00EF2A33">
        <w:rPr>
          <w:sz w:val="22"/>
          <w:szCs w:val="22"/>
        </w:rPr>
        <w:t xml:space="preserve">não se mostraram </w:t>
      </w:r>
      <w:r w:rsidRPr="00EF2A33">
        <w:rPr>
          <w:sz w:val="22"/>
          <w:szCs w:val="22"/>
        </w:rPr>
        <w:t xml:space="preserve">estatisticamente </w:t>
      </w:r>
      <w:r w:rsidR="00597D88" w:rsidRPr="00EF2A33">
        <w:rPr>
          <w:sz w:val="22"/>
          <w:szCs w:val="22"/>
        </w:rPr>
        <w:t>relevantes.</w:t>
      </w:r>
    </w:p>
    <w:p w14:paraId="384D9D28" w14:textId="7A710455" w:rsidR="00DC380B" w:rsidRPr="00EF2A33" w:rsidRDefault="00DC380B" w:rsidP="00592267">
      <w:pPr>
        <w:spacing w:line="360" w:lineRule="auto"/>
        <w:ind w:firstLine="709"/>
        <w:jc w:val="both"/>
        <w:rPr>
          <w:sz w:val="22"/>
          <w:szCs w:val="22"/>
        </w:rPr>
      </w:pPr>
      <w:r w:rsidRPr="00EF2A33">
        <w:rPr>
          <w:sz w:val="22"/>
          <w:szCs w:val="22"/>
        </w:rPr>
        <w:t xml:space="preserve">Em outro estudo ligado à temática, cujo objetivo </w:t>
      </w:r>
      <w:r w:rsidR="00597D88" w:rsidRPr="00EF2A33">
        <w:rPr>
          <w:sz w:val="22"/>
          <w:szCs w:val="22"/>
        </w:rPr>
        <w:t>era estudar quais fatores explicavam</w:t>
      </w:r>
      <w:r w:rsidRPr="00EF2A33">
        <w:rPr>
          <w:sz w:val="22"/>
          <w:szCs w:val="22"/>
        </w:rPr>
        <w:t xml:space="preserve"> o endividamento das empresas no período de 1999 a 2003, Nakamura et al. (2007) verificaram que, a depender do modelo analisado, </w:t>
      </w:r>
      <w:r w:rsidR="006918CE" w:rsidRPr="00EF2A33">
        <w:rPr>
          <w:sz w:val="22"/>
          <w:szCs w:val="22"/>
        </w:rPr>
        <w:t xml:space="preserve">os coeficientes associados a </w:t>
      </w:r>
      <w:r w:rsidRPr="00EF2A33">
        <w:rPr>
          <w:sz w:val="22"/>
          <w:szCs w:val="22"/>
        </w:rPr>
        <w:t>algumas variáveis</w:t>
      </w:r>
      <w:r w:rsidR="006918CE" w:rsidRPr="00EF2A33">
        <w:rPr>
          <w:sz w:val="22"/>
          <w:szCs w:val="22"/>
        </w:rPr>
        <w:t xml:space="preserve"> não se mostravam significativos</w:t>
      </w:r>
      <w:r w:rsidRPr="00EF2A33">
        <w:rPr>
          <w:sz w:val="22"/>
          <w:szCs w:val="22"/>
        </w:rPr>
        <w:t xml:space="preserve">. Inclusive, para variáveis como tamanho e oportunidade de economia fiscal, </w:t>
      </w:r>
      <w:r w:rsidR="006918CE" w:rsidRPr="00EF2A33">
        <w:rPr>
          <w:sz w:val="22"/>
          <w:szCs w:val="22"/>
        </w:rPr>
        <w:t xml:space="preserve">os coeficientes </w:t>
      </w:r>
      <w:r w:rsidRPr="00EF2A33">
        <w:rPr>
          <w:sz w:val="22"/>
          <w:szCs w:val="22"/>
        </w:rPr>
        <w:t>não se mostraram significativas a nenhum nível relevante, não passando pelo teste t.</w:t>
      </w:r>
    </w:p>
    <w:p w14:paraId="2BE4B6DB" w14:textId="1A23D331" w:rsidR="00B918FD" w:rsidRPr="00EF2A33" w:rsidRDefault="00853B14" w:rsidP="00592267">
      <w:pPr>
        <w:spacing w:line="360" w:lineRule="auto"/>
        <w:ind w:firstLine="709"/>
        <w:jc w:val="both"/>
        <w:rPr>
          <w:sz w:val="22"/>
          <w:szCs w:val="22"/>
        </w:rPr>
      </w:pPr>
      <w:r w:rsidRPr="00EF2A33">
        <w:rPr>
          <w:sz w:val="22"/>
          <w:szCs w:val="22"/>
        </w:rPr>
        <w:t xml:space="preserve">Por sua vez, Brunozi et al. (2016), ao estudarem os indicadores econômico-financeiros e os determinantes da estrutura de capital das empresas do setor de serviços, </w:t>
      </w:r>
      <w:r w:rsidR="007364B7" w:rsidRPr="00EF2A33">
        <w:rPr>
          <w:sz w:val="22"/>
          <w:szCs w:val="22"/>
        </w:rPr>
        <w:t>também encontraram coeficientes associados à</w:t>
      </w:r>
      <w:r w:rsidR="003E7DF9" w:rsidRPr="00EF2A33">
        <w:rPr>
          <w:sz w:val="22"/>
          <w:szCs w:val="22"/>
        </w:rPr>
        <w:t>s</w:t>
      </w:r>
      <w:r w:rsidR="007364B7" w:rsidRPr="00EF2A33">
        <w:rPr>
          <w:sz w:val="22"/>
          <w:szCs w:val="22"/>
        </w:rPr>
        <w:t xml:space="preserve"> variáveis explicativas que não passaram pelo teste t, como o caso da tangibilidade no modelo de efeito fixo. Ao rodar o modelo com efeito fixo e correção de White, não passagem pelo teste t os coeficientes associados à tangi</w:t>
      </w:r>
      <w:r w:rsidR="005F5483" w:rsidRPr="00EF2A33">
        <w:rPr>
          <w:sz w:val="22"/>
          <w:szCs w:val="22"/>
        </w:rPr>
        <w:t>bilidade e ao tamanho do ativo.</w:t>
      </w:r>
    </w:p>
    <w:p w14:paraId="731F5347" w14:textId="14CB5FCE" w:rsidR="003B789B" w:rsidRPr="00EF2A33" w:rsidRDefault="003B789B" w:rsidP="00592267">
      <w:pPr>
        <w:spacing w:line="360" w:lineRule="auto"/>
        <w:ind w:firstLine="709"/>
        <w:jc w:val="both"/>
        <w:rPr>
          <w:sz w:val="22"/>
          <w:szCs w:val="22"/>
        </w:rPr>
      </w:pPr>
      <w:r w:rsidRPr="00EF2A33">
        <w:rPr>
          <w:sz w:val="22"/>
          <w:szCs w:val="22"/>
        </w:rPr>
        <w:t>Já Fonseca, Silveira e Hiratuka (2016), ao analisarem a relação entre a governança corporativa e a est</w:t>
      </w:r>
      <w:r w:rsidR="006918CE" w:rsidRPr="00EF2A33">
        <w:rPr>
          <w:sz w:val="22"/>
          <w:szCs w:val="22"/>
        </w:rPr>
        <w:t>rutura de capital das empresas b</w:t>
      </w:r>
      <w:r w:rsidRPr="00EF2A33">
        <w:rPr>
          <w:sz w:val="22"/>
          <w:szCs w:val="22"/>
        </w:rPr>
        <w:t xml:space="preserve">rasileiras no período 2000-2013, se depararam com diversas variáveis com coeficientes não significativos estatisticamente, como a tangibilidade e a oportunidade de crescimento. Além delas, o coeficiente associado à variável tamanho também não passou pelo teste t em um dos modelos rodados pelos autores, tampouco a rentabilidade. Enfim, o que se pretendeu ao mencionar tais estudos foi chamar atenção ao fato de que não é fato incomum se verificar, no modelo rodado, </w:t>
      </w:r>
      <w:r w:rsidR="006918CE" w:rsidRPr="00EF2A33">
        <w:rPr>
          <w:sz w:val="22"/>
          <w:szCs w:val="22"/>
        </w:rPr>
        <w:t xml:space="preserve">coeficientes associados a </w:t>
      </w:r>
      <w:r w:rsidRPr="00EF2A33">
        <w:rPr>
          <w:sz w:val="22"/>
          <w:szCs w:val="22"/>
        </w:rPr>
        <w:t xml:space="preserve">variáveis que não possuem </w:t>
      </w:r>
      <w:r w:rsidR="006918CE" w:rsidRPr="00EF2A33">
        <w:rPr>
          <w:sz w:val="22"/>
          <w:szCs w:val="22"/>
        </w:rPr>
        <w:t>relevância</w:t>
      </w:r>
      <w:r w:rsidRPr="00EF2A33">
        <w:rPr>
          <w:sz w:val="22"/>
          <w:szCs w:val="22"/>
        </w:rPr>
        <w:t xml:space="preserve"> e</w:t>
      </w:r>
      <w:r w:rsidR="006918CE" w:rsidRPr="00EF2A33">
        <w:rPr>
          <w:sz w:val="22"/>
          <w:szCs w:val="22"/>
        </w:rPr>
        <w:t>statística</w:t>
      </w:r>
      <w:r w:rsidR="008C2EFF" w:rsidRPr="00EF2A33">
        <w:rPr>
          <w:sz w:val="22"/>
          <w:szCs w:val="22"/>
        </w:rPr>
        <w:t>, pelo contrário, tal situação se mostra mais comum do que se imagina, conforme demonstrado.</w:t>
      </w:r>
    </w:p>
    <w:p w14:paraId="10236022" w14:textId="7B12189E" w:rsidR="00144361" w:rsidRPr="00EF2A33" w:rsidRDefault="00286E72" w:rsidP="00592267">
      <w:pPr>
        <w:spacing w:line="360" w:lineRule="auto"/>
        <w:ind w:firstLine="709"/>
        <w:jc w:val="both"/>
        <w:rPr>
          <w:sz w:val="22"/>
          <w:szCs w:val="22"/>
        </w:rPr>
      </w:pPr>
      <w:r w:rsidRPr="00EF2A33">
        <w:rPr>
          <w:sz w:val="22"/>
          <w:szCs w:val="22"/>
        </w:rPr>
        <w:t xml:space="preserve">Retomado a hipótese proposta nesta pesquisa, qual seja, a de que a assimetria de informações constitui um determinante da estrutura de capital de empresas brasileiras e americanas de capital aberto, e influencia as decisões de financiamento destas empresas, a amostra estudada nos leva a </w:t>
      </w:r>
      <w:r w:rsidR="00E53B39" w:rsidRPr="00EF2A33">
        <w:rPr>
          <w:sz w:val="22"/>
          <w:szCs w:val="22"/>
        </w:rPr>
        <w:t xml:space="preserve">aceitar, ainda </w:t>
      </w:r>
      <w:r w:rsidR="00E53B39" w:rsidRPr="00EF2A33">
        <w:rPr>
          <w:sz w:val="22"/>
          <w:szCs w:val="22"/>
        </w:rPr>
        <w:lastRenderedPageBreak/>
        <w:t>que parcialmente, a hipótese inicial, conforme se verificou nos resultados dos modelos rodados e de acordo com as considerações a seguir.</w:t>
      </w:r>
    </w:p>
    <w:p w14:paraId="02FF58DE" w14:textId="0F8D8674" w:rsidR="00286E72" w:rsidRPr="00EF2A33" w:rsidRDefault="00E53B39" w:rsidP="00CF41DC">
      <w:pPr>
        <w:spacing w:line="360" w:lineRule="auto"/>
        <w:ind w:firstLine="709"/>
        <w:jc w:val="both"/>
        <w:rPr>
          <w:sz w:val="22"/>
          <w:szCs w:val="22"/>
        </w:rPr>
      </w:pPr>
      <w:r w:rsidRPr="00EF2A33">
        <w:rPr>
          <w:sz w:val="22"/>
          <w:szCs w:val="22"/>
        </w:rPr>
        <w:t xml:space="preserve">Inicialmente, é salutar mencionar que mercado de capitais dos EUA é bastante mais desenvolvido do que o brasileiro, o que se confirma, inclusive, pelo expressivo maior número de </w:t>
      </w:r>
      <w:r w:rsidR="00286E72" w:rsidRPr="00EF2A33">
        <w:rPr>
          <w:sz w:val="22"/>
          <w:szCs w:val="22"/>
        </w:rPr>
        <w:t>empresas na base de dados norte americana comparativamente à base brasileira</w:t>
      </w:r>
      <w:r w:rsidRPr="00EF2A33">
        <w:rPr>
          <w:sz w:val="22"/>
          <w:szCs w:val="22"/>
        </w:rPr>
        <w:t>. No tocante à assimetria de informaç</w:t>
      </w:r>
      <w:r w:rsidR="00CF41DC" w:rsidRPr="00EF2A33">
        <w:rPr>
          <w:sz w:val="22"/>
          <w:szCs w:val="22"/>
        </w:rPr>
        <w:t xml:space="preserve">ão, de todas as variáveis modeladas, 2 são proxies diretamente ligadas a tal fenômeno, quais sejam, o </w:t>
      </w:r>
      <w:r w:rsidR="00746A7D" w:rsidRPr="00EF2A33">
        <w:rPr>
          <w:i/>
          <w:sz w:val="22"/>
          <w:szCs w:val="22"/>
        </w:rPr>
        <w:t>bid ask</w:t>
      </w:r>
      <w:r w:rsidR="00746A7D" w:rsidRPr="00EF2A33">
        <w:rPr>
          <w:sz w:val="22"/>
          <w:szCs w:val="22"/>
        </w:rPr>
        <w:t xml:space="preserve"> e </w:t>
      </w:r>
      <w:r w:rsidR="00CF41DC" w:rsidRPr="00EF2A33">
        <w:rPr>
          <w:sz w:val="22"/>
          <w:szCs w:val="22"/>
        </w:rPr>
        <w:t xml:space="preserve">a </w:t>
      </w:r>
      <w:r w:rsidR="00746A7D" w:rsidRPr="00EF2A33">
        <w:rPr>
          <w:sz w:val="22"/>
          <w:szCs w:val="22"/>
        </w:rPr>
        <w:t>intensidade de volume de negócios</w:t>
      </w:r>
      <w:r w:rsidR="00CF41DC" w:rsidRPr="00EF2A33">
        <w:rPr>
          <w:sz w:val="22"/>
          <w:szCs w:val="22"/>
        </w:rPr>
        <w:t xml:space="preserve">. Como ambas foram modeladas tanto para o Brasil quanto para os EUA, essas </w:t>
      </w:r>
      <w:r w:rsidR="00746A7D" w:rsidRPr="00EF2A33">
        <w:rPr>
          <w:sz w:val="22"/>
          <w:szCs w:val="22"/>
        </w:rPr>
        <w:t>são efetivamente comparáveis.</w:t>
      </w:r>
    </w:p>
    <w:p w14:paraId="0804D089" w14:textId="032E8284" w:rsidR="003F3011" w:rsidRPr="00EF2A33" w:rsidRDefault="00CF41DC" w:rsidP="00CF41DC">
      <w:pPr>
        <w:spacing w:line="360" w:lineRule="auto"/>
        <w:ind w:firstLine="709"/>
        <w:jc w:val="both"/>
        <w:rPr>
          <w:sz w:val="22"/>
          <w:szCs w:val="22"/>
        </w:rPr>
      </w:pPr>
      <w:r w:rsidRPr="00EF2A33">
        <w:rPr>
          <w:sz w:val="22"/>
          <w:szCs w:val="22"/>
        </w:rPr>
        <w:t xml:space="preserve">Conforme já discutido, o </w:t>
      </w:r>
      <w:r w:rsidRPr="00EF2A33">
        <w:rPr>
          <w:i/>
          <w:sz w:val="22"/>
          <w:szCs w:val="22"/>
        </w:rPr>
        <w:t>bid-ask</w:t>
      </w:r>
      <w:r w:rsidRPr="00EF2A33">
        <w:rPr>
          <w:sz w:val="22"/>
          <w:szCs w:val="22"/>
        </w:rPr>
        <w:t xml:space="preserve"> não se mostrou significativo para as </w:t>
      </w:r>
      <w:r w:rsidR="003F3011" w:rsidRPr="00EF2A33">
        <w:rPr>
          <w:sz w:val="22"/>
          <w:szCs w:val="22"/>
        </w:rPr>
        <w:t xml:space="preserve">empresas americanas, </w:t>
      </w:r>
      <w:r w:rsidRPr="00EF2A33">
        <w:rPr>
          <w:sz w:val="22"/>
          <w:szCs w:val="22"/>
        </w:rPr>
        <w:t xml:space="preserve">mas para parte das empresas brasileiras a variável foi estatisticamente significativa. Já em relação à intensidade do volume de negócios, para parte das empresas brasileiras e para parte das norte-americanas a variável se mostrou estatisticamente relevante. Os dados evidenciam, ainda que de maneira parcial, que sim, a assimetria de informação, mensurada por tais </w:t>
      </w:r>
      <w:r w:rsidRPr="00EF2A33">
        <w:rPr>
          <w:i/>
          <w:sz w:val="22"/>
          <w:szCs w:val="22"/>
        </w:rPr>
        <w:t>proxies</w:t>
      </w:r>
      <w:r w:rsidRPr="00EF2A33">
        <w:rPr>
          <w:sz w:val="22"/>
          <w:szCs w:val="22"/>
        </w:rPr>
        <w:t xml:space="preserve">, se mostraram relevantes, do ponto de vista estatístico, e influenciam o nível de endividamento das empresas estudadas. </w:t>
      </w:r>
    </w:p>
    <w:p w14:paraId="2DBA9D4B" w14:textId="4AA26396" w:rsidR="00637436" w:rsidRPr="00EF2A33" w:rsidRDefault="00637436" w:rsidP="00592267">
      <w:pPr>
        <w:spacing w:line="360" w:lineRule="auto"/>
        <w:ind w:firstLine="709"/>
        <w:jc w:val="both"/>
        <w:rPr>
          <w:sz w:val="22"/>
          <w:szCs w:val="22"/>
        </w:rPr>
      </w:pPr>
      <w:r w:rsidRPr="00EF2A33">
        <w:rPr>
          <w:sz w:val="22"/>
          <w:szCs w:val="22"/>
        </w:rPr>
        <w:t xml:space="preserve">O resultado </w:t>
      </w:r>
      <w:r w:rsidR="00CF41DC" w:rsidRPr="00EF2A33">
        <w:rPr>
          <w:sz w:val="22"/>
          <w:szCs w:val="22"/>
        </w:rPr>
        <w:t xml:space="preserve">não causa surpresa, visto que </w:t>
      </w:r>
      <w:r w:rsidRPr="00EF2A33">
        <w:rPr>
          <w:sz w:val="22"/>
          <w:szCs w:val="22"/>
        </w:rPr>
        <w:t xml:space="preserve">era de se esperar que uma </w:t>
      </w:r>
      <w:r w:rsidR="00571142" w:rsidRPr="00EF2A33">
        <w:rPr>
          <w:sz w:val="22"/>
          <w:szCs w:val="22"/>
        </w:rPr>
        <w:t>falha de mercado</w:t>
      </w:r>
      <w:r w:rsidRPr="00EF2A33">
        <w:rPr>
          <w:sz w:val="22"/>
          <w:szCs w:val="22"/>
        </w:rPr>
        <w:t xml:space="preserve"> tão relevante como a assimetria</w:t>
      </w:r>
      <w:r w:rsidR="00C84632" w:rsidRPr="00EF2A33">
        <w:rPr>
          <w:sz w:val="22"/>
          <w:szCs w:val="22"/>
        </w:rPr>
        <w:t xml:space="preserve"> de informação</w:t>
      </w:r>
      <w:r w:rsidR="00571142" w:rsidRPr="00EF2A33">
        <w:rPr>
          <w:sz w:val="22"/>
          <w:szCs w:val="22"/>
        </w:rPr>
        <w:t xml:space="preserve">, mensurada por duas </w:t>
      </w:r>
      <w:r w:rsidR="00571142" w:rsidRPr="00EF2A33">
        <w:rPr>
          <w:i/>
          <w:sz w:val="22"/>
          <w:szCs w:val="22"/>
        </w:rPr>
        <w:t>proxies</w:t>
      </w:r>
      <w:r w:rsidR="00571142" w:rsidRPr="00EF2A33">
        <w:rPr>
          <w:sz w:val="22"/>
          <w:szCs w:val="22"/>
        </w:rPr>
        <w:t xml:space="preserve"> no estudo (</w:t>
      </w:r>
      <w:r w:rsidR="00571142" w:rsidRPr="00EF2A33">
        <w:rPr>
          <w:i/>
          <w:sz w:val="22"/>
          <w:szCs w:val="22"/>
        </w:rPr>
        <w:t>bid-ask</w:t>
      </w:r>
      <w:r w:rsidR="00571142" w:rsidRPr="00EF2A33">
        <w:rPr>
          <w:sz w:val="22"/>
          <w:szCs w:val="22"/>
        </w:rPr>
        <w:t xml:space="preserve"> e intensidade de volume de negócios), </w:t>
      </w:r>
      <w:r w:rsidRPr="00EF2A33">
        <w:rPr>
          <w:sz w:val="22"/>
          <w:szCs w:val="22"/>
        </w:rPr>
        <w:t>exer</w:t>
      </w:r>
      <w:r w:rsidR="00C84632" w:rsidRPr="00EF2A33">
        <w:rPr>
          <w:sz w:val="22"/>
          <w:szCs w:val="22"/>
        </w:rPr>
        <w:t xml:space="preserve">cesse </w:t>
      </w:r>
      <w:r w:rsidRPr="00EF2A33">
        <w:rPr>
          <w:sz w:val="22"/>
          <w:szCs w:val="22"/>
        </w:rPr>
        <w:t xml:space="preserve">influência nos níveis de endividamento das companhias </w:t>
      </w:r>
      <w:r w:rsidR="00CF41DC" w:rsidRPr="00EF2A33">
        <w:rPr>
          <w:sz w:val="22"/>
          <w:szCs w:val="22"/>
        </w:rPr>
        <w:t>analisadas</w:t>
      </w:r>
      <w:r w:rsidRPr="00EF2A33">
        <w:rPr>
          <w:sz w:val="22"/>
          <w:szCs w:val="22"/>
        </w:rPr>
        <w:t xml:space="preserve">. </w:t>
      </w:r>
      <w:r w:rsidR="00046BFB" w:rsidRPr="00EF2A33">
        <w:rPr>
          <w:sz w:val="22"/>
          <w:szCs w:val="22"/>
        </w:rPr>
        <w:t xml:space="preserve">Além </w:t>
      </w:r>
      <w:r w:rsidR="00571142" w:rsidRPr="00EF2A33">
        <w:rPr>
          <w:sz w:val="22"/>
          <w:szCs w:val="22"/>
        </w:rPr>
        <w:t xml:space="preserve">disso, a assimetria de informação é </w:t>
      </w:r>
      <w:r w:rsidR="00046BFB" w:rsidRPr="00EF2A33">
        <w:rPr>
          <w:sz w:val="22"/>
          <w:szCs w:val="22"/>
        </w:rPr>
        <w:t>objeto de diversas pesquisas em âmbito internacional</w:t>
      </w:r>
      <w:r w:rsidR="00571142" w:rsidRPr="00EF2A33">
        <w:rPr>
          <w:sz w:val="22"/>
          <w:szCs w:val="22"/>
        </w:rPr>
        <w:t xml:space="preserve">, e em muitas delas </w:t>
      </w:r>
      <w:r w:rsidR="00C84632" w:rsidRPr="00EF2A33">
        <w:rPr>
          <w:sz w:val="22"/>
          <w:szCs w:val="22"/>
        </w:rPr>
        <w:t xml:space="preserve">se verifica a </w:t>
      </w:r>
      <w:r w:rsidR="00032A87" w:rsidRPr="00EF2A33">
        <w:rPr>
          <w:sz w:val="22"/>
          <w:szCs w:val="22"/>
        </w:rPr>
        <w:t xml:space="preserve">influência </w:t>
      </w:r>
      <w:r w:rsidR="00C84632" w:rsidRPr="00EF2A33">
        <w:rPr>
          <w:sz w:val="22"/>
          <w:szCs w:val="22"/>
        </w:rPr>
        <w:t xml:space="preserve">que tal variável exerce </w:t>
      </w:r>
      <w:r w:rsidR="00032A87" w:rsidRPr="00EF2A33">
        <w:rPr>
          <w:sz w:val="22"/>
          <w:szCs w:val="22"/>
        </w:rPr>
        <w:t>nos níveis de endividamento empresarial, como verificado, por exemplo</w:t>
      </w:r>
      <w:r w:rsidR="00521828" w:rsidRPr="00EF2A33">
        <w:rPr>
          <w:sz w:val="22"/>
          <w:szCs w:val="22"/>
        </w:rPr>
        <w:t xml:space="preserve">, Wittenberg Moerman (2009). </w:t>
      </w:r>
      <w:r w:rsidR="00CF41DC" w:rsidRPr="00EF2A33">
        <w:rPr>
          <w:sz w:val="22"/>
          <w:szCs w:val="22"/>
        </w:rPr>
        <w:t xml:space="preserve">Portanto, o resultado das regressões, mesmo que parcialmente, repita-se, </w:t>
      </w:r>
      <w:r w:rsidR="00E971D1" w:rsidRPr="00EF2A33">
        <w:rPr>
          <w:sz w:val="22"/>
          <w:szCs w:val="22"/>
        </w:rPr>
        <w:t>confirma o eue já era esperado pelo estudo, a existência de influência da assimetria no nível de dívida das companhias analisadas, tanto as brasileiras quanto as americanas.</w:t>
      </w:r>
    </w:p>
    <w:p w14:paraId="52D33D52" w14:textId="095A6B53" w:rsidR="00E971D1" w:rsidRPr="00EF2A33" w:rsidRDefault="00E971D1" w:rsidP="00592267">
      <w:pPr>
        <w:spacing w:line="360" w:lineRule="auto"/>
        <w:ind w:firstLine="709"/>
        <w:jc w:val="both"/>
        <w:rPr>
          <w:sz w:val="22"/>
          <w:szCs w:val="22"/>
        </w:rPr>
      </w:pPr>
      <w:r w:rsidRPr="00EF2A33">
        <w:rPr>
          <w:sz w:val="22"/>
          <w:szCs w:val="22"/>
        </w:rPr>
        <w:t>No entanto, era de se esperar, isso sim, coeficientes associados a tais variáveis com maior expressividade, visto que as regressões evidenciaram coeficientes com pequena magnitude, ou seja, com baixo poder explicativo. De qualquer forma, considerando que os dados passaram por todos os testes estatísticos realizados e os coeficientes se mostraram relevantes, isso de forma alguma desqualifica os resultados obtidos.</w:t>
      </w:r>
    </w:p>
    <w:p w14:paraId="298D7AD6" w14:textId="2F1274FE" w:rsidR="008E79A6" w:rsidRPr="00EF2A33" w:rsidRDefault="00D729AD" w:rsidP="00592267">
      <w:pPr>
        <w:spacing w:line="360" w:lineRule="auto"/>
        <w:ind w:firstLine="709"/>
        <w:jc w:val="both"/>
        <w:rPr>
          <w:sz w:val="22"/>
          <w:szCs w:val="22"/>
        </w:rPr>
      </w:pPr>
      <w:r w:rsidRPr="00EF2A33">
        <w:rPr>
          <w:sz w:val="22"/>
          <w:szCs w:val="22"/>
        </w:rPr>
        <w:t xml:space="preserve">Retomando o caso das empresas </w:t>
      </w:r>
      <w:r w:rsidR="003F3011" w:rsidRPr="00EF2A33">
        <w:rPr>
          <w:sz w:val="22"/>
          <w:szCs w:val="22"/>
        </w:rPr>
        <w:t xml:space="preserve">brasileiras, em relação às variáveis de assimetria de informação, modelou-se além do </w:t>
      </w:r>
      <w:r w:rsidR="003F3011" w:rsidRPr="00EF2A33">
        <w:rPr>
          <w:i/>
          <w:sz w:val="22"/>
          <w:szCs w:val="22"/>
        </w:rPr>
        <w:t>bid ask</w:t>
      </w:r>
      <w:r w:rsidR="003F3011" w:rsidRPr="00EF2A33">
        <w:rPr>
          <w:sz w:val="22"/>
          <w:szCs w:val="22"/>
        </w:rPr>
        <w:t xml:space="preserve"> e da intensidade de volume de </w:t>
      </w:r>
      <w:r w:rsidRPr="00EF2A33">
        <w:rPr>
          <w:sz w:val="22"/>
          <w:szCs w:val="22"/>
        </w:rPr>
        <w:t xml:space="preserve">negócios, a liquidez em bolsa, </w:t>
      </w:r>
      <w:r w:rsidR="003F3011" w:rsidRPr="00EF2A33">
        <w:rPr>
          <w:sz w:val="22"/>
          <w:szCs w:val="22"/>
        </w:rPr>
        <w:t>a volatilidade</w:t>
      </w:r>
      <w:r w:rsidRPr="00EF2A33">
        <w:rPr>
          <w:sz w:val="22"/>
          <w:szCs w:val="22"/>
        </w:rPr>
        <w:t>, o risco e o troféu ANEFAC</w:t>
      </w:r>
      <w:r w:rsidR="003F3011" w:rsidRPr="00EF2A33">
        <w:rPr>
          <w:sz w:val="22"/>
          <w:szCs w:val="22"/>
        </w:rPr>
        <w:t xml:space="preserve">. </w:t>
      </w:r>
      <w:r w:rsidRPr="00EF2A33">
        <w:rPr>
          <w:sz w:val="22"/>
          <w:szCs w:val="22"/>
        </w:rPr>
        <w:t xml:space="preserve">Todas elas, ainda que para parte das empresas, se mostraram relevantes do ponto de vista estatístico para explicação dos níveis de endividamento das companhias da amostra. </w:t>
      </w:r>
    </w:p>
    <w:p w14:paraId="10668ABB" w14:textId="51D5409E" w:rsidR="004353EF" w:rsidRPr="00EF2A33" w:rsidRDefault="00FE6248" w:rsidP="00592267">
      <w:pPr>
        <w:spacing w:line="360" w:lineRule="auto"/>
        <w:ind w:firstLine="709"/>
        <w:jc w:val="both"/>
        <w:rPr>
          <w:sz w:val="22"/>
          <w:szCs w:val="22"/>
        </w:rPr>
      </w:pPr>
      <w:r w:rsidRPr="00EF2A33">
        <w:rPr>
          <w:sz w:val="22"/>
          <w:szCs w:val="22"/>
        </w:rPr>
        <w:t xml:space="preserve">Embra já discutido, o resultado ligado </w:t>
      </w:r>
      <w:r w:rsidR="004F0AAA" w:rsidRPr="00EF2A33">
        <w:rPr>
          <w:sz w:val="22"/>
          <w:szCs w:val="22"/>
        </w:rPr>
        <w:t>à variável rentabilidade</w:t>
      </w:r>
      <w:r w:rsidRPr="00EF2A33">
        <w:rPr>
          <w:sz w:val="22"/>
          <w:szCs w:val="22"/>
        </w:rPr>
        <w:t xml:space="preserve"> mostrou-se curioso, razão pela qual retoma-se, sucintamente, sua discussão</w:t>
      </w:r>
      <w:r w:rsidR="004F0AAA" w:rsidRPr="00EF2A33">
        <w:rPr>
          <w:sz w:val="22"/>
          <w:szCs w:val="22"/>
        </w:rPr>
        <w:t xml:space="preserve">. </w:t>
      </w:r>
      <w:r w:rsidR="00D26F4F" w:rsidRPr="00EF2A33">
        <w:rPr>
          <w:sz w:val="22"/>
          <w:szCs w:val="22"/>
        </w:rPr>
        <w:t xml:space="preserve">O sinal verificado para as empresas brasileiras </w:t>
      </w:r>
      <w:r w:rsidR="004F0AAA" w:rsidRPr="00EF2A33">
        <w:rPr>
          <w:sz w:val="22"/>
          <w:szCs w:val="22"/>
        </w:rPr>
        <w:t xml:space="preserve">e para as norte-americanas de menor porte </w:t>
      </w:r>
      <w:r w:rsidR="00D26F4F" w:rsidRPr="00EF2A33">
        <w:rPr>
          <w:sz w:val="22"/>
          <w:szCs w:val="22"/>
        </w:rPr>
        <w:t xml:space="preserve">para </w:t>
      </w:r>
      <w:r w:rsidR="004F0AAA" w:rsidRPr="00EF2A33">
        <w:rPr>
          <w:sz w:val="22"/>
          <w:szCs w:val="22"/>
        </w:rPr>
        <w:t xml:space="preserve">essa </w:t>
      </w:r>
      <w:r w:rsidR="00356316" w:rsidRPr="00EF2A33">
        <w:rPr>
          <w:sz w:val="22"/>
          <w:szCs w:val="22"/>
        </w:rPr>
        <w:t xml:space="preserve">variável </w:t>
      </w:r>
      <w:r w:rsidR="00D26F4F" w:rsidRPr="00EF2A33">
        <w:rPr>
          <w:sz w:val="22"/>
          <w:szCs w:val="22"/>
        </w:rPr>
        <w:t xml:space="preserve">contraria o </w:t>
      </w:r>
      <w:r w:rsidR="00356316" w:rsidRPr="00EF2A33">
        <w:rPr>
          <w:sz w:val="22"/>
          <w:szCs w:val="22"/>
        </w:rPr>
        <w:t xml:space="preserve">pressuposto da teoria </w:t>
      </w:r>
      <w:r w:rsidR="00356316" w:rsidRPr="00EF2A33">
        <w:rPr>
          <w:i/>
          <w:sz w:val="22"/>
          <w:szCs w:val="22"/>
        </w:rPr>
        <w:t>packing order</w:t>
      </w:r>
      <w:r w:rsidR="00356316" w:rsidRPr="00EF2A33">
        <w:rPr>
          <w:sz w:val="22"/>
          <w:szCs w:val="22"/>
        </w:rPr>
        <w:t>, visto que</w:t>
      </w:r>
      <w:r w:rsidR="004F0AAA" w:rsidRPr="00EF2A33">
        <w:rPr>
          <w:sz w:val="22"/>
          <w:szCs w:val="22"/>
        </w:rPr>
        <w:t>, nessa</w:t>
      </w:r>
      <w:r w:rsidR="00356316" w:rsidRPr="00EF2A33">
        <w:rPr>
          <w:sz w:val="22"/>
          <w:szCs w:val="22"/>
        </w:rPr>
        <w:t xml:space="preserve"> lente </w:t>
      </w:r>
      <w:r w:rsidR="004F0AAA" w:rsidRPr="00EF2A33">
        <w:rPr>
          <w:sz w:val="22"/>
          <w:szCs w:val="22"/>
        </w:rPr>
        <w:t>teórica</w:t>
      </w:r>
      <w:r w:rsidR="00356316" w:rsidRPr="00EF2A33">
        <w:rPr>
          <w:sz w:val="22"/>
          <w:szCs w:val="22"/>
        </w:rPr>
        <w:t xml:space="preserve">, empresas lucrativas </w:t>
      </w:r>
      <w:r w:rsidR="004F0AAA" w:rsidRPr="00EF2A33">
        <w:rPr>
          <w:sz w:val="22"/>
          <w:szCs w:val="22"/>
        </w:rPr>
        <w:t xml:space="preserve">possuiriam </w:t>
      </w:r>
      <w:r w:rsidR="00356316" w:rsidRPr="00EF2A33">
        <w:rPr>
          <w:sz w:val="22"/>
          <w:szCs w:val="22"/>
        </w:rPr>
        <w:t xml:space="preserve">menores níveis de dívida por utilizarem seus próprios recursos (lucros) para financiar suas atividades. Porém, como já discutido, a teoria </w:t>
      </w:r>
      <w:r w:rsidR="00356316" w:rsidRPr="00EF2A33">
        <w:rPr>
          <w:i/>
          <w:sz w:val="22"/>
          <w:szCs w:val="22"/>
        </w:rPr>
        <w:t>trade-</w:t>
      </w:r>
      <w:r w:rsidR="00356316" w:rsidRPr="00EF2A33">
        <w:rPr>
          <w:i/>
          <w:sz w:val="22"/>
          <w:szCs w:val="22"/>
        </w:rPr>
        <w:lastRenderedPageBreak/>
        <w:t>off</w:t>
      </w:r>
      <w:r w:rsidR="00356316" w:rsidRPr="00EF2A33">
        <w:rPr>
          <w:sz w:val="22"/>
          <w:szCs w:val="22"/>
        </w:rPr>
        <w:t xml:space="preserve"> preconiza justamente o contrário, visto que na busca do nível ótimo de endividamento, aquele que gera os maiores benefícios capazes de reduzir o custo do capital sem colocar a empresa em risco, a empresa pode, perfeitamente, socorrer-se do capital de terceiros mesmo sendo lucrativa, por uma série de razões, como baixo custo do capital, necessidade de utilização dos lucros para investimentos, </w:t>
      </w:r>
      <w:r w:rsidR="0042191D" w:rsidRPr="00EF2A33">
        <w:rPr>
          <w:sz w:val="22"/>
          <w:szCs w:val="22"/>
        </w:rPr>
        <w:t xml:space="preserve">pagamento de maiores dividendos visando atrair novos acionistas, dentre outras infinitas circunstâncias que justificariam tal conduta. Aliás, estudos que encontraram relações positivas entre lucratividade e endividamento são os mais diversos possíveis, como o de </w:t>
      </w:r>
      <w:r w:rsidR="00D87D37" w:rsidRPr="00EF2A33">
        <w:rPr>
          <w:sz w:val="22"/>
          <w:szCs w:val="22"/>
        </w:rPr>
        <w:t>Abor (2005) em nível internacional</w:t>
      </w:r>
      <w:r w:rsidR="00091285" w:rsidRPr="00EF2A33">
        <w:rPr>
          <w:sz w:val="22"/>
          <w:szCs w:val="22"/>
        </w:rPr>
        <w:t>, ao analisar empresas de Gana</w:t>
      </w:r>
      <w:r w:rsidR="00D87D37" w:rsidRPr="00EF2A33">
        <w:rPr>
          <w:sz w:val="22"/>
          <w:szCs w:val="22"/>
        </w:rPr>
        <w:t xml:space="preserve">, e o de </w:t>
      </w:r>
      <w:r w:rsidR="00D26F4F" w:rsidRPr="00EF2A33">
        <w:rPr>
          <w:sz w:val="22"/>
          <w:szCs w:val="22"/>
        </w:rPr>
        <w:t>Dallabona et. al (2010)</w:t>
      </w:r>
      <w:r w:rsidR="00D87D37" w:rsidRPr="00EF2A33">
        <w:rPr>
          <w:sz w:val="22"/>
          <w:szCs w:val="22"/>
        </w:rPr>
        <w:t xml:space="preserve"> em n</w:t>
      </w:r>
      <w:r w:rsidR="00091285" w:rsidRPr="00EF2A33">
        <w:rPr>
          <w:sz w:val="22"/>
          <w:szCs w:val="22"/>
        </w:rPr>
        <w:t>ível nacional, ao analisar os determinantes da estrutura de capital no Brasil.</w:t>
      </w:r>
    </w:p>
    <w:p w14:paraId="7735F72B" w14:textId="77777777" w:rsidR="00FE6248" w:rsidRPr="00EF2A33" w:rsidRDefault="004353EF" w:rsidP="00FE6248">
      <w:pPr>
        <w:spacing w:line="360" w:lineRule="auto"/>
        <w:ind w:firstLine="709"/>
        <w:jc w:val="both"/>
        <w:rPr>
          <w:sz w:val="22"/>
          <w:szCs w:val="22"/>
        </w:rPr>
      </w:pPr>
      <w:r w:rsidRPr="00EF2A33">
        <w:rPr>
          <w:sz w:val="22"/>
          <w:szCs w:val="22"/>
        </w:rPr>
        <w:t>Usualmente, empresas se utilizam de uma estrutura de capital alavancada para obtenção de benefícios da dívida, como deduções fiscais, por exemplo.</w:t>
      </w:r>
      <w:r w:rsidR="007A3480" w:rsidRPr="00EF2A33">
        <w:rPr>
          <w:sz w:val="22"/>
          <w:szCs w:val="22"/>
        </w:rPr>
        <w:t xml:space="preserve"> Acredita-se que seja improvável, no caso brasileiro, que as empresas lucrativas tenham apresentado uma estrutura de capital alavancada por questões ligadas ao baixo custo do empréstimo no Brasil, visto que, sabidamente, esta não é a nossa realidade local, com taxas de juros altíssimas e custo efetivo do dinheiro entre um dos mais altos do </w:t>
      </w:r>
      <w:r w:rsidR="00E94727" w:rsidRPr="00EF2A33">
        <w:rPr>
          <w:sz w:val="22"/>
          <w:szCs w:val="22"/>
        </w:rPr>
        <w:t>mundo</w:t>
      </w:r>
      <w:r w:rsidR="007A3480" w:rsidRPr="00EF2A33">
        <w:rPr>
          <w:sz w:val="22"/>
          <w:szCs w:val="22"/>
        </w:rPr>
        <w:t>. Portanto, talvez seja a utilização dos benefícios da dívida que suporte esse achado.</w:t>
      </w:r>
      <w:r w:rsidR="004F0AAA" w:rsidRPr="00EF2A33">
        <w:rPr>
          <w:sz w:val="22"/>
          <w:szCs w:val="22"/>
        </w:rPr>
        <w:t xml:space="preserve"> Por fim, em relação às maiores empresas dos EUA, o coeficiente associado à rentabilidade apresentou sinal absolutamente de acordo com o esperado, qual seja, negativo, permitindo inferir que as maiores empresas norte-americanas possuem menores níveis de endividamento por empregarem seus lucros no financiamento das suas operações.</w:t>
      </w:r>
    </w:p>
    <w:p w14:paraId="5E19B1F0" w14:textId="5904C852" w:rsidR="00FE6248" w:rsidRPr="00EF2A33" w:rsidRDefault="00FE6248" w:rsidP="00FE6248">
      <w:pPr>
        <w:spacing w:line="360" w:lineRule="auto"/>
        <w:ind w:firstLine="709"/>
        <w:jc w:val="both"/>
        <w:rPr>
          <w:sz w:val="22"/>
          <w:szCs w:val="22"/>
        </w:rPr>
      </w:pPr>
      <w:r w:rsidRPr="00EF2A33">
        <w:rPr>
          <w:sz w:val="22"/>
          <w:szCs w:val="22"/>
        </w:rPr>
        <w:t>Em relação aos demais coeficientes de variáveis, notou-se que, no geral, apenas o modelo para as maiores empresas norte-americanas retornou um resultado inesperado, com apenas uma variável explicativa passando pelo teste t, além, é claro, da constante. No mais, no geral, os coeficientes associados às variáveis se mostraram estatisticamente significativos, alguns com relevância econômica menor, outros com sinal diverso do sugerido pela teoria, enfim, com as mais diversas configurações que os resultados apontaram, conforme já suficiente evidenciado e discutido anteriormente.</w:t>
      </w:r>
    </w:p>
    <w:p w14:paraId="09FB0E8D" w14:textId="3B1635C6" w:rsidR="00EB0A94" w:rsidRPr="00EF2A33" w:rsidRDefault="001F1F27" w:rsidP="00FE6248">
      <w:pPr>
        <w:spacing w:line="360" w:lineRule="auto"/>
        <w:ind w:firstLine="709"/>
        <w:jc w:val="both"/>
        <w:rPr>
          <w:sz w:val="22"/>
          <w:szCs w:val="22"/>
        </w:rPr>
      </w:pPr>
      <w:r w:rsidRPr="00EF2A33">
        <w:rPr>
          <w:sz w:val="22"/>
          <w:szCs w:val="22"/>
        </w:rPr>
        <w:t>Com is</w:t>
      </w:r>
      <w:r w:rsidR="00E94727" w:rsidRPr="00EF2A33">
        <w:rPr>
          <w:sz w:val="22"/>
          <w:szCs w:val="22"/>
        </w:rPr>
        <w:t>so, verifica-se que embora haja</w:t>
      </w:r>
      <w:r w:rsidRPr="00EF2A33">
        <w:rPr>
          <w:sz w:val="22"/>
          <w:szCs w:val="22"/>
        </w:rPr>
        <w:t xml:space="preserve"> algumas semelhanças entre as empresas, as regressões mostram comportamentos distintos para as variáveis em cada país, </w:t>
      </w:r>
      <w:r w:rsidR="00EB0A94" w:rsidRPr="00EF2A33">
        <w:rPr>
          <w:sz w:val="22"/>
          <w:szCs w:val="22"/>
        </w:rPr>
        <w:t>o que desperta o interesse para realização de novos estudos que visem melhor compreender o fenômeno da estrutura de capital, em especial a influência da assimetria de informação nesse processo.</w:t>
      </w:r>
      <w:r w:rsidR="00204A85" w:rsidRPr="00EF2A33">
        <w:rPr>
          <w:sz w:val="22"/>
          <w:szCs w:val="22"/>
        </w:rPr>
        <w:t xml:space="preserve"> </w:t>
      </w:r>
      <w:r w:rsidR="00EB0A94" w:rsidRPr="00EF2A33">
        <w:rPr>
          <w:sz w:val="22"/>
          <w:szCs w:val="22"/>
        </w:rPr>
        <w:t>Dito isto, a seguir apresentam-se as considerações finais e demais encaminhamentos do estudo.</w:t>
      </w:r>
    </w:p>
    <w:p w14:paraId="216CC98B" w14:textId="77777777" w:rsidR="00835FD0" w:rsidRPr="00EF2A33" w:rsidRDefault="00835FD0" w:rsidP="00592267">
      <w:pPr>
        <w:spacing w:line="360" w:lineRule="auto"/>
        <w:ind w:firstLine="709"/>
        <w:jc w:val="both"/>
        <w:rPr>
          <w:sz w:val="22"/>
          <w:szCs w:val="22"/>
        </w:rPr>
      </w:pPr>
    </w:p>
    <w:p w14:paraId="6E6B7C72" w14:textId="0318D691" w:rsidR="00835FD0" w:rsidRPr="00EF2A33" w:rsidRDefault="00EB0A94" w:rsidP="00592267">
      <w:pPr>
        <w:pStyle w:val="Ttulo1"/>
        <w:numPr>
          <w:ilvl w:val="0"/>
          <w:numId w:val="0"/>
        </w:numPr>
        <w:spacing w:before="0" w:after="0" w:line="360" w:lineRule="auto"/>
        <w:rPr>
          <w:b w:val="0"/>
          <w:iCs w:val="0"/>
          <w:caps w:val="0"/>
          <w:sz w:val="22"/>
          <w:szCs w:val="22"/>
        </w:rPr>
      </w:pPr>
      <w:r w:rsidRPr="00EF2A33">
        <w:rPr>
          <w:sz w:val="22"/>
          <w:szCs w:val="22"/>
        </w:rPr>
        <w:t xml:space="preserve">5 </w:t>
      </w:r>
      <w:bookmarkStart w:id="35" w:name="_Toc494451373"/>
      <w:r w:rsidR="00B00354" w:rsidRPr="00EF2A33">
        <w:rPr>
          <w:sz w:val="22"/>
          <w:szCs w:val="22"/>
        </w:rPr>
        <w:t>CONSIDERAÇÕES FINAIS</w:t>
      </w:r>
      <w:bookmarkEnd w:id="35"/>
    </w:p>
    <w:p w14:paraId="18592F62" w14:textId="77777777" w:rsidR="00835FD0" w:rsidRPr="00EF2A33" w:rsidRDefault="00835FD0" w:rsidP="00592267">
      <w:pPr>
        <w:spacing w:line="360" w:lineRule="auto"/>
        <w:jc w:val="both"/>
        <w:rPr>
          <w:color w:val="000000"/>
          <w:sz w:val="22"/>
          <w:szCs w:val="22"/>
        </w:rPr>
      </w:pPr>
    </w:p>
    <w:p w14:paraId="0C34EC1D" w14:textId="32CDFD01" w:rsidR="00154555" w:rsidRPr="00EF2A33" w:rsidRDefault="00AE6AB9" w:rsidP="00592267">
      <w:pPr>
        <w:spacing w:line="360" w:lineRule="auto"/>
        <w:ind w:firstLine="709"/>
        <w:jc w:val="both"/>
        <w:rPr>
          <w:color w:val="000000"/>
          <w:sz w:val="22"/>
          <w:szCs w:val="22"/>
        </w:rPr>
      </w:pPr>
      <w:r w:rsidRPr="00EF2A33">
        <w:rPr>
          <w:color w:val="000000"/>
          <w:sz w:val="22"/>
          <w:szCs w:val="22"/>
        </w:rPr>
        <w:t>A estrutura de capital d</w:t>
      </w:r>
      <w:r w:rsidR="002C2265" w:rsidRPr="00EF2A33">
        <w:rPr>
          <w:color w:val="000000"/>
          <w:sz w:val="22"/>
          <w:szCs w:val="22"/>
        </w:rPr>
        <w:t xml:space="preserve">a </w:t>
      </w:r>
      <w:r w:rsidRPr="00EF2A33">
        <w:rPr>
          <w:color w:val="000000"/>
          <w:sz w:val="22"/>
          <w:szCs w:val="22"/>
        </w:rPr>
        <w:t xml:space="preserve">empresa constitui tema </w:t>
      </w:r>
      <w:r w:rsidR="001D3A47" w:rsidRPr="00EF2A33">
        <w:rPr>
          <w:color w:val="000000"/>
          <w:sz w:val="22"/>
          <w:szCs w:val="22"/>
        </w:rPr>
        <w:t>de alta relev</w:t>
      </w:r>
      <w:r w:rsidR="002C2265" w:rsidRPr="00EF2A33">
        <w:rPr>
          <w:color w:val="000000"/>
          <w:sz w:val="22"/>
          <w:szCs w:val="22"/>
        </w:rPr>
        <w:t xml:space="preserve">ância, tendo em vista que são os recursos da estrutura de capital que financiarão as operações da entidade, seus investimentos, e todos os projetos desenvolvidos pela </w:t>
      </w:r>
      <w:r w:rsidR="006C5AEE" w:rsidRPr="00EF2A33">
        <w:rPr>
          <w:color w:val="000000"/>
          <w:sz w:val="22"/>
          <w:szCs w:val="22"/>
        </w:rPr>
        <w:t>organização</w:t>
      </w:r>
      <w:r w:rsidR="002C2265" w:rsidRPr="00EF2A33">
        <w:rPr>
          <w:color w:val="000000"/>
          <w:sz w:val="22"/>
          <w:szCs w:val="22"/>
        </w:rPr>
        <w:t>.</w:t>
      </w:r>
      <w:r w:rsidR="00204A85" w:rsidRPr="00EF2A33">
        <w:rPr>
          <w:color w:val="000000"/>
          <w:sz w:val="22"/>
          <w:szCs w:val="22"/>
        </w:rPr>
        <w:t xml:space="preserve"> </w:t>
      </w:r>
      <w:r w:rsidR="00154555" w:rsidRPr="00EF2A33">
        <w:rPr>
          <w:color w:val="000000"/>
          <w:sz w:val="22"/>
          <w:szCs w:val="22"/>
        </w:rPr>
        <w:t xml:space="preserve">Sabendo-se que o mercado é imperfeito, </w:t>
      </w:r>
      <w:r w:rsidR="00624233" w:rsidRPr="00EF2A33">
        <w:rPr>
          <w:color w:val="000000"/>
          <w:sz w:val="22"/>
          <w:szCs w:val="22"/>
        </w:rPr>
        <w:t xml:space="preserve">e que a assimetria de informação constitui uma relevante falha nesse mercado, o estudo teve como objetivo verificar a </w:t>
      </w:r>
      <w:r w:rsidR="00624233" w:rsidRPr="00EF2A33">
        <w:rPr>
          <w:color w:val="000000"/>
          <w:sz w:val="22"/>
          <w:szCs w:val="22"/>
        </w:rPr>
        <w:lastRenderedPageBreak/>
        <w:t>influência da assimetria de informação na estrutura de capital das empresas brasileiras e norte-americanas, realizando uma comparação entre os resultados obtidos.</w:t>
      </w:r>
    </w:p>
    <w:p w14:paraId="32439C97" w14:textId="218F6694" w:rsidR="00624233" w:rsidRPr="00EF2A33" w:rsidRDefault="00624233" w:rsidP="00592267">
      <w:pPr>
        <w:spacing w:line="360" w:lineRule="auto"/>
        <w:ind w:firstLine="709"/>
        <w:jc w:val="both"/>
        <w:rPr>
          <w:color w:val="000000"/>
          <w:sz w:val="22"/>
          <w:szCs w:val="22"/>
        </w:rPr>
      </w:pPr>
      <w:r w:rsidRPr="00EF2A33">
        <w:rPr>
          <w:color w:val="000000"/>
          <w:sz w:val="22"/>
          <w:szCs w:val="22"/>
        </w:rPr>
        <w:t xml:space="preserve">Para tanto, optou-se por trabalhar com modelagem de dados em painel, visto que analisou-se o período de 5 anos, com dados de </w:t>
      </w:r>
      <w:r w:rsidR="006C5AEE" w:rsidRPr="00EF2A33">
        <w:rPr>
          <w:iCs/>
          <w:sz w:val="22"/>
          <w:szCs w:val="22"/>
        </w:rPr>
        <w:t xml:space="preserve">empresas brasileiras e </w:t>
      </w:r>
      <w:r w:rsidRPr="00EF2A33">
        <w:rPr>
          <w:iCs/>
          <w:sz w:val="22"/>
          <w:szCs w:val="22"/>
        </w:rPr>
        <w:t>norte-americanas, distribuídas em um painel de dados balanceado.</w:t>
      </w:r>
      <w:r w:rsidR="00204A85" w:rsidRPr="00EF2A33">
        <w:rPr>
          <w:iCs/>
          <w:sz w:val="22"/>
          <w:szCs w:val="22"/>
        </w:rPr>
        <w:t xml:space="preserve"> </w:t>
      </w:r>
      <w:r w:rsidR="00DB7005" w:rsidRPr="00EF2A33">
        <w:rPr>
          <w:color w:val="000000"/>
          <w:sz w:val="22"/>
          <w:szCs w:val="22"/>
        </w:rPr>
        <w:t xml:space="preserve">Em relação ao foco principal do estudo, que é avaliar a influência da assimetria de informação sobre a estrutura de capital, verificou-se que para a amostra de empresas norte-americanas, as variáveis </w:t>
      </w:r>
      <w:r w:rsidR="00DB7005" w:rsidRPr="00EF2A33">
        <w:rPr>
          <w:i/>
          <w:color w:val="000000"/>
          <w:sz w:val="22"/>
          <w:szCs w:val="22"/>
        </w:rPr>
        <w:t>proxies</w:t>
      </w:r>
      <w:r w:rsidR="00DB7005" w:rsidRPr="00EF2A33">
        <w:rPr>
          <w:color w:val="000000"/>
          <w:sz w:val="22"/>
          <w:szCs w:val="22"/>
        </w:rPr>
        <w:t xml:space="preserve"> de assimetria modeladas retornaram coeficientes estatisticamente significativos, </w:t>
      </w:r>
      <w:r w:rsidR="006C5AEE" w:rsidRPr="00EF2A33">
        <w:rPr>
          <w:color w:val="000000"/>
          <w:sz w:val="22"/>
          <w:szCs w:val="22"/>
        </w:rPr>
        <w:t xml:space="preserve">ainda que para parte das sub-amostras. Por consequência disso, </w:t>
      </w:r>
      <w:r w:rsidR="00DB7005" w:rsidRPr="00EF2A33">
        <w:rPr>
          <w:color w:val="000000"/>
          <w:sz w:val="22"/>
          <w:szCs w:val="22"/>
        </w:rPr>
        <w:t xml:space="preserve">para a amostra de empresas analisadas no corte temporal escolhido, </w:t>
      </w:r>
      <w:r w:rsidR="006C5AEE" w:rsidRPr="00EF2A33">
        <w:rPr>
          <w:color w:val="000000"/>
          <w:sz w:val="22"/>
          <w:szCs w:val="22"/>
        </w:rPr>
        <w:t xml:space="preserve">chegamos à conclusão que </w:t>
      </w:r>
      <w:r w:rsidR="00DB7005" w:rsidRPr="00EF2A33">
        <w:rPr>
          <w:color w:val="000000"/>
          <w:sz w:val="22"/>
          <w:szCs w:val="22"/>
        </w:rPr>
        <w:t>a assimetria de informação constituiu uma variável com influência sobre a estrutura de capital das organizações, dado o resultado da regressão.</w:t>
      </w:r>
      <w:r w:rsidR="006C5AEE" w:rsidRPr="00EF2A33">
        <w:rPr>
          <w:color w:val="000000"/>
          <w:sz w:val="22"/>
          <w:szCs w:val="22"/>
        </w:rPr>
        <w:t xml:space="preserve"> Saliente-se que tal resultado constituía hipótese de pesquisa, confirmada pela análise dos dados.</w:t>
      </w:r>
    </w:p>
    <w:p w14:paraId="5422DCF6" w14:textId="77777777" w:rsidR="002007AD" w:rsidRPr="00EF2A33" w:rsidRDefault="005D3EAE" w:rsidP="00592267">
      <w:pPr>
        <w:spacing w:line="360" w:lineRule="auto"/>
        <w:ind w:firstLine="709"/>
        <w:jc w:val="both"/>
        <w:rPr>
          <w:color w:val="000000"/>
          <w:sz w:val="22"/>
          <w:szCs w:val="22"/>
        </w:rPr>
      </w:pPr>
      <w:r w:rsidRPr="00EF2A33">
        <w:rPr>
          <w:color w:val="000000"/>
          <w:sz w:val="22"/>
          <w:szCs w:val="22"/>
        </w:rPr>
        <w:t xml:space="preserve">Em relação </w:t>
      </w:r>
      <w:r w:rsidR="00DB6D16" w:rsidRPr="00EF2A33">
        <w:rPr>
          <w:color w:val="000000"/>
          <w:sz w:val="22"/>
          <w:szCs w:val="22"/>
        </w:rPr>
        <w:t xml:space="preserve">às empresas brasileiras, </w:t>
      </w:r>
      <w:r w:rsidR="0032426D" w:rsidRPr="00EF2A33">
        <w:rPr>
          <w:color w:val="000000"/>
          <w:sz w:val="22"/>
          <w:szCs w:val="22"/>
        </w:rPr>
        <w:t>curioso notar que embora muitos dos coeficientes tenham se mostrado estatisticamente significativos, apenas duas variáveis em cada modelo apresentaram sinal condizente com a teoria</w:t>
      </w:r>
      <w:r w:rsidR="002007AD" w:rsidRPr="00EF2A33">
        <w:rPr>
          <w:color w:val="000000"/>
          <w:sz w:val="22"/>
          <w:szCs w:val="22"/>
        </w:rPr>
        <w:t xml:space="preserve">. Lembrando que o modelo foi rodado com 10 variáveis explicativas. </w:t>
      </w:r>
    </w:p>
    <w:p w14:paraId="5A865D3C" w14:textId="4CA8C700" w:rsidR="002007AD" w:rsidRPr="00EF2A33" w:rsidRDefault="002007AD" w:rsidP="00592267">
      <w:pPr>
        <w:spacing w:line="360" w:lineRule="auto"/>
        <w:ind w:firstLine="709"/>
        <w:jc w:val="both"/>
        <w:rPr>
          <w:color w:val="000000"/>
          <w:sz w:val="22"/>
          <w:szCs w:val="22"/>
        </w:rPr>
      </w:pPr>
      <w:r w:rsidRPr="00EF2A33">
        <w:rPr>
          <w:color w:val="000000"/>
          <w:sz w:val="22"/>
          <w:szCs w:val="22"/>
        </w:rPr>
        <w:t>Já os dados para as empresas norte-americanas apresentaram resultados um pouco melhores, em que, das 6 variáveis explicativas do modelo, em um deles 4 apresentaram sinais condizentes com a teoria (modelo para empresas de maior porte) e no outro, 2 variáveis apenas apresentaram sinal condizente com o esperado (modelo para empresas de menor porte). De qualquer forma, comparando apenas o número de variáveis com sinal de acordo com o sugerido pela teoria, parece-nos que a amostra de empresas norte-americanas foi mais consistente do que a brasileira neste quesito.</w:t>
      </w:r>
    </w:p>
    <w:p w14:paraId="06863879" w14:textId="03EF1195" w:rsidR="006C5AEE" w:rsidRPr="00EF2A33" w:rsidRDefault="002007AD" w:rsidP="00592267">
      <w:pPr>
        <w:spacing w:line="360" w:lineRule="auto"/>
        <w:ind w:firstLine="709"/>
        <w:jc w:val="both"/>
        <w:rPr>
          <w:color w:val="000000"/>
          <w:sz w:val="22"/>
          <w:szCs w:val="22"/>
        </w:rPr>
      </w:pPr>
      <w:r w:rsidRPr="00EF2A33">
        <w:rPr>
          <w:color w:val="000000"/>
          <w:sz w:val="22"/>
          <w:szCs w:val="22"/>
        </w:rPr>
        <w:t xml:space="preserve">Evidentemente que tais resultados não servem para que se tirem conclusões absolutas, mas talvez isso constituam mais um sinal da imperfeição do mercado acionário brasileiro, em que os resultados obtidos nas regressões se distanciem tanto do padrão esperado para as empresas. Ou ainda, como para parte da amostra de empresas norte-americanas os resultados também se distanciaram dos ditames teóricos, possa constituir um indício de que, talvez, as teorias de finanças atualmente empregadas não estejam tão calibradas ao atual momento econômico que as empresas estão passando, carecendo de novas e mais profundas discussões. </w:t>
      </w:r>
    </w:p>
    <w:p w14:paraId="6986462D" w14:textId="632D618B" w:rsidR="00366F3B" w:rsidRPr="00EF2A33" w:rsidRDefault="008530FF" w:rsidP="00592267">
      <w:pPr>
        <w:spacing w:line="360" w:lineRule="auto"/>
        <w:ind w:firstLine="709"/>
        <w:jc w:val="both"/>
        <w:rPr>
          <w:color w:val="000000"/>
          <w:sz w:val="22"/>
          <w:szCs w:val="22"/>
        </w:rPr>
      </w:pPr>
      <w:r w:rsidRPr="00EF2A33">
        <w:rPr>
          <w:color w:val="000000"/>
          <w:sz w:val="22"/>
          <w:szCs w:val="22"/>
        </w:rPr>
        <w:t>C</w:t>
      </w:r>
      <w:r w:rsidR="00D03C0A" w:rsidRPr="00EF2A33">
        <w:rPr>
          <w:color w:val="000000"/>
          <w:sz w:val="22"/>
          <w:szCs w:val="22"/>
        </w:rPr>
        <w:t xml:space="preserve">onsiderando os resultados do modelo, </w:t>
      </w:r>
      <w:r w:rsidR="00966437" w:rsidRPr="00EF2A33">
        <w:rPr>
          <w:color w:val="000000"/>
          <w:sz w:val="22"/>
          <w:szCs w:val="22"/>
        </w:rPr>
        <w:t xml:space="preserve">para as empresas norte-americanas, parece ser a teoria de </w:t>
      </w:r>
      <w:r w:rsidR="00966437" w:rsidRPr="00EF2A33">
        <w:rPr>
          <w:i/>
          <w:color w:val="000000"/>
          <w:sz w:val="22"/>
          <w:szCs w:val="22"/>
        </w:rPr>
        <w:t>pecking order</w:t>
      </w:r>
      <w:r w:rsidR="00966437" w:rsidRPr="00EF2A33">
        <w:rPr>
          <w:color w:val="000000"/>
          <w:sz w:val="22"/>
          <w:szCs w:val="22"/>
        </w:rPr>
        <w:t xml:space="preserve"> aquela que oferece o melhor conjunto explicativo para o comportamento das variáveis, enquanto que, para o caso brasileiro, </w:t>
      </w:r>
      <w:r w:rsidR="0019406E" w:rsidRPr="00EF2A33">
        <w:rPr>
          <w:color w:val="000000"/>
          <w:sz w:val="22"/>
          <w:szCs w:val="22"/>
        </w:rPr>
        <w:t xml:space="preserve">parece ser um misto de teoria </w:t>
      </w:r>
      <w:r w:rsidR="0019406E" w:rsidRPr="00EF2A33">
        <w:rPr>
          <w:i/>
          <w:color w:val="000000"/>
          <w:sz w:val="22"/>
          <w:szCs w:val="22"/>
        </w:rPr>
        <w:t>trade-off</w:t>
      </w:r>
      <w:r w:rsidR="0019406E" w:rsidRPr="00EF2A33">
        <w:rPr>
          <w:color w:val="000000"/>
          <w:sz w:val="22"/>
          <w:szCs w:val="22"/>
        </w:rPr>
        <w:t xml:space="preserve"> e de </w:t>
      </w:r>
      <w:r w:rsidR="0019406E" w:rsidRPr="00EF2A33">
        <w:rPr>
          <w:i/>
          <w:color w:val="000000"/>
          <w:sz w:val="22"/>
          <w:szCs w:val="22"/>
        </w:rPr>
        <w:t>pecking order</w:t>
      </w:r>
      <w:r w:rsidR="0019406E" w:rsidRPr="00EF2A33">
        <w:rPr>
          <w:color w:val="000000"/>
          <w:sz w:val="22"/>
          <w:szCs w:val="22"/>
        </w:rPr>
        <w:t xml:space="preserve"> o que oferece o melhor conjunto explicativo para os coeficientes retornados.</w:t>
      </w:r>
      <w:r w:rsidRPr="00EF2A33">
        <w:rPr>
          <w:color w:val="000000"/>
          <w:sz w:val="22"/>
          <w:szCs w:val="22"/>
        </w:rPr>
        <w:t xml:space="preserve"> Por fim, conclui-se que a assimetria de informações, tendo em vista os dados empregados, a amostra e o corte temporal, mostrou-se significativa para definição da estrutura de capital </w:t>
      </w:r>
      <w:r w:rsidR="002007AD" w:rsidRPr="00EF2A33">
        <w:rPr>
          <w:color w:val="000000"/>
          <w:sz w:val="22"/>
          <w:szCs w:val="22"/>
        </w:rPr>
        <w:t xml:space="preserve">tanto para as </w:t>
      </w:r>
      <w:r w:rsidRPr="00EF2A33">
        <w:rPr>
          <w:color w:val="000000"/>
          <w:sz w:val="22"/>
          <w:szCs w:val="22"/>
        </w:rPr>
        <w:t>empresas brasileiras</w:t>
      </w:r>
      <w:r w:rsidR="002007AD" w:rsidRPr="00EF2A33">
        <w:rPr>
          <w:color w:val="000000"/>
          <w:sz w:val="22"/>
          <w:szCs w:val="22"/>
        </w:rPr>
        <w:t xml:space="preserve"> quanto para as norte-americanas, </w:t>
      </w:r>
      <w:r w:rsidR="0014450D" w:rsidRPr="00EF2A33">
        <w:rPr>
          <w:color w:val="000000"/>
          <w:sz w:val="22"/>
          <w:szCs w:val="22"/>
        </w:rPr>
        <w:t>resguardadas as considerações realizadas ao longo de toda a análise aqui discorrida</w:t>
      </w:r>
      <w:r w:rsidR="0014200D" w:rsidRPr="00EF2A33">
        <w:rPr>
          <w:color w:val="000000"/>
          <w:sz w:val="22"/>
          <w:szCs w:val="22"/>
        </w:rPr>
        <w:t xml:space="preserve">. </w:t>
      </w:r>
      <w:r w:rsidR="00AB365A" w:rsidRPr="00EF2A33">
        <w:rPr>
          <w:color w:val="000000"/>
          <w:sz w:val="22"/>
          <w:szCs w:val="22"/>
        </w:rPr>
        <w:t xml:space="preserve">Com isso, respondeu-se ao problema da pesquisa, à medida que </w:t>
      </w:r>
      <w:r w:rsidR="00AB365A" w:rsidRPr="00EF2A33">
        <w:rPr>
          <w:sz w:val="22"/>
          <w:szCs w:val="22"/>
        </w:rPr>
        <w:t xml:space="preserve">a assimetria de informação </w:t>
      </w:r>
      <w:r w:rsidR="00E94727" w:rsidRPr="00EF2A33">
        <w:rPr>
          <w:sz w:val="22"/>
          <w:szCs w:val="22"/>
        </w:rPr>
        <w:t>se mostrou</w:t>
      </w:r>
      <w:r w:rsidR="00AB365A" w:rsidRPr="00EF2A33">
        <w:rPr>
          <w:sz w:val="22"/>
          <w:szCs w:val="22"/>
        </w:rPr>
        <w:t xml:space="preserve"> influente na determinação da estrutura de capital de empresas brasileiras</w:t>
      </w:r>
      <w:r w:rsidR="0014200D" w:rsidRPr="00EF2A33">
        <w:rPr>
          <w:sz w:val="22"/>
          <w:szCs w:val="22"/>
        </w:rPr>
        <w:t xml:space="preserve"> e norte-americanas</w:t>
      </w:r>
      <w:r w:rsidR="00AB365A" w:rsidRPr="00EF2A33">
        <w:rPr>
          <w:sz w:val="22"/>
          <w:szCs w:val="22"/>
        </w:rPr>
        <w:t xml:space="preserve">, conforme discutido anteriormente. Com isso, </w:t>
      </w:r>
      <w:r w:rsidR="0014200D" w:rsidRPr="00EF2A33">
        <w:rPr>
          <w:sz w:val="22"/>
          <w:szCs w:val="22"/>
        </w:rPr>
        <w:t>aceitou</w:t>
      </w:r>
      <w:r w:rsidR="00AB365A" w:rsidRPr="00EF2A33">
        <w:rPr>
          <w:sz w:val="22"/>
          <w:szCs w:val="22"/>
        </w:rPr>
        <w:t xml:space="preserve">-se </w:t>
      </w:r>
      <w:r w:rsidR="00366F3B" w:rsidRPr="00EF2A33">
        <w:rPr>
          <w:sz w:val="22"/>
          <w:szCs w:val="22"/>
        </w:rPr>
        <w:t xml:space="preserve">a Hipótese 1 </w:t>
      </w:r>
      <w:r w:rsidR="00AB365A" w:rsidRPr="00EF2A33">
        <w:rPr>
          <w:sz w:val="22"/>
          <w:szCs w:val="22"/>
        </w:rPr>
        <w:t>do estudo.</w:t>
      </w:r>
    </w:p>
    <w:p w14:paraId="77917AA3" w14:textId="18D9CF79" w:rsidR="002626BC" w:rsidRPr="00EF2A33" w:rsidRDefault="008530FF" w:rsidP="00592267">
      <w:pPr>
        <w:spacing w:line="360" w:lineRule="auto"/>
        <w:ind w:firstLine="709"/>
        <w:jc w:val="both"/>
        <w:rPr>
          <w:color w:val="000000"/>
          <w:sz w:val="22"/>
          <w:szCs w:val="22"/>
        </w:rPr>
      </w:pPr>
      <w:r w:rsidRPr="00EF2A33">
        <w:rPr>
          <w:color w:val="000000"/>
          <w:sz w:val="22"/>
          <w:szCs w:val="22"/>
        </w:rPr>
        <w:lastRenderedPageBreak/>
        <w:t xml:space="preserve">Para futuras pesquisa sugere-se </w:t>
      </w:r>
      <w:r w:rsidR="002626BC" w:rsidRPr="00EF2A33">
        <w:rPr>
          <w:color w:val="000000"/>
          <w:sz w:val="22"/>
          <w:szCs w:val="22"/>
        </w:rPr>
        <w:t>uso de outras técnicas econométricas e estatísticas que permitam trabalhar com mais de uma variável dependente, bem como a análise comparativa em relação a outros países, em especial a China, por representar, junto com os Estados Unidos, uma das maiores potências econômicas mundiais. Acredita-se que estudando tal mercado, em especial a estrutura de capital das suas empresas, possa-se enriquecer o tema e desenvolver ainda mais o estudo da área de finanças.</w:t>
      </w:r>
      <w:r w:rsidR="00366F3B" w:rsidRPr="00EF2A33">
        <w:rPr>
          <w:color w:val="000000"/>
          <w:sz w:val="22"/>
          <w:szCs w:val="22"/>
        </w:rPr>
        <w:t xml:space="preserve"> </w:t>
      </w:r>
    </w:p>
    <w:p w14:paraId="32B8FB6D" w14:textId="77777777" w:rsidR="00835FD0" w:rsidRPr="00852236" w:rsidRDefault="00835FD0" w:rsidP="00835FD0">
      <w:pPr>
        <w:spacing w:line="360" w:lineRule="auto"/>
        <w:ind w:firstLine="709"/>
        <w:jc w:val="both"/>
        <w:rPr>
          <w:color w:val="000000"/>
        </w:rPr>
      </w:pPr>
    </w:p>
    <w:p w14:paraId="0A666209" w14:textId="102ED3F1" w:rsidR="005C4379" w:rsidRPr="00852236" w:rsidRDefault="00547DC5" w:rsidP="00835FD0">
      <w:pPr>
        <w:pStyle w:val="Ttulo1"/>
        <w:numPr>
          <w:ilvl w:val="0"/>
          <w:numId w:val="0"/>
        </w:numPr>
        <w:spacing w:before="0" w:after="0" w:line="360" w:lineRule="auto"/>
        <w:rPr>
          <w:szCs w:val="24"/>
        </w:rPr>
      </w:pPr>
      <w:bookmarkStart w:id="36" w:name="_Toc494451374"/>
      <w:bookmarkEnd w:id="18"/>
      <w:r w:rsidRPr="00852236">
        <w:rPr>
          <w:szCs w:val="24"/>
        </w:rPr>
        <w:t>referências</w:t>
      </w:r>
      <w:bookmarkEnd w:id="36"/>
    </w:p>
    <w:p w14:paraId="6F85703B" w14:textId="77777777" w:rsidR="00835FD0" w:rsidRPr="00852236" w:rsidRDefault="00835FD0" w:rsidP="00835FD0">
      <w:pPr>
        <w:pStyle w:val="Ttulo1"/>
        <w:numPr>
          <w:ilvl w:val="0"/>
          <w:numId w:val="0"/>
        </w:numPr>
        <w:spacing w:before="0" w:after="0" w:line="360" w:lineRule="auto"/>
      </w:pPr>
    </w:p>
    <w:p w14:paraId="469246A5" w14:textId="115BBCB8" w:rsidR="00F97065" w:rsidRPr="00EE6CEB" w:rsidRDefault="00EE6CEB" w:rsidP="00204A85">
      <w:pPr>
        <w:widowControl w:val="0"/>
        <w:autoSpaceDE w:val="0"/>
        <w:autoSpaceDN w:val="0"/>
        <w:adjustRightInd w:val="0"/>
        <w:rPr>
          <w:sz w:val="22"/>
          <w:szCs w:val="22"/>
        </w:rPr>
      </w:pPr>
      <w:r w:rsidRPr="00EE6CEB">
        <w:rPr>
          <w:sz w:val="22"/>
          <w:szCs w:val="22"/>
        </w:rPr>
        <w:t>ABOR, Joshua. The effect of capital structure on profitability: an empirical analysis of listed firms in Ghana. </w:t>
      </w:r>
      <w:r w:rsidRPr="00A714D3">
        <w:rPr>
          <w:b/>
          <w:sz w:val="22"/>
          <w:szCs w:val="22"/>
        </w:rPr>
        <w:t>The journal of risk finance</w:t>
      </w:r>
      <w:r w:rsidRPr="00EE6CEB">
        <w:rPr>
          <w:sz w:val="22"/>
          <w:szCs w:val="22"/>
        </w:rPr>
        <w:t>, v. 6, n. 5, p. 438-445, 2005</w:t>
      </w:r>
    </w:p>
    <w:p w14:paraId="0763886F" w14:textId="77777777" w:rsidR="00EE6CEB" w:rsidRPr="00852236" w:rsidRDefault="00EE6CEB" w:rsidP="00204A85">
      <w:pPr>
        <w:widowControl w:val="0"/>
        <w:autoSpaceDE w:val="0"/>
        <w:autoSpaceDN w:val="0"/>
        <w:adjustRightInd w:val="0"/>
        <w:rPr>
          <w:color w:val="222222"/>
          <w:sz w:val="22"/>
          <w:szCs w:val="22"/>
          <w:shd w:val="clear" w:color="auto" w:fill="FFFFFF"/>
        </w:rPr>
      </w:pPr>
    </w:p>
    <w:p w14:paraId="21296C35" w14:textId="21948BC3" w:rsidR="00A714D3" w:rsidRDefault="00A714D3" w:rsidP="00204A85">
      <w:pPr>
        <w:widowControl w:val="0"/>
        <w:autoSpaceDE w:val="0"/>
        <w:autoSpaceDN w:val="0"/>
        <w:adjustRightInd w:val="0"/>
        <w:rPr>
          <w:sz w:val="22"/>
          <w:szCs w:val="22"/>
        </w:rPr>
      </w:pPr>
      <w:r w:rsidRPr="00A714D3">
        <w:rPr>
          <w:sz w:val="22"/>
          <w:szCs w:val="22"/>
        </w:rPr>
        <w:t>ALBANEZ, Tatiana. Impactos da assimetria de informação na estrutura de capital das empresas brasileiras de capital aberto. 2008. 106f. 2008. Dissertação (</w:t>
      </w:r>
      <w:r w:rsidRPr="00A714D3">
        <w:rPr>
          <w:b/>
          <w:sz w:val="22"/>
          <w:szCs w:val="22"/>
        </w:rPr>
        <w:t>Mestrado em Contabilidade</w:t>
      </w:r>
      <w:r w:rsidRPr="00A714D3">
        <w:rPr>
          <w:sz w:val="22"/>
          <w:szCs w:val="22"/>
        </w:rPr>
        <w:t>)</w:t>
      </w:r>
      <w:r>
        <w:rPr>
          <w:sz w:val="22"/>
          <w:szCs w:val="22"/>
        </w:rPr>
        <w:t xml:space="preserve"> </w:t>
      </w:r>
      <w:r w:rsidRPr="00A714D3">
        <w:rPr>
          <w:sz w:val="22"/>
          <w:szCs w:val="22"/>
        </w:rPr>
        <w:t>–</w:t>
      </w:r>
      <w:r>
        <w:rPr>
          <w:sz w:val="22"/>
          <w:szCs w:val="22"/>
        </w:rPr>
        <w:t xml:space="preserve"> </w:t>
      </w:r>
      <w:r w:rsidRPr="00A714D3">
        <w:rPr>
          <w:sz w:val="22"/>
          <w:szCs w:val="22"/>
        </w:rPr>
        <w:t>Faculdade de Economia, Administração e Contabilidade de Ribeirão Preto, Universidade de São Paulo, São Paulo</w:t>
      </w:r>
    </w:p>
    <w:p w14:paraId="0AC57066" w14:textId="77777777" w:rsidR="00A714D3" w:rsidRPr="00852236" w:rsidRDefault="00A714D3" w:rsidP="00204A85">
      <w:pPr>
        <w:widowControl w:val="0"/>
        <w:autoSpaceDE w:val="0"/>
        <w:autoSpaceDN w:val="0"/>
        <w:adjustRightInd w:val="0"/>
        <w:rPr>
          <w:sz w:val="22"/>
          <w:szCs w:val="22"/>
        </w:rPr>
      </w:pPr>
    </w:p>
    <w:p w14:paraId="5A8DC85C" w14:textId="6722D3AE" w:rsidR="00321D4A" w:rsidRPr="00852236" w:rsidRDefault="00321D4A" w:rsidP="00204A85">
      <w:pPr>
        <w:widowControl w:val="0"/>
        <w:autoSpaceDE w:val="0"/>
        <w:autoSpaceDN w:val="0"/>
        <w:adjustRightInd w:val="0"/>
        <w:rPr>
          <w:sz w:val="22"/>
          <w:szCs w:val="22"/>
        </w:rPr>
      </w:pPr>
      <w:r w:rsidRPr="00321D4A">
        <w:rPr>
          <w:sz w:val="22"/>
          <w:szCs w:val="22"/>
        </w:rPr>
        <w:t xml:space="preserve">ALBANEZ, Tatiana. Efeitos do market timing sobre a estrutura de capital de companhias abertas brasileiras. 2012. </w:t>
      </w:r>
      <w:r w:rsidRPr="00321D4A">
        <w:rPr>
          <w:b/>
          <w:sz w:val="22"/>
          <w:szCs w:val="22"/>
        </w:rPr>
        <w:t>Tese de Doutorado</w:t>
      </w:r>
      <w:r w:rsidRPr="00321D4A">
        <w:rPr>
          <w:sz w:val="22"/>
          <w:szCs w:val="22"/>
        </w:rPr>
        <w:t>. Universidade de São Paulo</w:t>
      </w:r>
    </w:p>
    <w:p w14:paraId="64929B84" w14:textId="35627D7F" w:rsidR="00F62E10" w:rsidRPr="00852236" w:rsidRDefault="00F62E10" w:rsidP="00204A85">
      <w:pPr>
        <w:widowControl w:val="0"/>
        <w:autoSpaceDE w:val="0"/>
        <w:autoSpaceDN w:val="0"/>
        <w:adjustRightInd w:val="0"/>
        <w:rPr>
          <w:sz w:val="22"/>
          <w:szCs w:val="22"/>
        </w:rPr>
      </w:pPr>
    </w:p>
    <w:p w14:paraId="0EE1AC5C" w14:textId="4D4BB2DD" w:rsidR="00321D4A" w:rsidRDefault="00321D4A" w:rsidP="00204A85">
      <w:pPr>
        <w:widowControl w:val="0"/>
        <w:autoSpaceDE w:val="0"/>
        <w:autoSpaceDN w:val="0"/>
        <w:adjustRightInd w:val="0"/>
        <w:rPr>
          <w:sz w:val="22"/>
          <w:szCs w:val="22"/>
        </w:rPr>
      </w:pPr>
      <w:r w:rsidRPr="00321D4A">
        <w:rPr>
          <w:sz w:val="22"/>
          <w:szCs w:val="22"/>
        </w:rPr>
        <w:t>ALBANEZ, Tatiana; VALLE, Maurício Ribeiro do. Impactos da assimetria de informação na estrutura de capital de empresas brasileiras abertas. </w:t>
      </w:r>
      <w:r w:rsidRPr="00321D4A">
        <w:rPr>
          <w:b/>
          <w:sz w:val="22"/>
          <w:szCs w:val="22"/>
        </w:rPr>
        <w:t>Revista Contabilidade &amp; Finanças-USP</w:t>
      </w:r>
      <w:r w:rsidRPr="00321D4A">
        <w:rPr>
          <w:sz w:val="22"/>
          <w:szCs w:val="22"/>
        </w:rPr>
        <w:t>, v. 20, n. 51, 2009</w:t>
      </w:r>
      <w:r>
        <w:rPr>
          <w:sz w:val="22"/>
          <w:szCs w:val="22"/>
        </w:rPr>
        <w:t>.</w:t>
      </w:r>
    </w:p>
    <w:p w14:paraId="6C19AD10" w14:textId="5B1392A7" w:rsidR="00321D4A" w:rsidRDefault="00321D4A" w:rsidP="00204A85">
      <w:pPr>
        <w:widowControl w:val="0"/>
        <w:autoSpaceDE w:val="0"/>
        <w:autoSpaceDN w:val="0"/>
        <w:adjustRightInd w:val="0"/>
        <w:rPr>
          <w:sz w:val="22"/>
          <w:szCs w:val="22"/>
        </w:rPr>
      </w:pPr>
    </w:p>
    <w:p w14:paraId="18EDFB98" w14:textId="77F3EDEA" w:rsidR="00321D4A" w:rsidRDefault="00321D4A" w:rsidP="00204A85">
      <w:pPr>
        <w:widowControl w:val="0"/>
        <w:autoSpaceDE w:val="0"/>
        <w:autoSpaceDN w:val="0"/>
        <w:adjustRightInd w:val="0"/>
        <w:rPr>
          <w:sz w:val="22"/>
          <w:szCs w:val="22"/>
        </w:rPr>
      </w:pPr>
      <w:r w:rsidRPr="00321D4A">
        <w:rPr>
          <w:sz w:val="22"/>
          <w:szCs w:val="22"/>
        </w:rPr>
        <w:t>BAKER, Malcolm; WURGLER, Jeffrey. Market timing and capital structure. </w:t>
      </w:r>
      <w:r w:rsidRPr="00321D4A">
        <w:rPr>
          <w:b/>
          <w:sz w:val="22"/>
          <w:szCs w:val="22"/>
        </w:rPr>
        <w:t>The journal of finance</w:t>
      </w:r>
      <w:r w:rsidRPr="00321D4A">
        <w:rPr>
          <w:sz w:val="22"/>
          <w:szCs w:val="22"/>
        </w:rPr>
        <w:t>, v. 57, n. 1, p. 1-32, 2002</w:t>
      </w:r>
      <w:r>
        <w:rPr>
          <w:sz w:val="22"/>
          <w:szCs w:val="22"/>
        </w:rPr>
        <w:t>.</w:t>
      </w:r>
    </w:p>
    <w:p w14:paraId="11C6DDEA" w14:textId="77777777" w:rsidR="00321D4A" w:rsidRDefault="00321D4A" w:rsidP="00204A85">
      <w:pPr>
        <w:widowControl w:val="0"/>
        <w:autoSpaceDE w:val="0"/>
        <w:autoSpaceDN w:val="0"/>
        <w:adjustRightInd w:val="0"/>
        <w:rPr>
          <w:sz w:val="22"/>
          <w:szCs w:val="22"/>
        </w:rPr>
      </w:pPr>
    </w:p>
    <w:p w14:paraId="750738BC" w14:textId="756D0804" w:rsidR="00321D4A" w:rsidRDefault="00321D4A" w:rsidP="00204A85">
      <w:pPr>
        <w:widowControl w:val="0"/>
        <w:autoSpaceDE w:val="0"/>
        <w:autoSpaceDN w:val="0"/>
        <w:adjustRightInd w:val="0"/>
        <w:rPr>
          <w:sz w:val="22"/>
          <w:szCs w:val="22"/>
        </w:rPr>
      </w:pPr>
      <w:r w:rsidRPr="00321D4A">
        <w:rPr>
          <w:sz w:val="22"/>
          <w:szCs w:val="22"/>
        </w:rPr>
        <w:t>SILVA BRITO, Giovani Antonio; CORRAR, Luiz J.; BATISTELLA, Flávio Donizete. Fatores determinantes da estrutura de capital das maiores empresas que atuam no Brasil. </w:t>
      </w:r>
      <w:r w:rsidRPr="00321D4A">
        <w:rPr>
          <w:b/>
          <w:sz w:val="22"/>
          <w:szCs w:val="22"/>
        </w:rPr>
        <w:t>Revista Contabilidade &amp; Financas-USP</w:t>
      </w:r>
      <w:r w:rsidRPr="00321D4A">
        <w:rPr>
          <w:sz w:val="22"/>
          <w:szCs w:val="22"/>
        </w:rPr>
        <w:t>, v. 18, n. 43, 2007</w:t>
      </w:r>
      <w:r>
        <w:rPr>
          <w:sz w:val="22"/>
          <w:szCs w:val="22"/>
        </w:rPr>
        <w:t>.</w:t>
      </w:r>
    </w:p>
    <w:p w14:paraId="7E83E2A1" w14:textId="77777777" w:rsidR="00321D4A" w:rsidRDefault="00321D4A" w:rsidP="00204A85">
      <w:pPr>
        <w:widowControl w:val="0"/>
        <w:autoSpaceDE w:val="0"/>
        <w:autoSpaceDN w:val="0"/>
        <w:adjustRightInd w:val="0"/>
        <w:rPr>
          <w:sz w:val="22"/>
          <w:szCs w:val="22"/>
        </w:rPr>
      </w:pPr>
    </w:p>
    <w:p w14:paraId="3DAC4577" w14:textId="72A631B3" w:rsidR="00321D4A" w:rsidRPr="00321D4A" w:rsidRDefault="00321D4A" w:rsidP="00204A85">
      <w:pPr>
        <w:widowControl w:val="0"/>
        <w:autoSpaceDE w:val="0"/>
        <w:autoSpaceDN w:val="0"/>
        <w:adjustRightInd w:val="0"/>
        <w:rPr>
          <w:sz w:val="22"/>
          <w:szCs w:val="22"/>
        </w:rPr>
      </w:pPr>
      <w:r w:rsidRPr="00321D4A">
        <w:rPr>
          <w:sz w:val="22"/>
          <w:szCs w:val="22"/>
        </w:rPr>
        <w:t>BRUNOZI, Marcelo Afonso Vieira et al. INDICADORES ECONÔMICO-FINANCEIROS E OS DETERMINANTES DA ESTRUTURA DE CAPITAL DAS EMPRESAS DO SETOR DE SERVIÇOS: UMA ANÁLISE DE DADOS EM PAINEL. </w:t>
      </w:r>
      <w:r w:rsidRPr="00321D4A">
        <w:rPr>
          <w:b/>
          <w:sz w:val="22"/>
          <w:szCs w:val="22"/>
        </w:rPr>
        <w:t>Revista Ambiente Contabil</w:t>
      </w:r>
      <w:r w:rsidRPr="00321D4A">
        <w:rPr>
          <w:sz w:val="22"/>
          <w:szCs w:val="22"/>
        </w:rPr>
        <w:t>, v. 8, n. 2, p. 110, 2016</w:t>
      </w:r>
      <w:r>
        <w:rPr>
          <w:sz w:val="22"/>
          <w:szCs w:val="22"/>
        </w:rPr>
        <w:t>.</w:t>
      </w:r>
    </w:p>
    <w:p w14:paraId="30662050" w14:textId="77777777" w:rsidR="00321D4A" w:rsidRDefault="00321D4A" w:rsidP="00204A85">
      <w:pPr>
        <w:widowControl w:val="0"/>
        <w:autoSpaceDE w:val="0"/>
        <w:autoSpaceDN w:val="0"/>
        <w:adjustRightInd w:val="0"/>
        <w:rPr>
          <w:rFonts w:ascii="Arial" w:hAnsi="Arial" w:cs="Arial"/>
          <w:color w:val="222222"/>
          <w:sz w:val="20"/>
          <w:szCs w:val="20"/>
          <w:shd w:val="clear" w:color="auto" w:fill="FFFFFF"/>
        </w:rPr>
      </w:pPr>
    </w:p>
    <w:p w14:paraId="2DD0D9BB" w14:textId="234C1BE0" w:rsidR="00A733B9" w:rsidRPr="00321D4A" w:rsidRDefault="00321D4A" w:rsidP="00204A85">
      <w:pPr>
        <w:widowControl w:val="0"/>
        <w:autoSpaceDE w:val="0"/>
        <w:autoSpaceDN w:val="0"/>
        <w:adjustRightInd w:val="0"/>
        <w:rPr>
          <w:sz w:val="22"/>
          <w:szCs w:val="22"/>
        </w:rPr>
      </w:pPr>
      <w:r w:rsidRPr="00321D4A">
        <w:rPr>
          <w:sz w:val="22"/>
          <w:szCs w:val="22"/>
        </w:rPr>
        <w:t xml:space="preserve">CANDIDO, Marçal Serafim. Estrutura de capital e assimetria de informação: efeitos da governança corporativa. </w:t>
      </w:r>
      <w:r>
        <w:rPr>
          <w:sz w:val="22"/>
          <w:szCs w:val="22"/>
        </w:rPr>
        <w:t xml:space="preserve">2010. </w:t>
      </w:r>
      <w:r w:rsidRPr="00155A49">
        <w:rPr>
          <w:sz w:val="22"/>
          <w:szCs w:val="22"/>
        </w:rPr>
        <w:t>Dissertação</w:t>
      </w:r>
      <w:r w:rsidRPr="00321D4A">
        <w:rPr>
          <w:b/>
          <w:sz w:val="22"/>
          <w:szCs w:val="22"/>
        </w:rPr>
        <w:t xml:space="preserve"> (Mestrado em Contabilidade)</w:t>
      </w:r>
      <w:r w:rsidRPr="00321D4A">
        <w:rPr>
          <w:sz w:val="22"/>
          <w:szCs w:val="22"/>
        </w:rPr>
        <w:t>. Universidade de São Paulo</w:t>
      </w:r>
    </w:p>
    <w:p w14:paraId="525EA506" w14:textId="418D47FE" w:rsidR="00321D4A" w:rsidRDefault="00321D4A" w:rsidP="00204A85">
      <w:pPr>
        <w:widowControl w:val="0"/>
        <w:autoSpaceDE w:val="0"/>
        <w:autoSpaceDN w:val="0"/>
        <w:adjustRightInd w:val="0"/>
        <w:rPr>
          <w:rFonts w:ascii="Arial" w:hAnsi="Arial" w:cs="Arial"/>
          <w:color w:val="222222"/>
          <w:sz w:val="20"/>
          <w:szCs w:val="20"/>
          <w:shd w:val="clear" w:color="auto" w:fill="FFFFFF"/>
        </w:rPr>
      </w:pPr>
    </w:p>
    <w:p w14:paraId="403D9441" w14:textId="77777777" w:rsidR="00A733B9" w:rsidRPr="00852236" w:rsidRDefault="00A733B9" w:rsidP="00204A85">
      <w:pPr>
        <w:widowControl w:val="0"/>
        <w:autoSpaceDE w:val="0"/>
        <w:autoSpaceDN w:val="0"/>
        <w:adjustRightInd w:val="0"/>
        <w:rPr>
          <w:sz w:val="22"/>
          <w:szCs w:val="22"/>
        </w:rPr>
      </w:pPr>
      <w:r w:rsidRPr="00852236">
        <w:rPr>
          <w:sz w:val="22"/>
          <w:szCs w:val="22"/>
        </w:rPr>
        <w:t xml:space="preserve">COTEI, C.; FARHAT, J. The </w:t>
      </w:r>
      <w:r w:rsidRPr="00852236">
        <w:rPr>
          <w:i/>
          <w:sz w:val="22"/>
          <w:szCs w:val="22"/>
        </w:rPr>
        <w:t>trade-off</w:t>
      </w:r>
      <w:r w:rsidRPr="00852236">
        <w:rPr>
          <w:sz w:val="22"/>
          <w:szCs w:val="22"/>
        </w:rPr>
        <w:t xml:space="preserve"> theory and the </w:t>
      </w:r>
      <w:r w:rsidRPr="00852236">
        <w:rPr>
          <w:i/>
          <w:sz w:val="22"/>
          <w:szCs w:val="22"/>
        </w:rPr>
        <w:t>pecking order</w:t>
      </w:r>
      <w:r w:rsidRPr="00852236">
        <w:rPr>
          <w:sz w:val="22"/>
          <w:szCs w:val="22"/>
        </w:rPr>
        <w:t xml:space="preserve"> theory: are they mutually exclusive? </w:t>
      </w:r>
      <w:r w:rsidRPr="00852236">
        <w:rPr>
          <w:b/>
          <w:sz w:val="22"/>
          <w:szCs w:val="22"/>
        </w:rPr>
        <w:t>North American Journal of Finance and Banking Research</w:t>
      </w:r>
      <w:r w:rsidRPr="00852236">
        <w:rPr>
          <w:sz w:val="22"/>
          <w:szCs w:val="22"/>
        </w:rPr>
        <w:t>, vol. 3. N. 3, 2009.</w:t>
      </w:r>
    </w:p>
    <w:p w14:paraId="156D59BB" w14:textId="77777777" w:rsidR="00A733B9" w:rsidRPr="00852236" w:rsidRDefault="00A733B9" w:rsidP="00204A85">
      <w:pPr>
        <w:widowControl w:val="0"/>
        <w:autoSpaceDE w:val="0"/>
        <w:autoSpaceDN w:val="0"/>
        <w:adjustRightInd w:val="0"/>
        <w:rPr>
          <w:sz w:val="22"/>
          <w:szCs w:val="22"/>
        </w:rPr>
      </w:pPr>
    </w:p>
    <w:p w14:paraId="1F1825CA" w14:textId="291FB360" w:rsidR="00A733B9" w:rsidRPr="00852236" w:rsidRDefault="00A733B9" w:rsidP="00204A85">
      <w:pPr>
        <w:widowControl w:val="0"/>
        <w:autoSpaceDE w:val="0"/>
        <w:autoSpaceDN w:val="0"/>
        <w:adjustRightInd w:val="0"/>
        <w:rPr>
          <w:sz w:val="22"/>
          <w:szCs w:val="22"/>
        </w:rPr>
      </w:pPr>
      <w:r w:rsidRPr="00852236">
        <w:rPr>
          <w:sz w:val="22"/>
          <w:szCs w:val="22"/>
        </w:rPr>
        <w:t>DAHER, C. E. Testes Empíricos de Teorias Alternativas sobre a Determinação da Estrutura de Capital das Empresas Brasileiras. Brasília: UnB, UFPB, UFPE, UFRN, 2004, 106 p. Dissertação (</w:t>
      </w:r>
      <w:r w:rsidRPr="00852236">
        <w:rPr>
          <w:b/>
          <w:sz w:val="22"/>
          <w:szCs w:val="22"/>
        </w:rPr>
        <w:t>Mestrado em Ciências Contábeis</w:t>
      </w:r>
      <w:r w:rsidRPr="00852236">
        <w:rPr>
          <w:sz w:val="22"/>
          <w:szCs w:val="22"/>
        </w:rPr>
        <w:t>) –Universidad</w:t>
      </w:r>
      <w:r w:rsidR="00155A49">
        <w:rPr>
          <w:sz w:val="22"/>
          <w:szCs w:val="22"/>
        </w:rPr>
        <w:t>e Federal de Brasília, Brasília</w:t>
      </w:r>
      <w:r w:rsidRPr="00852236">
        <w:rPr>
          <w:sz w:val="22"/>
          <w:szCs w:val="22"/>
        </w:rPr>
        <w:t>.</w:t>
      </w:r>
    </w:p>
    <w:p w14:paraId="7C6E7B77" w14:textId="77777777" w:rsidR="00A733B9" w:rsidRPr="00852236" w:rsidRDefault="00A733B9" w:rsidP="00204A85">
      <w:pPr>
        <w:widowControl w:val="0"/>
        <w:autoSpaceDE w:val="0"/>
        <w:autoSpaceDN w:val="0"/>
        <w:adjustRightInd w:val="0"/>
        <w:rPr>
          <w:sz w:val="22"/>
          <w:szCs w:val="22"/>
        </w:rPr>
      </w:pPr>
    </w:p>
    <w:p w14:paraId="4121446B" w14:textId="411BCD1C" w:rsidR="00F97065" w:rsidRPr="00852236" w:rsidRDefault="00F97065" w:rsidP="00204A85">
      <w:pPr>
        <w:widowControl w:val="0"/>
        <w:autoSpaceDE w:val="0"/>
        <w:autoSpaceDN w:val="0"/>
        <w:adjustRightInd w:val="0"/>
        <w:rPr>
          <w:sz w:val="22"/>
          <w:szCs w:val="22"/>
        </w:rPr>
      </w:pPr>
      <w:r w:rsidRPr="00852236">
        <w:rPr>
          <w:sz w:val="22"/>
          <w:szCs w:val="22"/>
        </w:rPr>
        <w:t>DALLABONA, Lara Fabiana et al. Determinantes da Estrutura de Capital no Brasil: Análise das Empresas Familiares Versus Não Familiares Listadas na BM&amp;FBOVESPA. In: </w:t>
      </w:r>
      <w:r w:rsidRPr="00852236">
        <w:rPr>
          <w:b/>
          <w:sz w:val="22"/>
          <w:szCs w:val="22"/>
        </w:rPr>
        <w:t>Anais do Congresso Brasileiro de Custos-ABC</w:t>
      </w:r>
      <w:r w:rsidRPr="00852236">
        <w:rPr>
          <w:sz w:val="22"/>
          <w:szCs w:val="22"/>
        </w:rPr>
        <w:t>. 2010.</w:t>
      </w:r>
    </w:p>
    <w:p w14:paraId="742A39FC" w14:textId="77777777" w:rsidR="00F97065" w:rsidRPr="00852236" w:rsidRDefault="00F97065" w:rsidP="00204A85">
      <w:pPr>
        <w:widowControl w:val="0"/>
        <w:autoSpaceDE w:val="0"/>
        <w:autoSpaceDN w:val="0"/>
        <w:adjustRightInd w:val="0"/>
        <w:rPr>
          <w:sz w:val="22"/>
          <w:szCs w:val="22"/>
        </w:rPr>
      </w:pPr>
    </w:p>
    <w:p w14:paraId="0E744AFE" w14:textId="47ED1C30" w:rsidR="00A733B9" w:rsidRPr="00125CE5" w:rsidRDefault="00125CE5" w:rsidP="00204A85">
      <w:pPr>
        <w:widowControl w:val="0"/>
        <w:autoSpaceDE w:val="0"/>
        <w:autoSpaceDN w:val="0"/>
        <w:adjustRightInd w:val="0"/>
        <w:rPr>
          <w:sz w:val="22"/>
          <w:szCs w:val="22"/>
        </w:rPr>
      </w:pPr>
      <w:r w:rsidRPr="00125CE5">
        <w:rPr>
          <w:sz w:val="22"/>
          <w:szCs w:val="22"/>
        </w:rPr>
        <w:t>DURAND, David. Costs of debt and equity funds for business: trends and problems of measurement. In: </w:t>
      </w:r>
      <w:r w:rsidRPr="00125CE5">
        <w:rPr>
          <w:b/>
          <w:sz w:val="22"/>
          <w:szCs w:val="22"/>
        </w:rPr>
        <w:t>Conference on research in business finance</w:t>
      </w:r>
      <w:r w:rsidRPr="00125CE5">
        <w:rPr>
          <w:sz w:val="22"/>
          <w:szCs w:val="22"/>
        </w:rPr>
        <w:t>. NBER, 1952. p. 215-262</w:t>
      </w:r>
    </w:p>
    <w:p w14:paraId="6E5F2704" w14:textId="77777777" w:rsidR="00125CE5" w:rsidRPr="00852236" w:rsidRDefault="00125CE5" w:rsidP="00204A85">
      <w:pPr>
        <w:widowControl w:val="0"/>
        <w:autoSpaceDE w:val="0"/>
        <w:autoSpaceDN w:val="0"/>
        <w:adjustRightInd w:val="0"/>
        <w:rPr>
          <w:sz w:val="22"/>
          <w:szCs w:val="22"/>
        </w:rPr>
      </w:pPr>
    </w:p>
    <w:p w14:paraId="707C5CE9" w14:textId="57CECC49" w:rsidR="00A733B9" w:rsidRPr="00125CE5" w:rsidRDefault="00125CE5" w:rsidP="00125CE5">
      <w:pPr>
        <w:widowControl w:val="0"/>
        <w:autoSpaceDE w:val="0"/>
        <w:autoSpaceDN w:val="0"/>
        <w:adjustRightInd w:val="0"/>
        <w:rPr>
          <w:sz w:val="22"/>
          <w:szCs w:val="22"/>
        </w:rPr>
      </w:pPr>
      <w:r w:rsidRPr="00125CE5">
        <w:rPr>
          <w:sz w:val="22"/>
          <w:szCs w:val="22"/>
        </w:rPr>
        <w:t>CAMPOS FONSECA, Camila Veneo et al. A relação entre a governança corporativa e a estrutura de capital das empresas Brasileiras no período 2000-2013. </w:t>
      </w:r>
      <w:r w:rsidRPr="00125CE5">
        <w:rPr>
          <w:b/>
          <w:sz w:val="22"/>
          <w:szCs w:val="22"/>
        </w:rPr>
        <w:t>Enfoque: Reflexão Contábil</w:t>
      </w:r>
      <w:r w:rsidRPr="00125CE5">
        <w:rPr>
          <w:sz w:val="22"/>
          <w:szCs w:val="22"/>
        </w:rPr>
        <w:t>, v. 35, n. 2, 2016.</w:t>
      </w:r>
    </w:p>
    <w:p w14:paraId="17A5F737" w14:textId="77777777" w:rsidR="00125CE5" w:rsidRPr="00852236" w:rsidRDefault="00125CE5" w:rsidP="00204A85">
      <w:pPr>
        <w:shd w:val="clear" w:color="auto" w:fill="FFFFFF"/>
        <w:textAlignment w:val="baseline"/>
        <w:rPr>
          <w:sz w:val="22"/>
          <w:szCs w:val="22"/>
        </w:rPr>
      </w:pPr>
    </w:p>
    <w:p w14:paraId="6E0540E4" w14:textId="00FAA6E7" w:rsidR="00A733B9" w:rsidRPr="00852236" w:rsidRDefault="00A733B9" w:rsidP="00204A85">
      <w:pPr>
        <w:widowControl w:val="0"/>
        <w:autoSpaceDE w:val="0"/>
        <w:autoSpaceDN w:val="0"/>
        <w:adjustRightInd w:val="0"/>
        <w:rPr>
          <w:sz w:val="22"/>
          <w:szCs w:val="22"/>
        </w:rPr>
      </w:pPr>
      <w:r w:rsidRPr="00852236">
        <w:rPr>
          <w:sz w:val="22"/>
          <w:szCs w:val="22"/>
        </w:rPr>
        <w:t>GOMES, G</w:t>
      </w:r>
      <w:r w:rsidR="00125CE5">
        <w:rPr>
          <w:sz w:val="22"/>
          <w:szCs w:val="22"/>
        </w:rPr>
        <w:t>abriel Lourenço</w:t>
      </w:r>
      <w:r w:rsidRPr="00852236">
        <w:rPr>
          <w:sz w:val="22"/>
          <w:szCs w:val="22"/>
        </w:rPr>
        <w:t>; LEAL, R</w:t>
      </w:r>
      <w:r w:rsidR="00125CE5">
        <w:rPr>
          <w:sz w:val="22"/>
          <w:szCs w:val="22"/>
        </w:rPr>
        <w:t>icardo</w:t>
      </w:r>
      <w:r w:rsidRPr="00852236">
        <w:rPr>
          <w:sz w:val="22"/>
          <w:szCs w:val="22"/>
        </w:rPr>
        <w:t xml:space="preserve">. P. C. Determinantes da estrutura de capital das empresas brasileiras com ações negociadas em bolsas de valores. In: LEAL, R. P. C.; COSTA JR. N. C. A.; LEMGRUBER, E. F. (Org.). </w:t>
      </w:r>
      <w:r w:rsidRPr="00852236">
        <w:rPr>
          <w:b/>
          <w:sz w:val="22"/>
          <w:szCs w:val="22"/>
        </w:rPr>
        <w:t>Finanças corporativas</w:t>
      </w:r>
      <w:r w:rsidRPr="00852236">
        <w:rPr>
          <w:sz w:val="22"/>
          <w:szCs w:val="22"/>
        </w:rPr>
        <w:t>. São Paulo: Atlas, 2000.</w:t>
      </w:r>
    </w:p>
    <w:p w14:paraId="5A975A8B" w14:textId="77777777" w:rsidR="00A733B9" w:rsidRPr="00852236" w:rsidRDefault="00A733B9" w:rsidP="00204A85">
      <w:pPr>
        <w:widowControl w:val="0"/>
        <w:autoSpaceDE w:val="0"/>
        <w:autoSpaceDN w:val="0"/>
        <w:adjustRightInd w:val="0"/>
        <w:rPr>
          <w:sz w:val="22"/>
          <w:szCs w:val="22"/>
        </w:rPr>
      </w:pPr>
    </w:p>
    <w:p w14:paraId="7B79801A" w14:textId="77777777" w:rsidR="00A733B9" w:rsidRPr="00852236" w:rsidRDefault="00A733B9" w:rsidP="00204A85">
      <w:pPr>
        <w:widowControl w:val="0"/>
        <w:autoSpaceDE w:val="0"/>
        <w:autoSpaceDN w:val="0"/>
        <w:adjustRightInd w:val="0"/>
        <w:rPr>
          <w:sz w:val="22"/>
          <w:szCs w:val="22"/>
        </w:rPr>
      </w:pPr>
      <w:r w:rsidRPr="00852236">
        <w:rPr>
          <w:sz w:val="22"/>
          <w:szCs w:val="22"/>
        </w:rPr>
        <w:t xml:space="preserve">GREENE, William H. </w:t>
      </w:r>
      <w:r w:rsidRPr="00852236">
        <w:rPr>
          <w:b/>
          <w:sz w:val="22"/>
          <w:szCs w:val="22"/>
        </w:rPr>
        <w:t>Econometric Analysis</w:t>
      </w:r>
      <w:r w:rsidRPr="00852236">
        <w:rPr>
          <w:sz w:val="22"/>
          <w:szCs w:val="22"/>
        </w:rPr>
        <w:t>, 5º ed. New York: Prentice Hall, 2002.</w:t>
      </w:r>
    </w:p>
    <w:p w14:paraId="7F345E14" w14:textId="77777777" w:rsidR="00A733B9" w:rsidRPr="00852236" w:rsidRDefault="00A733B9" w:rsidP="00204A85">
      <w:pPr>
        <w:widowControl w:val="0"/>
        <w:autoSpaceDE w:val="0"/>
        <w:autoSpaceDN w:val="0"/>
        <w:adjustRightInd w:val="0"/>
        <w:rPr>
          <w:sz w:val="22"/>
          <w:szCs w:val="22"/>
        </w:rPr>
      </w:pPr>
    </w:p>
    <w:p w14:paraId="53C24444" w14:textId="6B009672" w:rsidR="00544602" w:rsidRPr="00852236" w:rsidRDefault="00544602" w:rsidP="00204A85">
      <w:pPr>
        <w:widowControl w:val="0"/>
        <w:autoSpaceDE w:val="0"/>
        <w:autoSpaceDN w:val="0"/>
        <w:adjustRightInd w:val="0"/>
        <w:rPr>
          <w:sz w:val="22"/>
          <w:szCs w:val="22"/>
        </w:rPr>
      </w:pPr>
      <w:r w:rsidRPr="00852236">
        <w:rPr>
          <w:sz w:val="22"/>
          <w:szCs w:val="22"/>
        </w:rPr>
        <w:t>HEALY, Paul M.; PALEPU, Krishna G. Information asymmetry, corporate disclosure, and the capital markets: A review of the empirical disclosure literature. </w:t>
      </w:r>
      <w:r w:rsidRPr="00852236">
        <w:rPr>
          <w:b/>
          <w:sz w:val="22"/>
          <w:szCs w:val="22"/>
        </w:rPr>
        <w:t>Journal of accounting and economics</w:t>
      </w:r>
      <w:r w:rsidRPr="00852236">
        <w:rPr>
          <w:sz w:val="22"/>
          <w:szCs w:val="22"/>
        </w:rPr>
        <w:t>, v. 31, n. 1, p. 405-440, 2001.</w:t>
      </w:r>
    </w:p>
    <w:p w14:paraId="4FB96F45" w14:textId="77777777" w:rsidR="00544602" w:rsidRPr="00852236" w:rsidRDefault="00544602" w:rsidP="00204A85">
      <w:pPr>
        <w:widowControl w:val="0"/>
        <w:autoSpaceDE w:val="0"/>
        <w:autoSpaceDN w:val="0"/>
        <w:adjustRightInd w:val="0"/>
        <w:rPr>
          <w:color w:val="222222"/>
          <w:sz w:val="22"/>
          <w:szCs w:val="22"/>
          <w:shd w:val="clear" w:color="auto" w:fill="FFFFFF"/>
        </w:rPr>
      </w:pPr>
    </w:p>
    <w:p w14:paraId="170A1031" w14:textId="04DA8F55" w:rsidR="00A733B9" w:rsidRPr="00852236" w:rsidRDefault="00A733B9" w:rsidP="00204A85">
      <w:pPr>
        <w:widowControl w:val="0"/>
        <w:autoSpaceDE w:val="0"/>
        <w:autoSpaceDN w:val="0"/>
        <w:adjustRightInd w:val="0"/>
        <w:rPr>
          <w:sz w:val="22"/>
          <w:szCs w:val="22"/>
        </w:rPr>
      </w:pPr>
      <w:r w:rsidRPr="00852236">
        <w:rPr>
          <w:sz w:val="22"/>
          <w:szCs w:val="22"/>
        </w:rPr>
        <w:t xml:space="preserve">HUANG, R.; RITTER, J. Testing the market timing theory of capital structure, </w:t>
      </w:r>
      <w:r w:rsidRPr="00852236">
        <w:rPr>
          <w:b/>
          <w:sz w:val="22"/>
          <w:szCs w:val="22"/>
        </w:rPr>
        <w:t>University of Florida working paper</w:t>
      </w:r>
      <w:r w:rsidRPr="00852236">
        <w:rPr>
          <w:sz w:val="22"/>
          <w:szCs w:val="22"/>
        </w:rPr>
        <w:t>, 2005.</w:t>
      </w:r>
    </w:p>
    <w:p w14:paraId="781BE311" w14:textId="77777777" w:rsidR="00A733B9" w:rsidRPr="00852236" w:rsidRDefault="00A733B9" w:rsidP="00204A85">
      <w:pPr>
        <w:widowControl w:val="0"/>
        <w:autoSpaceDE w:val="0"/>
        <w:autoSpaceDN w:val="0"/>
        <w:adjustRightInd w:val="0"/>
        <w:rPr>
          <w:sz w:val="22"/>
          <w:szCs w:val="22"/>
        </w:rPr>
      </w:pPr>
    </w:p>
    <w:p w14:paraId="60E2F703" w14:textId="77777777" w:rsidR="00A733B9" w:rsidRPr="00852236" w:rsidRDefault="00A733B9" w:rsidP="00204A85">
      <w:pPr>
        <w:widowControl w:val="0"/>
        <w:autoSpaceDE w:val="0"/>
        <w:autoSpaceDN w:val="0"/>
        <w:adjustRightInd w:val="0"/>
        <w:rPr>
          <w:sz w:val="22"/>
          <w:szCs w:val="22"/>
        </w:rPr>
      </w:pPr>
      <w:r w:rsidRPr="00852236">
        <w:rPr>
          <w:sz w:val="22"/>
          <w:szCs w:val="22"/>
        </w:rPr>
        <w:t xml:space="preserve">JAHANZEB, Agha; REHMAN, Saif-Ur; BAJURI, Norkhairul Hafiz; KARAMI, Meisam; AHMADIMOUSAABAD, Aiyoub. </w:t>
      </w:r>
      <w:r w:rsidRPr="00852236">
        <w:rPr>
          <w:i/>
          <w:sz w:val="22"/>
          <w:szCs w:val="22"/>
        </w:rPr>
        <w:t>Trade-off</w:t>
      </w:r>
      <w:r w:rsidRPr="00852236">
        <w:rPr>
          <w:sz w:val="22"/>
          <w:szCs w:val="22"/>
        </w:rPr>
        <w:t xml:space="preserve"> Theory, </w:t>
      </w:r>
      <w:r w:rsidRPr="00852236">
        <w:rPr>
          <w:i/>
          <w:sz w:val="22"/>
          <w:szCs w:val="22"/>
        </w:rPr>
        <w:t>Pecking order</w:t>
      </w:r>
      <w:r w:rsidRPr="00852236">
        <w:rPr>
          <w:sz w:val="22"/>
          <w:szCs w:val="22"/>
        </w:rPr>
        <w:t xml:space="preserve"> Theory and Market Timing Theory: A Comprehensive Review of Capital Structure Theories. </w:t>
      </w:r>
      <w:r w:rsidRPr="00852236">
        <w:rPr>
          <w:b/>
          <w:sz w:val="22"/>
          <w:szCs w:val="22"/>
        </w:rPr>
        <w:t>International Journal of Management and Commerce Innovations (IJMCI)</w:t>
      </w:r>
      <w:r w:rsidRPr="00852236">
        <w:rPr>
          <w:sz w:val="22"/>
          <w:szCs w:val="22"/>
        </w:rPr>
        <w:t xml:space="preserve"> Vol. 1, Issue 1, pp: (11-18), 2014.</w:t>
      </w:r>
    </w:p>
    <w:p w14:paraId="7E2B2765" w14:textId="77777777" w:rsidR="00A733B9" w:rsidRPr="00852236" w:rsidRDefault="00A733B9" w:rsidP="00204A85">
      <w:pPr>
        <w:widowControl w:val="0"/>
        <w:autoSpaceDE w:val="0"/>
        <w:autoSpaceDN w:val="0"/>
        <w:adjustRightInd w:val="0"/>
        <w:rPr>
          <w:sz w:val="22"/>
          <w:szCs w:val="22"/>
        </w:rPr>
      </w:pPr>
    </w:p>
    <w:p w14:paraId="589350D1" w14:textId="77777777" w:rsidR="00A733B9" w:rsidRPr="00852236" w:rsidRDefault="00A733B9" w:rsidP="00204A85">
      <w:pPr>
        <w:widowControl w:val="0"/>
        <w:autoSpaceDE w:val="0"/>
        <w:autoSpaceDN w:val="0"/>
        <w:adjustRightInd w:val="0"/>
        <w:rPr>
          <w:sz w:val="22"/>
          <w:szCs w:val="22"/>
        </w:rPr>
      </w:pPr>
      <w:r w:rsidRPr="00852236">
        <w:rPr>
          <w:sz w:val="22"/>
          <w:szCs w:val="22"/>
        </w:rPr>
        <w:t xml:space="preserve">JENSEN, M.C.; MECKLING, W. Theory of the Firm: ManageriaL Behavior, Agency Costs and Capital Structure, </w:t>
      </w:r>
      <w:r w:rsidRPr="00852236">
        <w:rPr>
          <w:b/>
          <w:sz w:val="22"/>
          <w:szCs w:val="22"/>
        </w:rPr>
        <w:t>Journal of Financial Economics</w:t>
      </w:r>
      <w:r w:rsidRPr="00852236">
        <w:rPr>
          <w:sz w:val="22"/>
          <w:szCs w:val="22"/>
        </w:rPr>
        <w:t>, 3, 11-25, 1976.</w:t>
      </w:r>
    </w:p>
    <w:p w14:paraId="269036F9" w14:textId="77777777" w:rsidR="00A733B9" w:rsidRPr="00852236" w:rsidRDefault="00A733B9" w:rsidP="00204A85">
      <w:pPr>
        <w:widowControl w:val="0"/>
        <w:autoSpaceDE w:val="0"/>
        <w:autoSpaceDN w:val="0"/>
        <w:adjustRightInd w:val="0"/>
        <w:rPr>
          <w:sz w:val="22"/>
          <w:szCs w:val="22"/>
        </w:rPr>
      </w:pPr>
    </w:p>
    <w:p w14:paraId="0599A828" w14:textId="77777777" w:rsidR="00A733B9" w:rsidRPr="00852236" w:rsidRDefault="00A733B9" w:rsidP="00204A85">
      <w:pPr>
        <w:widowControl w:val="0"/>
        <w:autoSpaceDE w:val="0"/>
        <w:autoSpaceDN w:val="0"/>
        <w:adjustRightInd w:val="0"/>
        <w:rPr>
          <w:sz w:val="22"/>
          <w:szCs w:val="22"/>
        </w:rPr>
      </w:pPr>
      <w:r w:rsidRPr="00852236">
        <w:rPr>
          <w:sz w:val="22"/>
          <w:szCs w:val="22"/>
        </w:rPr>
        <w:t xml:space="preserve">JENSEN, M.C. Agency Costs of Free Cash Flow, Corporate Finance, and Takeovers. The American Economic Review, Vol. 76, No. 2, </w:t>
      </w:r>
      <w:r w:rsidRPr="00852236">
        <w:rPr>
          <w:b/>
          <w:sz w:val="22"/>
          <w:szCs w:val="22"/>
        </w:rPr>
        <w:t xml:space="preserve">Papers and Proceedings of the Ninety Eighth Annual Meeting of the American Economic Association </w:t>
      </w:r>
      <w:r w:rsidRPr="00852236">
        <w:rPr>
          <w:sz w:val="22"/>
          <w:szCs w:val="22"/>
        </w:rPr>
        <w:t>(May, 1986), pp. 323-329, 1986.</w:t>
      </w:r>
    </w:p>
    <w:p w14:paraId="72D4B4C2" w14:textId="77777777" w:rsidR="00A733B9" w:rsidRPr="00852236" w:rsidRDefault="00A733B9" w:rsidP="00204A85">
      <w:pPr>
        <w:widowControl w:val="0"/>
        <w:autoSpaceDE w:val="0"/>
        <w:autoSpaceDN w:val="0"/>
        <w:adjustRightInd w:val="0"/>
        <w:rPr>
          <w:sz w:val="22"/>
          <w:szCs w:val="22"/>
        </w:rPr>
      </w:pPr>
    </w:p>
    <w:p w14:paraId="65277973" w14:textId="77777777" w:rsidR="00A733B9" w:rsidRPr="00852236" w:rsidRDefault="00A733B9" w:rsidP="00204A85">
      <w:pPr>
        <w:widowControl w:val="0"/>
        <w:autoSpaceDE w:val="0"/>
        <w:autoSpaceDN w:val="0"/>
        <w:adjustRightInd w:val="0"/>
        <w:rPr>
          <w:sz w:val="22"/>
          <w:szCs w:val="22"/>
        </w:rPr>
      </w:pPr>
      <w:r w:rsidRPr="00852236">
        <w:rPr>
          <w:sz w:val="22"/>
          <w:szCs w:val="22"/>
        </w:rPr>
        <w:t xml:space="preserve">JIBRAN, Sheikh; WAJID, Shakeel Ahmed; WAHEED, Iqbal; MUHAMMAD, Tahir Masood. Pecking at </w:t>
      </w:r>
      <w:r w:rsidRPr="00852236">
        <w:rPr>
          <w:i/>
          <w:sz w:val="22"/>
          <w:szCs w:val="22"/>
        </w:rPr>
        <w:t>Pecking order</w:t>
      </w:r>
      <w:r w:rsidRPr="00852236">
        <w:rPr>
          <w:sz w:val="22"/>
          <w:szCs w:val="22"/>
        </w:rPr>
        <w:t xml:space="preserve"> Theory: Evidence from Pakistan’s Non-financial Sector. </w:t>
      </w:r>
      <w:r w:rsidRPr="00852236">
        <w:rPr>
          <w:b/>
          <w:sz w:val="22"/>
          <w:szCs w:val="22"/>
        </w:rPr>
        <w:t>Journal of Competitiveness</w:t>
      </w:r>
      <w:r w:rsidRPr="00852236">
        <w:rPr>
          <w:sz w:val="22"/>
          <w:szCs w:val="22"/>
        </w:rPr>
        <w:t>. Vol. 4, Issue 4, pp. 86-95, 2012.</w:t>
      </w:r>
    </w:p>
    <w:p w14:paraId="366B1E19" w14:textId="77777777" w:rsidR="00A733B9" w:rsidRPr="00852236" w:rsidRDefault="00A733B9" w:rsidP="00204A85">
      <w:pPr>
        <w:widowControl w:val="0"/>
        <w:autoSpaceDE w:val="0"/>
        <w:autoSpaceDN w:val="0"/>
        <w:adjustRightInd w:val="0"/>
        <w:rPr>
          <w:sz w:val="22"/>
          <w:szCs w:val="22"/>
        </w:rPr>
      </w:pPr>
    </w:p>
    <w:p w14:paraId="466E7F72" w14:textId="5505E7D9" w:rsidR="00A733B9" w:rsidRPr="00852236" w:rsidRDefault="00A733B9" w:rsidP="00204A85">
      <w:pPr>
        <w:widowControl w:val="0"/>
        <w:autoSpaceDE w:val="0"/>
        <w:autoSpaceDN w:val="0"/>
        <w:adjustRightInd w:val="0"/>
        <w:rPr>
          <w:sz w:val="22"/>
          <w:szCs w:val="22"/>
        </w:rPr>
      </w:pPr>
      <w:r w:rsidRPr="00852236">
        <w:rPr>
          <w:sz w:val="22"/>
          <w:szCs w:val="22"/>
        </w:rPr>
        <w:t xml:space="preserve">KIRCH, Guilherme. Determinantes da estrutura de capital das empresas brasileiras de capital aberto. </w:t>
      </w:r>
      <w:r w:rsidRPr="00852236">
        <w:rPr>
          <w:b/>
          <w:sz w:val="22"/>
          <w:szCs w:val="22"/>
        </w:rPr>
        <w:t>Revista Contexto</w:t>
      </w:r>
      <w:r w:rsidRPr="00852236">
        <w:rPr>
          <w:sz w:val="22"/>
          <w:szCs w:val="22"/>
        </w:rPr>
        <w:t>. v. 8, n. 13, 2008.</w:t>
      </w:r>
    </w:p>
    <w:p w14:paraId="5E9C49F8" w14:textId="65BD0035" w:rsidR="00112938" w:rsidRPr="00852236" w:rsidRDefault="00112938" w:rsidP="00204A85">
      <w:pPr>
        <w:widowControl w:val="0"/>
        <w:autoSpaceDE w:val="0"/>
        <w:autoSpaceDN w:val="0"/>
        <w:adjustRightInd w:val="0"/>
        <w:rPr>
          <w:sz w:val="22"/>
          <w:szCs w:val="22"/>
        </w:rPr>
      </w:pPr>
    </w:p>
    <w:p w14:paraId="1EBDD0CA" w14:textId="5B3FEF49" w:rsidR="00112938" w:rsidRPr="00852236" w:rsidRDefault="00112938" w:rsidP="00204A85">
      <w:pPr>
        <w:widowControl w:val="0"/>
        <w:autoSpaceDE w:val="0"/>
        <w:autoSpaceDN w:val="0"/>
        <w:adjustRightInd w:val="0"/>
        <w:rPr>
          <w:sz w:val="22"/>
          <w:szCs w:val="22"/>
        </w:rPr>
      </w:pPr>
      <w:r w:rsidRPr="00852236">
        <w:rPr>
          <w:sz w:val="22"/>
          <w:szCs w:val="22"/>
        </w:rPr>
        <w:t xml:space="preserve">LESMOND, David A.; O'CONNOR, Philip F.; SENBET, Lemma W. </w:t>
      </w:r>
      <w:r w:rsidRPr="00852236">
        <w:rPr>
          <w:b/>
          <w:sz w:val="22"/>
          <w:szCs w:val="22"/>
        </w:rPr>
        <w:t>Capital structure and equity liquidity</w:t>
      </w:r>
      <w:r w:rsidRPr="00852236">
        <w:rPr>
          <w:sz w:val="22"/>
          <w:szCs w:val="22"/>
        </w:rPr>
        <w:t>. 2008.</w:t>
      </w:r>
    </w:p>
    <w:p w14:paraId="3ECBB4A9" w14:textId="703E8D09" w:rsidR="00112938" w:rsidRPr="00852236" w:rsidRDefault="00112938" w:rsidP="00204A85">
      <w:pPr>
        <w:widowControl w:val="0"/>
        <w:autoSpaceDE w:val="0"/>
        <w:autoSpaceDN w:val="0"/>
        <w:adjustRightInd w:val="0"/>
        <w:rPr>
          <w:sz w:val="22"/>
          <w:szCs w:val="22"/>
        </w:rPr>
      </w:pPr>
    </w:p>
    <w:p w14:paraId="2AB58669" w14:textId="11DF2222" w:rsidR="00112938" w:rsidRPr="00852236" w:rsidRDefault="00112938" w:rsidP="00204A85">
      <w:pPr>
        <w:widowControl w:val="0"/>
        <w:autoSpaceDE w:val="0"/>
        <w:autoSpaceDN w:val="0"/>
        <w:adjustRightInd w:val="0"/>
        <w:rPr>
          <w:sz w:val="22"/>
          <w:szCs w:val="22"/>
        </w:rPr>
      </w:pPr>
      <w:r w:rsidRPr="00852236">
        <w:rPr>
          <w:sz w:val="22"/>
          <w:szCs w:val="22"/>
        </w:rPr>
        <w:t>LIPSON, Marc L.; MORTAL, Sandra. Liquidity and capital structure. </w:t>
      </w:r>
      <w:r w:rsidRPr="00852236">
        <w:rPr>
          <w:b/>
          <w:sz w:val="22"/>
          <w:szCs w:val="22"/>
        </w:rPr>
        <w:t>Journal of Financial Markets</w:t>
      </w:r>
      <w:r w:rsidRPr="00852236">
        <w:rPr>
          <w:sz w:val="22"/>
          <w:szCs w:val="22"/>
        </w:rPr>
        <w:t xml:space="preserve">, v. 12, n. 4, p. 611-644, 2009. </w:t>
      </w:r>
    </w:p>
    <w:p w14:paraId="181C1481" w14:textId="77777777" w:rsidR="00A733B9" w:rsidRPr="00852236" w:rsidRDefault="00A733B9" w:rsidP="00204A85">
      <w:pPr>
        <w:widowControl w:val="0"/>
        <w:autoSpaceDE w:val="0"/>
        <w:autoSpaceDN w:val="0"/>
        <w:adjustRightInd w:val="0"/>
        <w:rPr>
          <w:sz w:val="22"/>
          <w:szCs w:val="22"/>
        </w:rPr>
      </w:pPr>
    </w:p>
    <w:p w14:paraId="084B5569" w14:textId="77777777" w:rsidR="00A733B9" w:rsidRPr="00852236" w:rsidRDefault="00A733B9" w:rsidP="00204A85">
      <w:pPr>
        <w:widowControl w:val="0"/>
        <w:autoSpaceDE w:val="0"/>
        <w:autoSpaceDN w:val="0"/>
        <w:adjustRightInd w:val="0"/>
        <w:rPr>
          <w:sz w:val="22"/>
          <w:szCs w:val="22"/>
        </w:rPr>
      </w:pPr>
      <w:r w:rsidRPr="00852236">
        <w:rPr>
          <w:sz w:val="22"/>
          <w:szCs w:val="22"/>
        </w:rPr>
        <w:t xml:space="preserve">MARTINS, Vinicius Gomes; MACHADO, Marcio André Veras; CALLADO, Aldo Leonardo Cunha. Análise da Aditividade de Value Relevance da DDF e da DVA ao Conjunto de Demonstrações Contábeis: Evidências de Empresas do Mercado de Capitais Brasileiro. </w:t>
      </w:r>
      <w:r w:rsidRPr="00852236">
        <w:rPr>
          <w:b/>
          <w:sz w:val="22"/>
          <w:szCs w:val="22"/>
        </w:rPr>
        <w:t>Revista Contabilidade, Gestão e Governança</w:t>
      </w:r>
      <w:r w:rsidRPr="00852236">
        <w:rPr>
          <w:sz w:val="22"/>
          <w:szCs w:val="22"/>
        </w:rPr>
        <w:t xml:space="preserve"> - Brasília · v. 17 · n.1 · p. 75 - 94 · jan./abr, 2014.</w:t>
      </w:r>
    </w:p>
    <w:p w14:paraId="4D1847A1" w14:textId="77777777" w:rsidR="00A733B9" w:rsidRPr="00852236" w:rsidRDefault="00A733B9" w:rsidP="00204A85">
      <w:pPr>
        <w:widowControl w:val="0"/>
        <w:autoSpaceDE w:val="0"/>
        <w:autoSpaceDN w:val="0"/>
        <w:adjustRightInd w:val="0"/>
        <w:rPr>
          <w:sz w:val="22"/>
          <w:szCs w:val="22"/>
        </w:rPr>
      </w:pPr>
    </w:p>
    <w:p w14:paraId="3780C4F4" w14:textId="39AEBD0E" w:rsidR="00A733B9" w:rsidRPr="00852236" w:rsidRDefault="00A733B9" w:rsidP="00204A85">
      <w:pPr>
        <w:widowControl w:val="0"/>
        <w:autoSpaceDE w:val="0"/>
        <w:autoSpaceDN w:val="0"/>
        <w:adjustRightInd w:val="0"/>
        <w:rPr>
          <w:sz w:val="22"/>
          <w:szCs w:val="22"/>
        </w:rPr>
      </w:pPr>
      <w:r w:rsidRPr="00852236">
        <w:rPr>
          <w:sz w:val="22"/>
          <w:szCs w:val="22"/>
        </w:rPr>
        <w:t xml:space="preserve">MEDEIROS, Natália Carolina Duarte de. Estrutura de capital e assimetria de informação: um estudo em empresas brasileiras de capital aberto dos setores têxtil e de energia elétrica. </w:t>
      </w:r>
      <w:r w:rsidR="00125CE5">
        <w:rPr>
          <w:sz w:val="22"/>
          <w:szCs w:val="22"/>
        </w:rPr>
        <w:t xml:space="preserve">2013. </w:t>
      </w:r>
      <w:r w:rsidRPr="00852236">
        <w:rPr>
          <w:sz w:val="22"/>
          <w:szCs w:val="22"/>
        </w:rPr>
        <w:t>Dissertação (</w:t>
      </w:r>
      <w:r w:rsidR="00125CE5">
        <w:rPr>
          <w:b/>
          <w:sz w:val="22"/>
          <w:szCs w:val="22"/>
        </w:rPr>
        <w:t>M</w:t>
      </w:r>
      <w:r w:rsidRPr="00852236">
        <w:rPr>
          <w:b/>
          <w:sz w:val="22"/>
          <w:szCs w:val="22"/>
        </w:rPr>
        <w:t>estrado em administração</w:t>
      </w:r>
      <w:r w:rsidRPr="00852236">
        <w:rPr>
          <w:sz w:val="22"/>
          <w:szCs w:val="22"/>
        </w:rPr>
        <w:t>) -  Universida</w:t>
      </w:r>
      <w:r w:rsidR="00125CE5">
        <w:rPr>
          <w:sz w:val="22"/>
          <w:szCs w:val="22"/>
        </w:rPr>
        <w:t>de Federal de Lavras. Lavras/MG</w:t>
      </w:r>
      <w:r w:rsidRPr="00852236">
        <w:rPr>
          <w:sz w:val="22"/>
          <w:szCs w:val="22"/>
        </w:rPr>
        <w:t>.</w:t>
      </w:r>
    </w:p>
    <w:p w14:paraId="621099D5" w14:textId="77777777" w:rsidR="00A733B9" w:rsidRPr="00852236" w:rsidRDefault="00A733B9" w:rsidP="00204A85">
      <w:pPr>
        <w:widowControl w:val="0"/>
        <w:autoSpaceDE w:val="0"/>
        <w:autoSpaceDN w:val="0"/>
        <w:adjustRightInd w:val="0"/>
        <w:rPr>
          <w:sz w:val="22"/>
          <w:szCs w:val="22"/>
        </w:rPr>
      </w:pPr>
    </w:p>
    <w:p w14:paraId="31EA6E60" w14:textId="77777777" w:rsidR="00A733B9" w:rsidRPr="00852236" w:rsidRDefault="00A733B9" w:rsidP="00204A85">
      <w:pPr>
        <w:widowControl w:val="0"/>
        <w:autoSpaceDE w:val="0"/>
        <w:autoSpaceDN w:val="0"/>
        <w:adjustRightInd w:val="0"/>
        <w:rPr>
          <w:sz w:val="22"/>
          <w:szCs w:val="22"/>
        </w:rPr>
      </w:pPr>
      <w:r w:rsidRPr="00852236">
        <w:rPr>
          <w:sz w:val="22"/>
          <w:szCs w:val="22"/>
        </w:rPr>
        <w:t xml:space="preserve">MITUSHIMA, Alexandre Hiroshi; NAKAMURA, Wilson Toshiro; ARAÚJO, Bruno Henrique de. </w:t>
      </w:r>
      <w:r w:rsidRPr="00852236">
        <w:rPr>
          <w:bCs/>
          <w:sz w:val="22"/>
          <w:szCs w:val="22"/>
        </w:rPr>
        <w:t xml:space="preserve">Determinantes da estrutura de capital de companhias abertas brasileiras e a velocidade de ajuste ao nível meta: análise do período de 1996 a 2007. </w:t>
      </w:r>
      <w:r w:rsidRPr="00852236">
        <w:rPr>
          <w:b/>
          <w:bCs/>
          <w:sz w:val="22"/>
          <w:szCs w:val="22"/>
        </w:rPr>
        <w:t>XXXIV Encontro da ANPAD</w:t>
      </w:r>
      <w:r w:rsidRPr="00852236">
        <w:rPr>
          <w:bCs/>
          <w:sz w:val="22"/>
          <w:szCs w:val="22"/>
        </w:rPr>
        <w:t xml:space="preserve">. 25 a 29 de Setembro </w:t>
      </w:r>
      <w:r w:rsidRPr="00852236">
        <w:rPr>
          <w:bCs/>
          <w:sz w:val="22"/>
          <w:szCs w:val="22"/>
        </w:rPr>
        <w:lastRenderedPageBreak/>
        <w:t xml:space="preserve">de 2010. Disponível em: </w:t>
      </w:r>
      <w:hyperlink r:id="rId9" w:history="1">
        <w:r w:rsidRPr="00852236">
          <w:rPr>
            <w:rStyle w:val="Hyperlink"/>
            <w:color w:val="auto"/>
            <w:sz w:val="22"/>
            <w:szCs w:val="22"/>
          </w:rPr>
          <w:t>www.anpad.org.br/admin/pdf/con1799.pdf</w:t>
        </w:r>
      </w:hyperlink>
      <w:r w:rsidRPr="00852236">
        <w:rPr>
          <w:sz w:val="22"/>
          <w:szCs w:val="22"/>
        </w:rPr>
        <w:t>. Acesso em: 23 Ago 2017.</w:t>
      </w:r>
      <w:r w:rsidRPr="00852236">
        <w:rPr>
          <w:sz w:val="22"/>
          <w:szCs w:val="22"/>
          <w:shd w:val="clear" w:color="auto" w:fill="FFFFFF"/>
        </w:rPr>
        <w:br/>
      </w:r>
    </w:p>
    <w:p w14:paraId="5335FF6E" w14:textId="1A5BD0B7" w:rsidR="00A733B9" w:rsidRPr="00125CE5" w:rsidRDefault="00125CE5" w:rsidP="00204A85">
      <w:pPr>
        <w:widowControl w:val="0"/>
        <w:autoSpaceDE w:val="0"/>
        <w:autoSpaceDN w:val="0"/>
        <w:adjustRightInd w:val="0"/>
        <w:rPr>
          <w:sz w:val="22"/>
          <w:szCs w:val="22"/>
        </w:rPr>
      </w:pPr>
      <w:r w:rsidRPr="00125CE5">
        <w:rPr>
          <w:sz w:val="22"/>
          <w:szCs w:val="22"/>
        </w:rPr>
        <w:t>MODIGLIANI, Franco; MILLER, Merton H. The cost of capital, corporation finance and the theory of investment. </w:t>
      </w:r>
      <w:r w:rsidRPr="00125CE5">
        <w:rPr>
          <w:b/>
          <w:sz w:val="22"/>
          <w:szCs w:val="22"/>
        </w:rPr>
        <w:t>The American economic review</w:t>
      </w:r>
      <w:r w:rsidRPr="00125CE5">
        <w:rPr>
          <w:sz w:val="22"/>
          <w:szCs w:val="22"/>
        </w:rPr>
        <w:t>, v. 48, n. 3, p. 261-297, 1958</w:t>
      </w:r>
    </w:p>
    <w:p w14:paraId="4F62AA30" w14:textId="77777777" w:rsidR="00125CE5" w:rsidRPr="00852236" w:rsidRDefault="00125CE5" w:rsidP="00204A85">
      <w:pPr>
        <w:widowControl w:val="0"/>
        <w:autoSpaceDE w:val="0"/>
        <w:autoSpaceDN w:val="0"/>
        <w:adjustRightInd w:val="0"/>
        <w:rPr>
          <w:sz w:val="22"/>
          <w:szCs w:val="22"/>
        </w:rPr>
      </w:pPr>
    </w:p>
    <w:p w14:paraId="5995053D" w14:textId="0D21AA3D" w:rsidR="00A733B9" w:rsidRPr="00852236" w:rsidRDefault="00A733B9" w:rsidP="00204A85">
      <w:pPr>
        <w:widowControl w:val="0"/>
        <w:autoSpaceDE w:val="0"/>
        <w:autoSpaceDN w:val="0"/>
        <w:adjustRightInd w:val="0"/>
        <w:rPr>
          <w:sz w:val="22"/>
          <w:szCs w:val="22"/>
        </w:rPr>
      </w:pPr>
      <w:r w:rsidRPr="00852236">
        <w:rPr>
          <w:sz w:val="22"/>
          <w:szCs w:val="22"/>
        </w:rPr>
        <w:t>MODIGLIANI, F</w:t>
      </w:r>
      <w:r w:rsidR="00125CE5">
        <w:rPr>
          <w:sz w:val="22"/>
          <w:szCs w:val="22"/>
        </w:rPr>
        <w:t>ranco</w:t>
      </w:r>
      <w:r w:rsidRPr="00852236">
        <w:rPr>
          <w:sz w:val="22"/>
          <w:szCs w:val="22"/>
        </w:rPr>
        <w:t>.; MILLER, M</w:t>
      </w:r>
      <w:r w:rsidR="00125CE5">
        <w:rPr>
          <w:sz w:val="22"/>
          <w:szCs w:val="22"/>
        </w:rPr>
        <w:t xml:space="preserve">erton </w:t>
      </w:r>
      <w:r w:rsidRPr="00852236">
        <w:rPr>
          <w:sz w:val="22"/>
          <w:szCs w:val="22"/>
        </w:rPr>
        <w:t xml:space="preserve">H. Corporate Income Taxes and the Cost of Capital: A Correction. </w:t>
      </w:r>
      <w:r w:rsidRPr="00852236">
        <w:rPr>
          <w:b/>
          <w:sz w:val="22"/>
          <w:szCs w:val="22"/>
        </w:rPr>
        <w:t>The American Economic Review</w:t>
      </w:r>
      <w:r w:rsidRPr="00852236">
        <w:rPr>
          <w:sz w:val="22"/>
          <w:szCs w:val="22"/>
        </w:rPr>
        <w:t>, Vol. 53, No. 3 (Jun., 1963), pp. 433-443, 1963.</w:t>
      </w:r>
    </w:p>
    <w:p w14:paraId="44F6CCAD" w14:textId="77777777" w:rsidR="00A733B9" w:rsidRPr="00852236" w:rsidRDefault="00A733B9" w:rsidP="00204A85">
      <w:pPr>
        <w:widowControl w:val="0"/>
        <w:autoSpaceDE w:val="0"/>
        <w:autoSpaceDN w:val="0"/>
        <w:adjustRightInd w:val="0"/>
        <w:rPr>
          <w:sz w:val="22"/>
          <w:szCs w:val="22"/>
        </w:rPr>
      </w:pPr>
    </w:p>
    <w:p w14:paraId="4B16E8AE" w14:textId="77777777" w:rsidR="00A733B9" w:rsidRPr="00852236" w:rsidRDefault="00A733B9" w:rsidP="00204A85">
      <w:pPr>
        <w:widowControl w:val="0"/>
        <w:autoSpaceDE w:val="0"/>
        <w:autoSpaceDN w:val="0"/>
        <w:adjustRightInd w:val="0"/>
        <w:rPr>
          <w:sz w:val="22"/>
          <w:szCs w:val="22"/>
        </w:rPr>
      </w:pPr>
      <w:r w:rsidRPr="00852236">
        <w:rPr>
          <w:sz w:val="22"/>
          <w:szCs w:val="22"/>
        </w:rPr>
        <w:t xml:space="preserve">MYERS, Stewart C. Determinants of corporate borrowing. </w:t>
      </w:r>
      <w:hyperlink r:id="rId10" w:history="1">
        <w:r w:rsidRPr="00852236">
          <w:rPr>
            <w:b/>
            <w:sz w:val="22"/>
            <w:szCs w:val="22"/>
          </w:rPr>
          <w:t>Journal of Financial Economics</w:t>
        </w:r>
      </w:hyperlink>
      <w:r w:rsidRPr="00852236">
        <w:rPr>
          <w:sz w:val="22"/>
          <w:szCs w:val="22"/>
        </w:rPr>
        <w:t>, vol. 5, issue 2, 147-175, 1977.</w:t>
      </w:r>
    </w:p>
    <w:p w14:paraId="48E94143" w14:textId="77777777" w:rsidR="00A733B9" w:rsidRPr="00852236" w:rsidRDefault="00A733B9" w:rsidP="00204A85">
      <w:pPr>
        <w:widowControl w:val="0"/>
        <w:autoSpaceDE w:val="0"/>
        <w:autoSpaceDN w:val="0"/>
        <w:adjustRightInd w:val="0"/>
        <w:rPr>
          <w:sz w:val="22"/>
          <w:szCs w:val="22"/>
        </w:rPr>
      </w:pPr>
    </w:p>
    <w:p w14:paraId="4DA23942" w14:textId="4E414925" w:rsidR="00A733B9" w:rsidRPr="00125CE5" w:rsidRDefault="00125CE5" w:rsidP="00204A85">
      <w:pPr>
        <w:widowControl w:val="0"/>
        <w:autoSpaceDE w:val="0"/>
        <w:autoSpaceDN w:val="0"/>
        <w:adjustRightInd w:val="0"/>
        <w:rPr>
          <w:sz w:val="22"/>
          <w:szCs w:val="22"/>
        </w:rPr>
      </w:pPr>
      <w:r w:rsidRPr="00125CE5">
        <w:rPr>
          <w:sz w:val="22"/>
          <w:szCs w:val="22"/>
        </w:rPr>
        <w:t>MYERS, Stewart C. The capital structure puzzle. </w:t>
      </w:r>
      <w:r w:rsidRPr="00125CE5">
        <w:rPr>
          <w:b/>
          <w:sz w:val="22"/>
          <w:szCs w:val="22"/>
        </w:rPr>
        <w:t>The journal of finance</w:t>
      </w:r>
      <w:r w:rsidRPr="00125CE5">
        <w:rPr>
          <w:sz w:val="22"/>
          <w:szCs w:val="22"/>
        </w:rPr>
        <w:t>, v. 39, n. 3, p. 574-592, 1984</w:t>
      </w:r>
      <w:r>
        <w:rPr>
          <w:sz w:val="22"/>
          <w:szCs w:val="22"/>
        </w:rPr>
        <w:t>.</w:t>
      </w:r>
    </w:p>
    <w:p w14:paraId="6A7A917D" w14:textId="77777777" w:rsidR="00125CE5" w:rsidRPr="00852236" w:rsidRDefault="00125CE5" w:rsidP="00204A85">
      <w:pPr>
        <w:widowControl w:val="0"/>
        <w:autoSpaceDE w:val="0"/>
        <w:autoSpaceDN w:val="0"/>
        <w:adjustRightInd w:val="0"/>
        <w:rPr>
          <w:noProof/>
          <w:sz w:val="22"/>
          <w:szCs w:val="22"/>
        </w:rPr>
      </w:pPr>
    </w:p>
    <w:p w14:paraId="1399FA76" w14:textId="68A6609E" w:rsidR="00A733B9" w:rsidRPr="00125CE5" w:rsidRDefault="00125CE5" w:rsidP="00204A85">
      <w:pPr>
        <w:widowControl w:val="0"/>
        <w:autoSpaceDE w:val="0"/>
        <w:autoSpaceDN w:val="0"/>
        <w:adjustRightInd w:val="0"/>
        <w:rPr>
          <w:sz w:val="22"/>
          <w:szCs w:val="22"/>
        </w:rPr>
      </w:pPr>
      <w:r w:rsidRPr="00125CE5">
        <w:rPr>
          <w:sz w:val="22"/>
          <w:szCs w:val="22"/>
        </w:rPr>
        <w:t>MYERS, Stewart C.; MAJLUF, Nicholas S. Corporate financing and investment decisions when firms have information that investors do not have. </w:t>
      </w:r>
      <w:r w:rsidRPr="00125CE5">
        <w:rPr>
          <w:b/>
          <w:sz w:val="22"/>
          <w:szCs w:val="22"/>
        </w:rPr>
        <w:t>Journal of financial economics</w:t>
      </w:r>
      <w:r w:rsidRPr="00125CE5">
        <w:rPr>
          <w:sz w:val="22"/>
          <w:szCs w:val="22"/>
        </w:rPr>
        <w:t>, v. 13, n. 2, p. 187-221, 1984</w:t>
      </w:r>
      <w:r>
        <w:rPr>
          <w:sz w:val="22"/>
          <w:szCs w:val="22"/>
        </w:rPr>
        <w:t>.</w:t>
      </w:r>
    </w:p>
    <w:p w14:paraId="19CF0431" w14:textId="77777777" w:rsidR="00125CE5" w:rsidRPr="00852236" w:rsidRDefault="00125CE5" w:rsidP="00204A85">
      <w:pPr>
        <w:widowControl w:val="0"/>
        <w:autoSpaceDE w:val="0"/>
        <w:autoSpaceDN w:val="0"/>
        <w:adjustRightInd w:val="0"/>
        <w:rPr>
          <w:sz w:val="22"/>
          <w:szCs w:val="22"/>
        </w:rPr>
      </w:pPr>
    </w:p>
    <w:p w14:paraId="0FAB1FB2" w14:textId="10ECA828" w:rsidR="00A733B9" w:rsidRPr="00125CE5" w:rsidRDefault="00125CE5" w:rsidP="00204A85">
      <w:pPr>
        <w:widowControl w:val="0"/>
        <w:autoSpaceDE w:val="0"/>
        <w:autoSpaceDN w:val="0"/>
        <w:adjustRightInd w:val="0"/>
        <w:rPr>
          <w:sz w:val="22"/>
          <w:szCs w:val="22"/>
        </w:rPr>
      </w:pPr>
      <w:r w:rsidRPr="00125CE5">
        <w:rPr>
          <w:sz w:val="22"/>
          <w:szCs w:val="22"/>
        </w:rPr>
        <w:t>MYERS, Stewart C. Financing of corporations. </w:t>
      </w:r>
      <w:r w:rsidRPr="00125CE5">
        <w:rPr>
          <w:b/>
          <w:sz w:val="22"/>
          <w:szCs w:val="22"/>
        </w:rPr>
        <w:t>Handbook of the Economics of Finance</w:t>
      </w:r>
      <w:r w:rsidRPr="00125CE5">
        <w:rPr>
          <w:sz w:val="22"/>
          <w:szCs w:val="22"/>
        </w:rPr>
        <w:t>, v. 1, p. 215-253, 2003</w:t>
      </w:r>
      <w:r>
        <w:rPr>
          <w:sz w:val="22"/>
          <w:szCs w:val="22"/>
        </w:rPr>
        <w:t>.</w:t>
      </w:r>
    </w:p>
    <w:p w14:paraId="5773C80B" w14:textId="77777777" w:rsidR="00125CE5" w:rsidRPr="00852236" w:rsidRDefault="00125CE5" w:rsidP="00204A85">
      <w:pPr>
        <w:widowControl w:val="0"/>
        <w:autoSpaceDE w:val="0"/>
        <w:autoSpaceDN w:val="0"/>
        <w:adjustRightInd w:val="0"/>
        <w:rPr>
          <w:sz w:val="22"/>
          <w:szCs w:val="22"/>
        </w:rPr>
      </w:pPr>
    </w:p>
    <w:p w14:paraId="15236AA6" w14:textId="7094202C" w:rsidR="00A733B9" w:rsidRPr="00125CE5" w:rsidRDefault="00125CE5" w:rsidP="00204A85">
      <w:pPr>
        <w:widowControl w:val="0"/>
        <w:autoSpaceDE w:val="0"/>
        <w:autoSpaceDN w:val="0"/>
        <w:adjustRightInd w:val="0"/>
        <w:rPr>
          <w:sz w:val="22"/>
          <w:szCs w:val="22"/>
        </w:rPr>
      </w:pPr>
      <w:r w:rsidRPr="00125CE5">
        <w:rPr>
          <w:sz w:val="22"/>
          <w:szCs w:val="22"/>
        </w:rPr>
        <w:t>TOSHIRO NAKAMURA, Wilson et al. Determinantes de estrutura de capital no mercado brasileiro: análise de regressão com painel de dados no período 1999-2003. </w:t>
      </w:r>
      <w:r w:rsidRPr="00125CE5">
        <w:rPr>
          <w:b/>
          <w:sz w:val="22"/>
          <w:szCs w:val="22"/>
        </w:rPr>
        <w:t>Revista Contabilidade &amp; Finanças-USP</w:t>
      </w:r>
      <w:r w:rsidRPr="00125CE5">
        <w:rPr>
          <w:sz w:val="22"/>
          <w:szCs w:val="22"/>
        </w:rPr>
        <w:t>, v. 18, n. 44, 2007.</w:t>
      </w:r>
    </w:p>
    <w:p w14:paraId="1FF30ADA" w14:textId="77777777" w:rsidR="00125CE5" w:rsidRPr="00852236" w:rsidRDefault="00125CE5" w:rsidP="00204A85">
      <w:pPr>
        <w:widowControl w:val="0"/>
        <w:autoSpaceDE w:val="0"/>
        <w:autoSpaceDN w:val="0"/>
        <w:adjustRightInd w:val="0"/>
        <w:rPr>
          <w:sz w:val="22"/>
          <w:szCs w:val="22"/>
        </w:rPr>
      </w:pPr>
    </w:p>
    <w:p w14:paraId="0ABF2585" w14:textId="175BC361" w:rsidR="00A733B9" w:rsidRPr="00852236" w:rsidRDefault="00A733B9" w:rsidP="00204A85">
      <w:pPr>
        <w:widowControl w:val="0"/>
        <w:autoSpaceDE w:val="0"/>
        <w:autoSpaceDN w:val="0"/>
        <w:adjustRightInd w:val="0"/>
        <w:rPr>
          <w:sz w:val="22"/>
          <w:szCs w:val="22"/>
        </w:rPr>
      </w:pPr>
      <w:r w:rsidRPr="00852236">
        <w:rPr>
          <w:sz w:val="22"/>
          <w:szCs w:val="22"/>
        </w:rPr>
        <w:t xml:space="preserve">ROCHA, Flavio Dias. Determinantes da estrutura de capital e o nível de endividamento nas empresas de capital aberto: um estudo comparativo entre argentina, brasil e estados unidos. </w:t>
      </w:r>
      <w:r w:rsidR="00125CE5">
        <w:rPr>
          <w:sz w:val="22"/>
          <w:szCs w:val="22"/>
        </w:rPr>
        <w:t xml:space="preserve">2014. </w:t>
      </w:r>
      <w:r w:rsidRPr="00852236">
        <w:rPr>
          <w:sz w:val="22"/>
          <w:szCs w:val="22"/>
        </w:rPr>
        <w:t>Tese (</w:t>
      </w:r>
      <w:r w:rsidR="00125CE5" w:rsidRPr="00125CE5">
        <w:rPr>
          <w:b/>
          <w:sz w:val="22"/>
          <w:szCs w:val="22"/>
        </w:rPr>
        <w:t>D</w:t>
      </w:r>
      <w:r w:rsidRPr="00852236">
        <w:rPr>
          <w:b/>
          <w:sz w:val="22"/>
          <w:szCs w:val="22"/>
        </w:rPr>
        <w:t>outorado em administração</w:t>
      </w:r>
      <w:r w:rsidRPr="00852236">
        <w:rPr>
          <w:sz w:val="22"/>
          <w:szCs w:val="22"/>
        </w:rPr>
        <w:t>) - Universidade Federal de Minas Gerais. Belo H</w:t>
      </w:r>
      <w:r w:rsidR="00125CE5">
        <w:rPr>
          <w:sz w:val="22"/>
          <w:szCs w:val="22"/>
        </w:rPr>
        <w:t>orizonte</w:t>
      </w:r>
      <w:r w:rsidRPr="00852236">
        <w:rPr>
          <w:sz w:val="22"/>
          <w:szCs w:val="22"/>
        </w:rPr>
        <w:t>.</w:t>
      </w:r>
    </w:p>
    <w:p w14:paraId="76EC2BF1" w14:textId="77777777" w:rsidR="00A733B9" w:rsidRPr="00852236" w:rsidRDefault="00A733B9" w:rsidP="00204A85">
      <w:pPr>
        <w:widowControl w:val="0"/>
        <w:autoSpaceDE w:val="0"/>
        <w:autoSpaceDN w:val="0"/>
        <w:adjustRightInd w:val="0"/>
        <w:rPr>
          <w:sz w:val="22"/>
          <w:szCs w:val="22"/>
        </w:rPr>
      </w:pPr>
    </w:p>
    <w:p w14:paraId="5D5EB316" w14:textId="1EAD9CC2" w:rsidR="00A733B9" w:rsidRPr="00852236" w:rsidRDefault="00A733B9" w:rsidP="00204A85">
      <w:pPr>
        <w:widowControl w:val="0"/>
        <w:autoSpaceDE w:val="0"/>
        <w:autoSpaceDN w:val="0"/>
        <w:adjustRightInd w:val="0"/>
        <w:rPr>
          <w:sz w:val="22"/>
          <w:szCs w:val="22"/>
        </w:rPr>
      </w:pPr>
      <w:r w:rsidRPr="00852236">
        <w:rPr>
          <w:sz w:val="22"/>
          <w:szCs w:val="22"/>
        </w:rPr>
        <w:t>SANTOS, David Ferreira Lopes; MARTINS, Roberta Alvarez; FIGUEIRA, Sérgio Rangel Fernandes; SANCHES, Adhemar. F</w:t>
      </w:r>
      <w:r w:rsidRPr="00852236">
        <w:rPr>
          <w:bCs/>
          <w:sz w:val="22"/>
          <w:szCs w:val="22"/>
        </w:rPr>
        <w:t xml:space="preserve">atores determinantes da estrutura de capital das empresas de materiais básicos do Brasil. </w:t>
      </w:r>
      <w:r w:rsidRPr="00852236">
        <w:rPr>
          <w:b/>
          <w:sz w:val="22"/>
          <w:szCs w:val="22"/>
        </w:rPr>
        <w:t>Enf.: Ref. Cont. UEM</w:t>
      </w:r>
      <w:r w:rsidRPr="00852236">
        <w:rPr>
          <w:sz w:val="22"/>
          <w:szCs w:val="22"/>
        </w:rPr>
        <w:t xml:space="preserve"> – Paraná v. 33 n. 2 p. 87-103 maio / agosto 2014. </w:t>
      </w:r>
    </w:p>
    <w:p w14:paraId="4DE86EA3" w14:textId="77777777" w:rsidR="00F97065" w:rsidRPr="00852236" w:rsidRDefault="00F97065" w:rsidP="00204A85">
      <w:pPr>
        <w:widowControl w:val="0"/>
        <w:autoSpaceDE w:val="0"/>
        <w:autoSpaceDN w:val="0"/>
        <w:adjustRightInd w:val="0"/>
        <w:rPr>
          <w:sz w:val="22"/>
          <w:szCs w:val="22"/>
        </w:rPr>
      </w:pPr>
    </w:p>
    <w:p w14:paraId="3112B8CA" w14:textId="0EB48CE7" w:rsidR="00D87D37" w:rsidRPr="00204A85" w:rsidRDefault="00F97065" w:rsidP="00204A85">
      <w:pPr>
        <w:widowControl w:val="0"/>
        <w:autoSpaceDE w:val="0"/>
        <w:autoSpaceDN w:val="0"/>
        <w:adjustRightInd w:val="0"/>
        <w:rPr>
          <w:sz w:val="22"/>
          <w:szCs w:val="22"/>
        </w:rPr>
      </w:pPr>
      <w:r w:rsidRPr="00852236">
        <w:rPr>
          <w:sz w:val="22"/>
          <w:szCs w:val="22"/>
        </w:rPr>
        <w:t xml:space="preserve">WITTENBERG MOERMAN, Regina. </w:t>
      </w:r>
      <w:r w:rsidRPr="00852236">
        <w:rPr>
          <w:b/>
          <w:sz w:val="22"/>
          <w:szCs w:val="22"/>
        </w:rPr>
        <w:t>The impact of information asymmetry on debt pricing and maturity</w:t>
      </w:r>
      <w:r w:rsidRPr="00852236">
        <w:rPr>
          <w:sz w:val="22"/>
          <w:szCs w:val="22"/>
        </w:rPr>
        <w:t>. 2009</w:t>
      </w:r>
      <w:r w:rsidR="00F34EF2" w:rsidRPr="00852236">
        <w:rPr>
          <w:sz w:val="22"/>
          <w:szCs w:val="22"/>
        </w:rPr>
        <w:t>.</w:t>
      </w:r>
      <w:r w:rsidR="00F34EF2" w:rsidRPr="00204A85">
        <w:rPr>
          <w:sz w:val="22"/>
          <w:szCs w:val="22"/>
        </w:rPr>
        <w:t xml:space="preserve"> </w:t>
      </w:r>
    </w:p>
    <w:sectPr w:rsidR="00D87D37" w:rsidRPr="00204A85" w:rsidSect="005A44A2">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134" w:left="1701" w:header="709"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FE355" w14:textId="77777777" w:rsidR="00531AD4" w:rsidRDefault="00531AD4">
      <w:r>
        <w:separator/>
      </w:r>
    </w:p>
  </w:endnote>
  <w:endnote w:type="continuationSeparator" w:id="0">
    <w:p w14:paraId="4D3ECB9D" w14:textId="77777777" w:rsidR="00531AD4" w:rsidRDefault="0053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Droid Sans Fallback">
    <w:altName w:val="MS Gothic"/>
    <w:charset w:val="80"/>
    <w:family w:val="auto"/>
    <w:pitch w:val="variable"/>
  </w:font>
  <w:font w:name="FreeSans">
    <w:altName w:val="Arial"/>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3638" w14:textId="77777777" w:rsidR="00E06367" w:rsidRDefault="00E0636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3E5B8" w14:textId="77777777" w:rsidR="00E06367" w:rsidRDefault="00E063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DC579" w14:textId="77777777" w:rsidR="00E06367" w:rsidRDefault="00E063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1421F" w14:textId="77777777" w:rsidR="00531AD4" w:rsidRDefault="00531AD4">
      <w:r>
        <w:separator/>
      </w:r>
    </w:p>
  </w:footnote>
  <w:footnote w:type="continuationSeparator" w:id="0">
    <w:p w14:paraId="6235248B" w14:textId="77777777" w:rsidR="00531AD4" w:rsidRDefault="0053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09B9" w14:textId="77777777" w:rsidR="00E06367" w:rsidRDefault="00E063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EF892" w14:textId="6B336BEB" w:rsidR="00E06367" w:rsidRDefault="00E06367">
    <w:pPr>
      <w:pStyle w:val="Cabealho"/>
      <w:jc w:val="right"/>
    </w:pPr>
    <w:r>
      <w:fldChar w:fldCharType="begin"/>
    </w:r>
    <w:r>
      <w:instrText>PAGE</w:instrText>
    </w:r>
    <w:r>
      <w:fldChar w:fldCharType="separate"/>
    </w:r>
    <w:r w:rsidR="00CA0EDF">
      <w:rPr>
        <w:noProof/>
      </w:rPr>
      <w:t>1</w:t>
    </w:r>
    <w:r>
      <w:fldChar w:fldCharType="end"/>
    </w:r>
  </w:p>
  <w:p w14:paraId="60E2D5CD" w14:textId="77777777" w:rsidR="00E06367" w:rsidRDefault="00E06367">
    <w:pPr>
      <w:pStyle w:val="Cabealho"/>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1319" w14:textId="77777777" w:rsidR="00E06367" w:rsidRDefault="00E063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9D3"/>
    <w:multiLevelType w:val="multilevel"/>
    <w:tmpl w:val="F1725EE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9721068"/>
    <w:multiLevelType w:val="hybridMultilevel"/>
    <w:tmpl w:val="0E08CD3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E157B98"/>
    <w:multiLevelType w:val="multilevel"/>
    <w:tmpl w:val="DE74C2AC"/>
    <w:lvl w:ilvl="0">
      <w:start w:val="1"/>
      <w:numFmt w:val="decimal"/>
      <w:lvlText w:val="%1"/>
      <w:lvlJc w:val="left"/>
      <w:pPr>
        <w:tabs>
          <w:tab w:val="num" w:pos="432"/>
        </w:tabs>
        <w:ind w:left="432" w:hanging="432"/>
      </w:pPr>
    </w:lvl>
    <w:lvl w:ilvl="1">
      <w:start w:val="1"/>
      <w:numFmt w:val="decimal"/>
      <w:pStyle w:val="Ttulo2"/>
      <w:lvlText w:val="%1.%2"/>
      <w:lvlJc w:val="left"/>
      <w:pPr>
        <w:tabs>
          <w:tab w:val="num" w:pos="859"/>
        </w:tabs>
        <w:ind w:left="859" w:hanging="576"/>
      </w:p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3C7693E"/>
    <w:multiLevelType w:val="hybridMultilevel"/>
    <w:tmpl w:val="4C527C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D66492"/>
    <w:multiLevelType w:val="hybridMultilevel"/>
    <w:tmpl w:val="A7CA6826"/>
    <w:lvl w:ilvl="0" w:tplc="F28CA036">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7BA392D"/>
    <w:multiLevelType w:val="hybridMultilevel"/>
    <w:tmpl w:val="410CB9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A652013"/>
    <w:multiLevelType w:val="hybridMultilevel"/>
    <w:tmpl w:val="5006545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F2772E3"/>
    <w:multiLevelType w:val="hybridMultilevel"/>
    <w:tmpl w:val="4C527C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1B6249"/>
    <w:multiLevelType w:val="hybridMultilevel"/>
    <w:tmpl w:val="AE10277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54F21BFE"/>
    <w:multiLevelType w:val="hybridMultilevel"/>
    <w:tmpl w:val="1A0478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A497372"/>
    <w:multiLevelType w:val="hybridMultilevel"/>
    <w:tmpl w:val="351E2E1E"/>
    <w:lvl w:ilvl="0" w:tplc="04160019">
      <w:start w:val="1"/>
      <w:numFmt w:val="lowerLetter"/>
      <w:lvlText w:val="%1."/>
      <w:lvlJc w:val="left"/>
      <w:pPr>
        <w:ind w:left="1789" w:hanging="360"/>
      </w:p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 w15:restartNumberingAfterBreak="0">
    <w:nsid w:val="636C7271"/>
    <w:multiLevelType w:val="hybridMultilevel"/>
    <w:tmpl w:val="45202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7E518F9"/>
    <w:multiLevelType w:val="hybridMultilevel"/>
    <w:tmpl w:val="9E44290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6C217ABE"/>
    <w:multiLevelType w:val="multilevel"/>
    <w:tmpl w:val="1C78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3D1308"/>
    <w:multiLevelType w:val="multilevel"/>
    <w:tmpl w:val="BA1661E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744B407A"/>
    <w:multiLevelType w:val="multilevel"/>
    <w:tmpl w:val="9C80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977DC7"/>
    <w:multiLevelType w:val="hybridMultilevel"/>
    <w:tmpl w:val="19869DF6"/>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6BA0394"/>
    <w:multiLevelType w:val="multilevel"/>
    <w:tmpl w:val="FD0EB1DE"/>
    <w:lvl w:ilvl="0">
      <w:start w:val="1"/>
      <w:numFmt w:val="decimal"/>
      <w:pStyle w:val="Ttul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17"/>
  </w:num>
  <w:num w:numId="2">
    <w:abstractNumId w:val="2"/>
  </w:num>
  <w:num w:numId="3">
    <w:abstractNumId w:val="14"/>
  </w:num>
  <w:num w:numId="4">
    <w:abstractNumId w:val="0"/>
  </w:num>
  <w:num w:numId="5">
    <w:abstractNumId w:val="16"/>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1"/>
  </w:num>
  <w:num w:numId="19">
    <w:abstractNumId w:val="12"/>
  </w:num>
  <w:num w:numId="20">
    <w:abstractNumId w:val="15"/>
  </w:num>
  <w:num w:numId="21">
    <w:abstractNumId w:val="13"/>
  </w:num>
  <w:num w:numId="22">
    <w:abstractNumId w:val="4"/>
  </w:num>
  <w:num w:numId="23">
    <w:abstractNumId w:val="8"/>
  </w:num>
  <w:num w:numId="24">
    <w:abstractNumId w:val="5"/>
  </w:num>
  <w:num w:numId="25">
    <w:abstractNumId w:val="1"/>
  </w:num>
  <w:num w:numId="26">
    <w:abstractNumId w:val="6"/>
  </w:num>
  <w:num w:numId="27">
    <w:abstractNumId w:val="9"/>
  </w:num>
  <w:num w:numId="28">
    <w:abstractNumId w:val="7"/>
  </w:num>
  <w:num w:numId="29">
    <w:abstractNumId w:val="3"/>
  </w:num>
  <w:num w:numId="30">
    <w:abstractNumId w:val="10"/>
  </w:num>
  <w:num w:numId="31">
    <w:abstractNumId w:val="17"/>
  </w:num>
  <w:num w:numId="32">
    <w:abstractNumId w:val="2"/>
    <w:lvlOverride w:ilvl="0">
      <w:startOverride w:val="3"/>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249"/>
    <w:rsid w:val="00000E64"/>
    <w:rsid w:val="00001707"/>
    <w:rsid w:val="00001B4B"/>
    <w:rsid w:val="0000391F"/>
    <w:rsid w:val="000039AC"/>
    <w:rsid w:val="00005DA0"/>
    <w:rsid w:val="000067E0"/>
    <w:rsid w:val="00006F12"/>
    <w:rsid w:val="00006F26"/>
    <w:rsid w:val="00007916"/>
    <w:rsid w:val="000079DF"/>
    <w:rsid w:val="000109E7"/>
    <w:rsid w:val="00011F9C"/>
    <w:rsid w:val="000120A3"/>
    <w:rsid w:val="0001214D"/>
    <w:rsid w:val="000125CE"/>
    <w:rsid w:val="00012CB4"/>
    <w:rsid w:val="00012DA1"/>
    <w:rsid w:val="000148E2"/>
    <w:rsid w:val="00015CDB"/>
    <w:rsid w:val="0001626D"/>
    <w:rsid w:val="00017C31"/>
    <w:rsid w:val="00017C36"/>
    <w:rsid w:val="0002006A"/>
    <w:rsid w:val="00020329"/>
    <w:rsid w:val="00020424"/>
    <w:rsid w:val="000204D8"/>
    <w:rsid w:val="00020BE5"/>
    <w:rsid w:val="00021308"/>
    <w:rsid w:val="00022543"/>
    <w:rsid w:val="000233F7"/>
    <w:rsid w:val="000248EE"/>
    <w:rsid w:val="0003078D"/>
    <w:rsid w:val="00030F1C"/>
    <w:rsid w:val="00031EBD"/>
    <w:rsid w:val="0003296C"/>
    <w:rsid w:val="00032A87"/>
    <w:rsid w:val="00034080"/>
    <w:rsid w:val="000346FB"/>
    <w:rsid w:val="00034EBD"/>
    <w:rsid w:val="00035639"/>
    <w:rsid w:val="00036A79"/>
    <w:rsid w:val="00040237"/>
    <w:rsid w:val="00040B02"/>
    <w:rsid w:val="00040B1F"/>
    <w:rsid w:val="00040F0B"/>
    <w:rsid w:val="000422BA"/>
    <w:rsid w:val="000435C1"/>
    <w:rsid w:val="000447E0"/>
    <w:rsid w:val="00046BFB"/>
    <w:rsid w:val="00047ECE"/>
    <w:rsid w:val="00050A75"/>
    <w:rsid w:val="000516E7"/>
    <w:rsid w:val="000519A7"/>
    <w:rsid w:val="000521B2"/>
    <w:rsid w:val="000522D5"/>
    <w:rsid w:val="00053A0B"/>
    <w:rsid w:val="00054B52"/>
    <w:rsid w:val="00055FE6"/>
    <w:rsid w:val="00056CBA"/>
    <w:rsid w:val="000570AC"/>
    <w:rsid w:val="00057A4D"/>
    <w:rsid w:val="00060DB5"/>
    <w:rsid w:val="00062C08"/>
    <w:rsid w:val="00062DD2"/>
    <w:rsid w:val="00062F29"/>
    <w:rsid w:val="0006453D"/>
    <w:rsid w:val="00064572"/>
    <w:rsid w:val="00065D45"/>
    <w:rsid w:val="000661AE"/>
    <w:rsid w:val="0006630F"/>
    <w:rsid w:val="00066B7F"/>
    <w:rsid w:val="00067E50"/>
    <w:rsid w:val="000707F4"/>
    <w:rsid w:val="00077E79"/>
    <w:rsid w:val="00080207"/>
    <w:rsid w:val="00081095"/>
    <w:rsid w:val="0008239D"/>
    <w:rsid w:val="00082901"/>
    <w:rsid w:val="00082D6E"/>
    <w:rsid w:val="00084C6A"/>
    <w:rsid w:val="00086935"/>
    <w:rsid w:val="00086F95"/>
    <w:rsid w:val="00090B88"/>
    <w:rsid w:val="00091142"/>
    <w:rsid w:val="00091285"/>
    <w:rsid w:val="00091899"/>
    <w:rsid w:val="00093043"/>
    <w:rsid w:val="0009425A"/>
    <w:rsid w:val="00095352"/>
    <w:rsid w:val="00096176"/>
    <w:rsid w:val="00096601"/>
    <w:rsid w:val="00096638"/>
    <w:rsid w:val="00096B79"/>
    <w:rsid w:val="00096CC5"/>
    <w:rsid w:val="00097174"/>
    <w:rsid w:val="000A0B8D"/>
    <w:rsid w:val="000A2DDF"/>
    <w:rsid w:val="000A308E"/>
    <w:rsid w:val="000A417A"/>
    <w:rsid w:val="000A4563"/>
    <w:rsid w:val="000A4751"/>
    <w:rsid w:val="000A7E93"/>
    <w:rsid w:val="000B02FD"/>
    <w:rsid w:val="000B06C7"/>
    <w:rsid w:val="000B0E97"/>
    <w:rsid w:val="000B1675"/>
    <w:rsid w:val="000B2107"/>
    <w:rsid w:val="000B2368"/>
    <w:rsid w:val="000B2CB5"/>
    <w:rsid w:val="000B315B"/>
    <w:rsid w:val="000B332E"/>
    <w:rsid w:val="000B3617"/>
    <w:rsid w:val="000B3DD0"/>
    <w:rsid w:val="000B4158"/>
    <w:rsid w:val="000B41DC"/>
    <w:rsid w:val="000B45FA"/>
    <w:rsid w:val="000B5228"/>
    <w:rsid w:val="000B5CA4"/>
    <w:rsid w:val="000B5FA6"/>
    <w:rsid w:val="000B6688"/>
    <w:rsid w:val="000B66A8"/>
    <w:rsid w:val="000C07E0"/>
    <w:rsid w:val="000C08A7"/>
    <w:rsid w:val="000C0C79"/>
    <w:rsid w:val="000C1823"/>
    <w:rsid w:val="000C198D"/>
    <w:rsid w:val="000C3587"/>
    <w:rsid w:val="000C4457"/>
    <w:rsid w:val="000C45A5"/>
    <w:rsid w:val="000C4BDA"/>
    <w:rsid w:val="000C5AC8"/>
    <w:rsid w:val="000C5BC9"/>
    <w:rsid w:val="000C5F69"/>
    <w:rsid w:val="000C6A54"/>
    <w:rsid w:val="000C7392"/>
    <w:rsid w:val="000C79F1"/>
    <w:rsid w:val="000D0221"/>
    <w:rsid w:val="000D18C5"/>
    <w:rsid w:val="000D1F53"/>
    <w:rsid w:val="000D2589"/>
    <w:rsid w:val="000D2715"/>
    <w:rsid w:val="000D58A0"/>
    <w:rsid w:val="000D5FF5"/>
    <w:rsid w:val="000D78D9"/>
    <w:rsid w:val="000E106A"/>
    <w:rsid w:val="000E28DD"/>
    <w:rsid w:val="000E2C09"/>
    <w:rsid w:val="000E2E45"/>
    <w:rsid w:val="000E4C2E"/>
    <w:rsid w:val="000E4DDD"/>
    <w:rsid w:val="000E61EC"/>
    <w:rsid w:val="000E61EF"/>
    <w:rsid w:val="000E6F36"/>
    <w:rsid w:val="000F0DAE"/>
    <w:rsid w:val="000F441B"/>
    <w:rsid w:val="000F5486"/>
    <w:rsid w:val="000F5E40"/>
    <w:rsid w:val="000F5FB3"/>
    <w:rsid w:val="000F70CB"/>
    <w:rsid w:val="000F7B27"/>
    <w:rsid w:val="000F7B2F"/>
    <w:rsid w:val="001011E6"/>
    <w:rsid w:val="00103051"/>
    <w:rsid w:val="00104EC1"/>
    <w:rsid w:val="001050AA"/>
    <w:rsid w:val="00111F95"/>
    <w:rsid w:val="00112407"/>
    <w:rsid w:val="00112938"/>
    <w:rsid w:val="00112D7A"/>
    <w:rsid w:val="0011469B"/>
    <w:rsid w:val="001149C1"/>
    <w:rsid w:val="00114BC5"/>
    <w:rsid w:val="00115214"/>
    <w:rsid w:val="0011535D"/>
    <w:rsid w:val="001156E7"/>
    <w:rsid w:val="001174FD"/>
    <w:rsid w:val="00117C44"/>
    <w:rsid w:val="00120BE3"/>
    <w:rsid w:val="001250EA"/>
    <w:rsid w:val="00125CE5"/>
    <w:rsid w:val="001265A8"/>
    <w:rsid w:val="00127470"/>
    <w:rsid w:val="0013039B"/>
    <w:rsid w:val="0013095B"/>
    <w:rsid w:val="001319BB"/>
    <w:rsid w:val="00133540"/>
    <w:rsid w:val="001338DC"/>
    <w:rsid w:val="001347D3"/>
    <w:rsid w:val="00134932"/>
    <w:rsid w:val="00134B52"/>
    <w:rsid w:val="001355B0"/>
    <w:rsid w:val="00140721"/>
    <w:rsid w:val="001416B1"/>
    <w:rsid w:val="0014170E"/>
    <w:rsid w:val="0014200D"/>
    <w:rsid w:val="0014229A"/>
    <w:rsid w:val="00144361"/>
    <w:rsid w:val="0014450D"/>
    <w:rsid w:val="0014594F"/>
    <w:rsid w:val="00145C11"/>
    <w:rsid w:val="00145F29"/>
    <w:rsid w:val="0014656E"/>
    <w:rsid w:val="001465BC"/>
    <w:rsid w:val="00146E6C"/>
    <w:rsid w:val="00147D04"/>
    <w:rsid w:val="00147EC7"/>
    <w:rsid w:val="00151426"/>
    <w:rsid w:val="001529EF"/>
    <w:rsid w:val="00152BA6"/>
    <w:rsid w:val="00153519"/>
    <w:rsid w:val="00154132"/>
    <w:rsid w:val="00154555"/>
    <w:rsid w:val="0015473C"/>
    <w:rsid w:val="001548A1"/>
    <w:rsid w:val="00154A22"/>
    <w:rsid w:val="00154AA6"/>
    <w:rsid w:val="0015553C"/>
    <w:rsid w:val="00155A49"/>
    <w:rsid w:val="00156912"/>
    <w:rsid w:val="00156E43"/>
    <w:rsid w:val="00157256"/>
    <w:rsid w:val="00157DD5"/>
    <w:rsid w:val="0016154D"/>
    <w:rsid w:val="00162D97"/>
    <w:rsid w:val="00163085"/>
    <w:rsid w:val="001640C9"/>
    <w:rsid w:val="00164410"/>
    <w:rsid w:val="00164BED"/>
    <w:rsid w:val="00166E11"/>
    <w:rsid w:val="00167D9C"/>
    <w:rsid w:val="0017002D"/>
    <w:rsid w:val="00170884"/>
    <w:rsid w:val="00170E9B"/>
    <w:rsid w:val="00172133"/>
    <w:rsid w:val="0017221C"/>
    <w:rsid w:val="0017256D"/>
    <w:rsid w:val="00172B5B"/>
    <w:rsid w:val="00172BC7"/>
    <w:rsid w:val="0017351A"/>
    <w:rsid w:val="00174003"/>
    <w:rsid w:val="00174312"/>
    <w:rsid w:val="00175695"/>
    <w:rsid w:val="00175B2E"/>
    <w:rsid w:val="00176F02"/>
    <w:rsid w:val="00177ECE"/>
    <w:rsid w:val="001801A9"/>
    <w:rsid w:val="00181169"/>
    <w:rsid w:val="001814C8"/>
    <w:rsid w:val="00182877"/>
    <w:rsid w:val="001828CC"/>
    <w:rsid w:val="00182DC6"/>
    <w:rsid w:val="00183BD4"/>
    <w:rsid w:val="00184210"/>
    <w:rsid w:val="00184321"/>
    <w:rsid w:val="00184D5F"/>
    <w:rsid w:val="001859A8"/>
    <w:rsid w:val="00185FFA"/>
    <w:rsid w:val="0018600A"/>
    <w:rsid w:val="0018714F"/>
    <w:rsid w:val="001876E7"/>
    <w:rsid w:val="00187A5D"/>
    <w:rsid w:val="00187B56"/>
    <w:rsid w:val="00191DCA"/>
    <w:rsid w:val="001935DD"/>
    <w:rsid w:val="00193CBF"/>
    <w:rsid w:val="0019406E"/>
    <w:rsid w:val="00194AA7"/>
    <w:rsid w:val="00195904"/>
    <w:rsid w:val="00196A70"/>
    <w:rsid w:val="00197066"/>
    <w:rsid w:val="001A04B4"/>
    <w:rsid w:val="001A09A5"/>
    <w:rsid w:val="001A1969"/>
    <w:rsid w:val="001A1AEB"/>
    <w:rsid w:val="001A1D8A"/>
    <w:rsid w:val="001A1F22"/>
    <w:rsid w:val="001A2084"/>
    <w:rsid w:val="001A20BC"/>
    <w:rsid w:val="001A3BF8"/>
    <w:rsid w:val="001A5DCA"/>
    <w:rsid w:val="001A63F4"/>
    <w:rsid w:val="001A69BC"/>
    <w:rsid w:val="001B0E14"/>
    <w:rsid w:val="001B167B"/>
    <w:rsid w:val="001B179C"/>
    <w:rsid w:val="001B36A0"/>
    <w:rsid w:val="001B4CDC"/>
    <w:rsid w:val="001B5A6D"/>
    <w:rsid w:val="001B6CF0"/>
    <w:rsid w:val="001B724C"/>
    <w:rsid w:val="001C0E82"/>
    <w:rsid w:val="001C1F4F"/>
    <w:rsid w:val="001C3571"/>
    <w:rsid w:val="001C4B96"/>
    <w:rsid w:val="001C4E70"/>
    <w:rsid w:val="001C50C2"/>
    <w:rsid w:val="001C59C8"/>
    <w:rsid w:val="001C66B2"/>
    <w:rsid w:val="001C6B20"/>
    <w:rsid w:val="001D0391"/>
    <w:rsid w:val="001D0E51"/>
    <w:rsid w:val="001D1575"/>
    <w:rsid w:val="001D3A47"/>
    <w:rsid w:val="001E02A7"/>
    <w:rsid w:val="001E117C"/>
    <w:rsid w:val="001E2445"/>
    <w:rsid w:val="001E29FA"/>
    <w:rsid w:val="001E56E3"/>
    <w:rsid w:val="001E60DE"/>
    <w:rsid w:val="001E763B"/>
    <w:rsid w:val="001E797C"/>
    <w:rsid w:val="001E7DC0"/>
    <w:rsid w:val="001F1F27"/>
    <w:rsid w:val="001F30D0"/>
    <w:rsid w:val="001F588A"/>
    <w:rsid w:val="001F62B1"/>
    <w:rsid w:val="001F7A05"/>
    <w:rsid w:val="001F7ACC"/>
    <w:rsid w:val="001F7F68"/>
    <w:rsid w:val="002007AD"/>
    <w:rsid w:val="002022E1"/>
    <w:rsid w:val="002033F1"/>
    <w:rsid w:val="002046F0"/>
    <w:rsid w:val="00204A85"/>
    <w:rsid w:val="00204C52"/>
    <w:rsid w:val="00205345"/>
    <w:rsid w:val="00205EF5"/>
    <w:rsid w:val="00206B46"/>
    <w:rsid w:val="00207060"/>
    <w:rsid w:val="00207199"/>
    <w:rsid w:val="002077C0"/>
    <w:rsid w:val="00210121"/>
    <w:rsid w:val="00214EEE"/>
    <w:rsid w:val="00214F82"/>
    <w:rsid w:val="00215BAA"/>
    <w:rsid w:val="00215C33"/>
    <w:rsid w:val="00216B5B"/>
    <w:rsid w:val="002175D9"/>
    <w:rsid w:val="00217DA1"/>
    <w:rsid w:val="0022007A"/>
    <w:rsid w:val="00221014"/>
    <w:rsid w:val="00221AC9"/>
    <w:rsid w:val="00221C54"/>
    <w:rsid w:val="00223E75"/>
    <w:rsid w:val="002244AD"/>
    <w:rsid w:val="00224D9B"/>
    <w:rsid w:val="0022522F"/>
    <w:rsid w:val="002269C8"/>
    <w:rsid w:val="002273FE"/>
    <w:rsid w:val="0022741F"/>
    <w:rsid w:val="00227B9E"/>
    <w:rsid w:val="00227F38"/>
    <w:rsid w:val="00231F83"/>
    <w:rsid w:val="002322E6"/>
    <w:rsid w:val="00232413"/>
    <w:rsid w:val="00232420"/>
    <w:rsid w:val="002335FB"/>
    <w:rsid w:val="0023470F"/>
    <w:rsid w:val="002349EA"/>
    <w:rsid w:val="002359A3"/>
    <w:rsid w:val="00235DB3"/>
    <w:rsid w:val="002367C0"/>
    <w:rsid w:val="0024091F"/>
    <w:rsid w:val="00241120"/>
    <w:rsid w:val="0024172A"/>
    <w:rsid w:val="00242805"/>
    <w:rsid w:val="002428BF"/>
    <w:rsid w:val="00242DB7"/>
    <w:rsid w:val="0024335E"/>
    <w:rsid w:val="002433AD"/>
    <w:rsid w:val="00243611"/>
    <w:rsid w:val="00243EA0"/>
    <w:rsid w:val="002447C8"/>
    <w:rsid w:val="0024487D"/>
    <w:rsid w:val="00245083"/>
    <w:rsid w:val="002459E5"/>
    <w:rsid w:val="0024639E"/>
    <w:rsid w:val="002509B8"/>
    <w:rsid w:val="00252B86"/>
    <w:rsid w:val="00252F6F"/>
    <w:rsid w:val="00253428"/>
    <w:rsid w:val="00253749"/>
    <w:rsid w:val="0025417F"/>
    <w:rsid w:val="002551AC"/>
    <w:rsid w:val="00255210"/>
    <w:rsid w:val="0025545F"/>
    <w:rsid w:val="00255C01"/>
    <w:rsid w:val="00255CEB"/>
    <w:rsid w:val="00255DAD"/>
    <w:rsid w:val="002571CD"/>
    <w:rsid w:val="002603FD"/>
    <w:rsid w:val="00261683"/>
    <w:rsid w:val="002626BC"/>
    <w:rsid w:val="00263659"/>
    <w:rsid w:val="002642C4"/>
    <w:rsid w:val="0026481F"/>
    <w:rsid w:val="00264E17"/>
    <w:rsid w:val="00265196"/>
    <w:rsid w:val="002673EB"/>
    <w:rsid w:val="00267F55"/>
    <w:rsid w:val="00267F6D"/>
    <w:rsid w:val="00267FA4"/>
    <w:rsid w:val="0027161E"/>
    <w:rsid w:val="00271841"/>
    <w:rsid w:val="00271CFF"/>
    <w:rsid w:val="00271E75"/>
    <w:rsid w:val="00273C72"/>
    <w:rsid w:val="00275F4A"/>
    <w:rsid w:val="002761E3"/>
    <w:rsid w:val="002763A9"/>
    <w:rsid w:val="00276FEA"/>
    <w:rsid w:val="002775F0"/>
    <w:rsid w:val="00280C77"/>
    <w:rsid w:val="002820E0"/>
    <w:rsid w:val="002842BF"/>
    <w:rsid w:val="002843BF"/>
    <w:rsid w:val="00284C54"/>
    <w:rsid w:val="00284D1A"/>
    <w:rsid w:val="0028560C"/>
    <w:rsid w:val="00285DAC"/>
    <w:rsid w:val="00286E72"/>
    <w:rsid w:val="00287B9B"/>
    <w:rsid w:val="00290237"/>
    <w:rsid w:val="002938E1"/>
    <w:rsid w:val="00294D0B"/>
    <w:rsid w:val="00296F12"/>
    <w:rsid w:val="002A0DBC"/>
    <w:rsid w:val="002A2D10"/>
    <w:rsid w:val="002A2F38"/>
    <w:rsid w:val="002A3233"/>
    <w:rsid w:val="002A3D70"/>
    <w:rsid w:val="002A478C"/>
    <w:rsid w:val="002A50CB"/>
    <w:rsid w:val="002A5879"/>
    <w:rsid w:val="002A5CCD"/>
    <w:rsid w:val="002B118D"/>
    <w:rsid w:val="002B13CA"/>
    <w:rsid w:val="002B1717"/>
    <w:rsid w:val="002B349C"/>
    <w:rsid w:val="002B37A8"/>
    <w:rsid w:val="002B3AAF"/>
    <w:rsid w:val="002B5EB3"/>
    <w:rsid w:val="002B727F"/>
    <w:rsid w:val="002B76A1"/>
    <w:rsid w:val="002C0C34"/>
    <w:rsid w:val="002C0E2A"/>
    <w:rsid w:val="002C1478"/>
    <w:rsid w:val="002C19AC"/>
    <w:rsid w:val="002C2161"/>
    <w:rsid w:val="002C2265"/>
    <w:rsid w:val="002C25C0"/>
    <w:rsid w:val="002C37F4"/>
    <w:rsid w:val="002C3A66"/>
    <w:rsid w:val="002C3EB1"/>
    <w:rsid w:val="002C4419"/>
    <w:rsid w:val="002C4FA0"/>
    <w:rsid w:val="002C502A"/>
    <w:rsid w:val="002C5FF5"/>
    <w:rsid w:val="002C6363"/>
    <w:rsid w:val="002C6F20"/>
    <w:rsid w:val="002C6FDF"/>
    <w:rsid w:val="002C74F1"/>
    <w:rsid w:val="002C781C"/>
    <w:rsid w:val="002C7907"/>
    <w:rsid w:val="002C7BC8"/>
    <w:rsid w:val="002D01E3"/>
    <w:rsid w:val="002D20CB"/>
    <w:rsid w:val="002D290B"/>
    <w:rsid w:val="002D3435"/>
    <w:rsid w:val="002D4162"/>
    <w:rsid w:val="002D560F"/>
    <w:rsid w:val="002D5BB6"/>
    <w:rsid w:val="002D60E9"/>
    <w:rsid w:val="002D68EC"/>
    <w:rsid w:val="002D6BB3"/>
    <w:rsid w:val="002D7881"/>
    <w:rsid w:val="002D7CA1"/>
    <w:rsid w:val="002D7FE0"/>
    <w:rsid w:val="002E08B1"/>
    <w:rsid w:val="002E0A58"/>
    <w:rsid w:val="002E1B88"/>
    <w:rsid w:val="002E3B7D"/>
    <w:rsid w:val="002E4116"/>
    <w:rsid w:val="002E4965"/>
    <w:rsid w:val="002E49DE"/>
    <w:rsid w:val="002E602C"/>
    <w:rsid w:val="002E63AE"/>
    <w:rsid w:val="002F067A"/>
    <w:rsid w:val="002F1008"/>
    <w:rsid w:val="002F2A61"/>
    <w:rsid w:val="002F39AE"/>
    <w:rsid w:val="002F61DF"/>
    <w:rsid w:val="002F636D"/>
    <w:rsid w:val="002F6B1D"/>
    <w:rsid w:val="002F6E12"/>
    <w:rsid w:val="002F723C"/>
    <w:rsid w:val="002F7280"/>
    <w:rsid w:val="002F74B6"/>
    <w:rsid w:val="002F7A2D"/>
    <w:rsid w:val="00301634"/>
    <w:rsid w:val="00301A46"/>
    <w:rsid w:val="003035D5"/>
    <w:rsid w:val="00303B8C"/>
    <w:rsid w:val="003057F3"/>
    <w:rsid w:val="00305E08"/>
    <w:rsid w:val="00306D71"/>
    <w:rsid w:val="00307E6E"/>
    <w:rsid w:val="00310890"/>
    <w:rsid w:val="00310DFE"/>
    <w:rsid w:val="003112B2"/>
    <w:rsid w:val="0031196B"/>
    <w:rsid w:val="003126E1"/>
    <w:rsid w:val="003127F9"/>
    <w:rsid w:val="00312948"/>
    <w:rsid w:val="00313867"/>
    <w:rsid w:val="00314429"/>
    <w:rsid w:val="00314CAE"/>
    <w:rsid w:val="00314D60"/>
    <w:rsid w:val="003150F6"/>
    <w:rsid w:val="003151D4"/>
    <w:rsid w:val="00320E03"/>
    <w:rsid w:val="00321D4A"/>
    <w:rsid w:val="003220DE"/>
    <w:rsid w:val="00322BC6"/>
    <w:rsid w:val="003232EF"/>
    <w:rsid w:val="0032426D"/>
    <w:rsid w:val="0032465C"/>
    <w:rsid w:val="003249E0"/>
    <w:rsid w:val="00326BBD"/>
    <w:rsid w:val="00327B8B"/>
    <w:rsid w:val="00330B44"/>
    <w:rsid w:val="003337E4"/>
    <w:rsid w:val="003348EC"/>
    <w:rsid w:val="00335AC7"/>
    <w:rsid w:val="00335FE6"/>
    <w:rsid w:val="00337416"/>
    <w:rsid w:val="00337525"/>
    <w:rsid w:val="00340522"/>
    <w:rsid w:val="00341873"/>
    <w:rsid w:val="0034227E"/>
    <w:rsid w:val="00342C2B"/>
    <w:rsid w:val="00344155"/>
    <w:rsid w:val="003451F7"/>
    <w:rsid w:val="0034583E"/>
    <w:rsid w:val="0034705F"/>
    <w:rsid w:val="00347B68"/>
    <w:rsid w:val="00350325"/>
    <w:rsid w:val="00351201"/>
    <w:rsid w:val="00353CC3"/>
    <w:rsid w:val="0035480B"/>
    <w:rsid w:val="00354836"/>
    <w:rsid w:val="00354D6C"/>
    <w:rsid w:val="00355E90"/>
    <w:rsid w:val="00356316"/>
    <w:rsid w:val="00360FC6"/>
    <w:rsid w:val="00361694"/>
    <w:rsid w:val="0036276C"/>
    <w:rsid w:val="003627C3"/>
    <w:rsid w:val="00362AF3"/>
    <w:rsid w:val="00363241"/>
    <w:rsid w:val="00364EE1"/>
    <w:rsid w:val="00366A2D"/>
    <w:rsid w:val="00366F3B"/>
    <w:rsid w:val="00370479"/>
    <w:rsid w:val="0037112E"/>
    <w:rsid w:val="0037188E"/>
    <w:rsid w:val="00373757"/>
    <w:rsid w:val="00373814"/>
    <w:rsid w:val="003747EB"/>
    <w:rsid w:val="00374D5E"/>
    <w:rsid w:val="00374DC9"/>
    <w:rsid w:val="00375CD4"/>
    <w:rsid w:val="003764B8"/>
    <w:rsid w:val="003765F0"/>
    <w:rsid w:val="00376A4D"/>
    <w:rsid w:val="0037713F"/>
    <w:rsid w:val="0037791B"/>
    <w:rsid w:val="00380ED1"/>
    <w:rsid w:val="00381320"/>
    <w:rsid w:val="00381769"/>
    <w:rsid w:val="0038194F"/>
    <w:rsid w:val="00381C8E"/>
    <w:rsid w:val="00382089"/>
    <w:rsid w:val="00383014"/>
    <w:rsid w:val="003838C1"/>
    <w:rsid w:val="0038416D"/>
    <w:rsid w:val="003844A8"/>
    <w:rsid w:val="003847D3"/>
    <w:rsid w:val="00385612"/>
    <w:rsid w:val="00390097"/>
    <w:rsid w:val="00390460"/>
    <w:rsid w:val="00391B7D"/>
    <w:rsid w:val="00392C1B"/>
    <w:rsid w:val="00394CC6"/>
    <w:rsid w:val="00394EC6"/>
    <w:rsid w:val="00396A1C"/>
    <w:rsid w:val="003979CC"/>
    <w:rsid w:val="003A0736"/>
    <w:rsid w:val="003A10A7"/>
    <w:rsid w:val="003A183D"/>
    <w:rsid w:val="003A3C9E"/>
    <w:rsid w:val="003A3DA0"/>
    <w:rsid w:val="003A4363"/>
    <w:rsid w:val="003A4986"/>
    <w:rsid w:val="003A4C61"/>
    <w:rsid w:val="003A5F75"/>
    <w:rsid w:val="003A6C8C"/>
    <w:rsid w:val="003A6E43"/>
    <w:rsid w:val="003A755C"/>
    <w:rsid w:val="003B008D"/>
    <w:rsid w:val="003B1A07"/>
    <w:rsid w:val="003B1B10"/>
    <w:rsid w:val="003B1BE6"/>
    <w:rsid w:val="003B340E"/>
    <w:rsid w:val="003B3B85"/>
    <w:rsid w:val="003B431E"/>
    <w:rsid w:val="003B440C"/>
    <w:rsid w:val="003B4CF4"/>
    <w:rsid w:val="003B6644"/>
    <w:rsid w:val="003B66B8"/>
    <w:rsid w:val="003B7118"/>
    <w:rsid w:val="003B789B"/>
    <w:rsid w:val="003C07B0"/>
    <w:rsid w:val="003C0CF1"/>
    <w:rsid w:val="003C1A28"/>
    <w:rsid w:val="003C1D54"/>
    <w:rsid w:val="003C2587"/>
    <w:rsid w:val="003C3B6A"/>
    <w:rsid w:val="003C40E2"/>
    <w:rsid w:val="003C4C9D"/>
    <w:rsid w:val="003C6C6D"/>
    <w:rsid w:val="003D2E8D"/>
    <w:rsid w:val="003D431A"/>
    <w:rsid w:val="003D5E55"/>
    <w:rsid w:val="003D69C1"/>
    <w:rsid w:val="003D6ABA"/>
    <w:rsid w:val="003D6F94"/>
    <w:rsid w:val="003E0B5F"/>
    <w:rsid w:val="003E0E1A"/>
    <w:rsid w:val="003E283E"/>
    <w:rsid w:val="003E2FD9"/>
    <w:rsid w:val="003E3042"/>
    <w:rsid w:val="003E382F"/>
    <w:rsid w:val="003E5191"/>
    <w:rsid w:val="003E5626"/>
    <w:rsid w:val="003E66CB"/>
    <w:rsid w:val="003E7DF9"/>
    <w:rsid w:val="003F0AA1"/>
    <w:rsid w:val="003F0AEC"/>
    <w:rsid w:val="003F0D4A"/>
    <w:rsid w:val="003F3011"/>
    <w:rsid w:val="003F559A"/>
    <w:rsid w:val="003F5727"/>
    <w:rsid w:val="003F60EE"/>
    <w:rsid w:val="003F7103"/>
    <w:rsid w:val="00404D17"/>
    <w:rsid w:val="00406100"/>
    <w:rsid w:val="00406208"/>
    <w:rsid w:val="00407BD9"/>
    <w:rsid w:val="00407D3C"/>
    <w:rsid w:val="0041017D"/>
    <w:rsid w:val="00411E60"/>
    <w:rsid w:val="00411FFB"/>
    <w:rsid w:val="00412C57"/>
    <w:rsid w:val="00414496"/>
    <w:rsid w:val="004148E5"/>
    <w:rsid w:val="004157D3"/>
    <w:rsid w:val="00416155"/>
    <w:rsid w:val="0041674A"/>
    <w:rsid w:val="00416A64"/>
    <w:rsid w:val="0041763E"/>
    <w:rsid w:val="00417733"/>
    <w:rsid w:val="00417931"/>
    <w:rsid w:val="00421335"/>
    <w:rsid w:val="0042191D"/>
    <w:rsid w:val="004222B5"/>
    <w:rsid w:val="00424909"/>
    <w:rsid w:val="00425099"/>
    <w:rsid w:val="00425615"/>
    <w:rsid w:val="004271E2"/>
    <w:rsid w:val="0042759D"/>
    <w:rsid w:val="00430592"/>
    <w:rsid w:val="00433ED9"/>
    <w:rsid w:val="00434C6D"/>
    <w:rsid w:val="00435042"/>
    <w:rsid w:val="004353EF"/>
    <w:rsid w:val="00435C9C"/>
    <w:rsid w:val="004367BA"/>
    <w:rsid w:val="00437FDD"/>
    <w:rsid w:val="004400EB"/>
    <w:rsid w:val="004408EE"/>
    <w:rsid w:val="00444EE0"/>
    <w:rsid w:val="00445B41"/>
    <w:rsid w:val="004500C3"/>
    <w:rsid w:val="00450727"/>
    <w:rsid w:val="00451586"/>
    <w:rsid w:val="0045216D"/>
    <w:rsid w:val="00452A8B"/>
    <w:rsid w:val="004535DA"/>
    <w:rsid w:val="00453A71"/>
    <w:rsid w:val="004550C4"/>
    <w:rsid w:val="00455D99"/>
    <w:rsid w:val="00457EF4"/>
    <w:rsid w:val="004603A1"/>
    <w:rsid w:val="00461192"/>
    <w:rsid w:val="00461370"/>
    <w:rsid w:val="0046168C"/>
    <w:rsid w:val="00461EC3"/>
    <w:rsid w:val="00462426"/>
    <w:rsid w:val="00462E21"/>
    <w:rsid w:val="00463237"/>
    <w:rsid w:val="00464EEB"/>
    <w:rsid w:val="00464F8A"/>
    <w:rsid w:val="0046518D"/>
    <w:rsid w:val="00465BD0"/>
    <w:rsid w:val="00470753"/>
    <w:rsid w:val="004725E1"/>
    <w:rsid w:val="00473F50"/>
    <w:rsid w:val="00474C6D"/>
    <w:rsid w:val="00475C40"/>
    <w:rsid w:val="004760B1"/>
    <w:rsid w:val="004762B1"/>
    <w:rsid w:val="00476404"/>
    <w:rsid w:val="00476BBB"/>
    <w:rsid w:val="00476E05"/>
    <w:rsid w:val="004772FD"/>
    <w:rsid w:val="00480198"/>
    <w:rsid w:val="00480855"/>
    <w:rsid w:val="00481831"/>
    <w:rsid w:val="00481B0F"/>
    <w:rsid w:val="004821CF"/>
    <w:rsid w:val="00482D5D"/>
    <w:rsid w:val="00482DD9"/>
    <w:rsid w:val="0048324F"/>
    <w:rsid w:val="004852B1"/>
    <w:rsid w:val="00485FEB"/>
    <w:rsid w:val="0048635D"/>
    <w:rsid w:val="00486612"/>
    <w:rsid w:val="00491AD8"/>
    <w:rsid w:val="00491FA0"/>
    <w:rsid w:val="00492202"/>
    <w:rsid w:val="0049458B"/>
    <w:rsid w:val="004963A8"/>
    <w:rsid w:val="004A0155"/>
    <w:rsid w:val="004A0BA4"/>
    <w:rsid w:val="004A1D05"/>
    <w:rsid w:val="004A2618"/>
    <w:rsid w:val="004A2E05"/>
    <w:rsid w:val="004A51AF"/>
    <w:rsid w:val="004A5738"/>
    <w:rsid w:val="004A5D11"/>
    <w:rsid w:val="004A63E2"/>
    <w:rsid w:val="004A6C73"/>
    <w:rsid w:val="004A7A15"/>
    <w:rsid w:val="004A7B24"/>
    <w:rsid w:val="004B0DF5"/>
    <w:rsid w:val="004B2D72"/>
    <w:rsid w:val="004B3D0A"/>
    <w:rsid w:val="004B4594"/>
    <w:rsid w:val="004B4624"/>
    <w:rsid w:val="004B4D15"/>
    <w:rsid w:val="004B62DB"/>
    <w:rsid w:val="004B7A59"/>
    <w:rsid w:val="004B7C88"/>
    <w:rsid w:val="004C1604"/>
    <w:rsid w:val="004C1FC6"/>
    <w:rsid w:val="004C26E4"/>
    <w:rsid w:val="004C2BD3"/>
    <w:rsid w:val="004C3764"/>
    <w:rsid w:val="004C4247"/>
    <w:rsid w:val="004C5CEE"/>
    <w:rsid w:val="004C6159"/>
    <w:rsid w:val="004C63F5"/>
    <w:rsid w:val="004D014E"/>
    <w:rsid w:val="004D124C"/>
    <w:rsid w:val="004D14B0"/>
    <w:rsid w:val="004D1D9E"/>
    <w:rsid w:val="004D3511"/>
    <w:rsid w:val="004D3A6B"/>
    <w:rsid w:val="004D3E2F"/>
    <w:rsid w:val="004D3F18"/>
    <w:rsid w:val="004D5C34"/>
    <w:rsid w:val="004D75C8"/>
    <w:rsid w:val="004E0E4B"/>
    <w:rsid w:val="004E145C"/>
    <w:rsid w:val="004E168B"/>
    <w:rsid w:val="004E21DB"/>
    <w:rsid w:val="004E2352"/>
    <w:rsid w:val="004E2497"/>
    <w:rsid w:val="004E319B"/>
    <w:rsid w:val="004E43F5"/>
    <w:rsid w:val="004E4584"/>
    <w:rsid w:val="004E60C5"/>
    <w:rsid w:val="004E6B36"/>
    <w:rsid w:val="004E7BFF"/>
    <w:rsid w:val="004F0AAA"/>
    <w:rsid w:val="004F0D94"/>
    <w:rsid w:val="004F181E"/>
    <w:rsid w:val="004F231C"/>
    <w:rsid w:val="004F2FC9"/>
    <w:rsid w:val="004F34E5"/>
    <w:rsid w:val="004F4140"/>
    <w:rsid w:val="004F5410"/>
    <w:rsid w:val="004F59D7"/>
    <w:rsid w:val="004F7227"/>
    <w:rsid w:val="0050029F"/>
    <w:rsid w:val="005028FA"/>
    <w:rsid w:val="0050290A"/>
    <w:rsid w:val="00503479"/>
    <w:rsid w:val="005038D8"/>
    <w:rsid w:val="00503ECB"/>
    <w:rsid w:val="005045A2"/>
    <w:rsid w:val="00504933"/>
    <w:rsid w:val="00505886"/>
    <w:rsid w:val="00505E9C"/>
    <w:rsid w:val="005063EE"/>
    <w:rsid w:val="00506F93"/>
    <w:rsid w:val="00507F7C"/>
    <w:rsid w:val="005106B4"/>
    <w:rsid w:val="00510E27"/>
    <w:rsid w:val="00511982"/>
    <w:rsid w:val="00512BBB"/>
    <w:rsid w:val="00513A55"/>
    <w:rsid w:val="005159D8"/>
    <w:rsid w:val="005177E4"/>
    <w:rsid w:val="00520B85"/>
    <w:rsid w:val="0052141E"/>
    <w:rsid w:val="00521828"/>
    <w:rsid w:val="00522170"/>
    <w:rsid w:val="005222C2"/>
    <w:rsid w:val="00522712"/>
    <w:rsid w:val="00523954"/>
    <w:rsid w:val="00523B2B"/>
    <w:rsid w:val="00524711"/>
    <w:rsid w:val="00526E2E"/>
    <w:rsid w:val="0053137A"/>
    <w:rsid w:val="005316F5"/>
    <w:rsid w:val="00531A90"/>
    <w:rsid w:val="00531AD4"/>
    <w:rsid w:val="0053205F"/>
    <w:rsid w:val="00533429"/>
    <w:rsid w:val="00533D7E"/>
    <w:rsid w:val="005340E6"/>
    <w:rsid w:val="00536751"/>
    <w:rsid w:val="00536933"/>
    <w:rsid w:val="00542054"/>
    <w:rsid w:val="005424C5"/>
    <w:rsid w:val="005425FA"/>
    <w:rsid w:val="00542D3F"/>
    <w:rsid w:val="00544602"/>
    <w:rsid w:val="00544C0B"/>
    <w:rsid w:val="00545AEB"/>
    <w:rsid w:val="00547DC5"/>
    <w:rsid w:val="00547E2A"/>
    <w:rsid w:val="0055106F"/>
    <w:rsid w:val="00553E0E"/>
    <w:rsid w:val="00553F46"/>
    <w:rsid w:val="00555577"/>
    <w:rsid w:val="0055605D"/>
    <w:rsid w:val="00556412"/>
    <w:rsid w:val="00557013"/>
    <w:rsid w:val="0055771D"/>
    <w:rsid w:val="0055781A"/>
    <w:rsid w:val="0056048D"/>
    <w:rsid w:val="00562033"/>
    <w:rsid w:val="00563229"/>
    <w:rsid w:val="0056437A"/>
    <w:rsid w:val="00564566"/>
    <w:rsid w:val="00564943"/>
    <w:rsid w:val="00564B81"/>
    <w:rsid w:val="00565332"/>
    <w:rsid w:val="0056537F"/>
    <w:rsid w:val="00565BC2"/>
    <w:rsid w:val="005660DF"/>
    <w:rsid w:val="00566853"/>
    <w:rsid w:val="00566992"/>
    <w:rsid w:val="00566E1D"/>
    <w:rsid w:val="00570CEE"/>
    <w:rsid w:val="00571142"/>
    <w:rsid w:val="0057125A"/>
    <w:rsid w:val="00572282"/>
    <w:rsid w:val="00572577"/>
    <w:rsid w:val="005739F7"/>
    <w:rsid w:val="00574126"/>
    <w:rsid w:val="0057459F"/>
    <w:rsid w:val="00574D89"/>
    <w:rsid w:val="00575597"/>
    <w:rsid w:val="00575706"/>
    <w:rsid w:val="005757A4"/>
    <w:rsid w:val="00577AF0"/>
    <w:rsid w:val="00577B20"/>
    <w:rsid w:val="00580D00"/>
    <w:rsid w:val="00580F5D"/>
    <w:rsid w:val="00581BAD"/>
    <w:rsid w:val="00582341"/>
    <w:rsid w:val="00582CE9"/>
    <w:rsid w:val="00583E2F"/>
    <w:rsid w:val="00584986"/>
    <w:rsid w:val="00584BAD"/>
    <w:rsid w:val="0058553B"/>
    <w:rsid w:val="005861A0"/>
    <w:rsid w:val="00586D72"/>
    <w:rsid w:val="0058763A"/>
    <w:rsid w:val="0059029C"/>
    <w:rsid w:val="00591785"/>
    <w:rsid w:val="00592267"/>
    <w:rsid w:val="00592EA6"/>
    <w:rsid w:val="00593F71"/>
    <w:rsid w:val="00594B3E"/>
    <w:rsid w:val="00595827"/>
    <w:rsid w:val="00596CE9"/>
    <w:rsid w:val="0059791F"/>
    <w:rsid w:val="00597D88"/>
    <w:rsid w:val="005A018F"/>
    <w:rsid w:val="005A1A13"/>
    <w:rsid w:val="005A2974"/>
    <w:rsid w:val="005A33DF"/>
    <w:rsid w:val="005A3948"/>
    <w:rsid w:val="005A3E06"/>
    <w:rsid w:val="005A40A7"/>
    <w:rsid w:val="005A44A2"/>
    <w:rsid w:val="005A7161"/>
    <w:rsid w:val="005B11BD"/>
    <w:rsid w:val="005B1B37"/>
    <w:rsid w:val="005B1E77"/>
    <w:rsid w:val="005B1F3E"/>
    <w:rsid w:val="005B3128"/>
    <w:rsid w:val="005B433F"/>
    <w:rsid w:val="005B5389"/>
    <w:rsid w:val="005B58FD"/>
    <w:rsid w:val="005B7726"/>
    <w:rsid w:val="005B7ADF"/>
    <w:rsid w:val="005C2B07"/>
    <w:rsid w:val="005C3878"/>
    <w:rsid w:val="005C3AFB"/>
    <w:rsid w:val="005C3FEB"/>
    <w:rsid w:val="005C4379"/>
    <w:rsid w:val="005C4433"/>
    <w:rsid w:val="005C4E4C"/>
    <w:rsid w:val="005C5D86"/>
    <w:rsid w:val="005C6969"/>
    <w:rsid w:val="005C7126"/>
    <w:rsid w:val="005D02FD"/>
    <w:rsid w:val="005D038F"/>
    <w:rsid w:val="005D0647"/>
    <w:rsid w:val="005D0736"/>
    <w:rsid w:val="005D1339"/>
    <w:rsid w:val="005D1881"/>
    <w:rsid w:val="005D18EB"/>
    <w:rsid w:val="005D2681"/>
    <w:rsid w:val="005D2714"/>
    <w:rsid w:val="005D3272"/>
    <w:rsid w:val="005D3EAE"/>
    <w:rsid w:val="005D436D"/>
    <w:rsid w:val="005D49B6"/>
    <w:rsid w:val="005D521B"/>
    <w:rsid w:val="005D595C"/>
    <w:rsid w:val="005D5FD6"/>
    <w:rsid w:val="005D6A91"/>
    <w:rsid w:val="005D707F"/>
    <w:rsid w:val="005D7918"/>
    <w:rsid w:val="005E39EA"/>
    <w:rsid w:val="005E4503"/>
    <w:rsid w:val="005E52D7"/>
    <w:rsid w:val="005E569B"/>
    <w:rsid w:val="005E5BA6"/>
    <w:rsid w:val="005E5CA5"/>
    <w:rsid w:val="005E7A9C"/>
    <w:rsid w:val="005F17A3"/>
    <w:rsid w:val="005F1D09"/>
    <w:rsid w:val="005F1D58"/>
    <w:rsid w:val="005F2A76"/>
    <w:rsid w:val="005F2B3E"/>
    <w:rsid w:val="005F3F36"/>
    <w:rsid w:val="005F5483"/>
    <w:rsid w:val="005F5A45"/>
    <w:rsid w:val="005F6B41"/>
    <w:rsid w:val="005F76B5"/>
    <w:rsid w:val="005F7FE8"/>
    <w:rsid w:val="00600849"/>
    <w:rsid w:val="00601563"/>
    <w:rsid w:val="006032B1"/>
    <w:rsid w:val="006036BD"/>
    <w:rsid w:val="006045B5"/>
    <w:rsid w:val="006049BF"/>
    <w:rsid w:val="00605B42"/>
    <w:rsid w:val="00606316"/>
    <w:rsid w:val="0060662C"/>
    <w:rsid w:val="0061156B"/>
    <w:rsid w:val="00612772"/>
    <w:rsid w:val="006127A6"/>
    <w:rsid w:val="006127B7"/>
    <w:rsid w:val="00612D77"/>
    <w:rsid w:val="00613E51"/>
    <w:rsid w:val="00613ED0"/>
    <w:rsid w:val="00614B96"/>
    <w:rsid w:val="006154DB"/>
    <w:rsid w:val="00615877"/>
    <w:rsid w:val="0062002C"/>
    <w:rsid w:val="00620867"/>
    <w:rsid w:val="006223FB"/>
    <w:rsid w:val="006227C4"/>
    <w:rsid w:val="00624233"/>
    <w:rsid w:val="00624E96"/>
    <w:rsid w:val="00626D0F"/>
    <w:rsid w:val="006274F5"/>
    <w:rsid w:val="00630183"/>
    <w:rsid w:val="0063038F"/>
    <w:rsid w:val="006311CA"/>
    <w:rsid w:val="00631464"/>
    <w:rsid w:val="00631943"/>
    <w:rsid w:val="00631B97"/>
    <w:rsid w:val="006332F4"/>
    <w:rsid w:val="00633642"/>
    <w:rsid w:val="006337B3"/>
    <w:rsid w:val="00633904"/>
    <w:rsid w:val="00633E6A"/>
    <w:rsid w:val="00634366"/>
    <w:rsid w:val="00634A12"/>
    <w:rsid w:val="00634C1C"/>
    <w:rsid w:val="00637436"/>
    <w:rsid w:val="00640559"/>
    <w:rsid w:val="00640E49"/>
    <w:rsid w:val="0064228B"/>
    <w:rsid w:val="00642CCD"/>
    <w:rsid w:val="00642FB2"/>
    <w:rsid w:val="00643F1A"/>
    <w:rsid w:val="0064474F"/>
    <w:rsid w:val="00646666"/>
    <w:rsid w:val="00647B1B"/>
    <w:rsid w:val="00650E54"/>
    <w:rsid w:val="0065169D"/>
    <w:rsid w:val="00652590"/>
    <w:rsid w:val="0065269A"/>
    <w:rsid w:val="00652A8A"/>
    <w:rsid w:val="006539BC"/>
    <w:rsid w:val="00654B5A"/>
    <w:rsid w:val="00654CC4"/>
    <w:rsid w:val="00655113"/>
    <w:rsid w:val="00657614"/>
    <w:rsid w:val="006576B7"/>
    <w:rsid w:val="0065787A"/>
    <w:rsid w:val="00657CC9"/>
    <w:rsid w:val="00657DA0"/>
    <w:rsid w:val="006602C4"/>
    <w:rsid w:val="0066059A"/>
    <w:rsid w:val="00660898"/>
    <w:rsid w:val="00661123"/>
    <w:rsid w:val="0066189B"/>
    <w:rsid w:val="00661C65"/>
    <w:rsid w:val="00661ED4"/>
    <w:rsid w:val="00662E01"/>
    <w:rsid w:val="0066301A"/>
    <w:rsid w:val="0066386C"/>
    <w:rsid w:val="00663C08"/>
    <w:rsid w:val="00667EC3"/>
    <w:rsid w:val="00670D18"/>
    <w:rsid w:val="00672381"/>
    <w:rsid w:val="006724F9"/>
    <w:rsid w:val="00672C93"/>
    <w:rsid w:val="006739BD"/>
    <w:rsid w:val="00674277"/>
    <w:rsid w:val="00674437"/>
    <w:rsid w:val="0067487D"/>
    <w:rsid w:val="00675030"/>
    <w:rsid w:val="00677CB1"/>
    <w:rsid w:val="00677EB6"/>
    <w:rsid w:val="00677F43"/>
    <w:rsid w:val="006805BB"/>
    <w:rsid w:val="006821E2"/>
    <w:rsid w:val="00684442"/>
    <w:rsid w:val="006844A7"/>
    <w:rsid w:val="00685712"/>
    <w:rsid w:val="006858C8"/>
    <w:rsid w:val="00685F9B"/>
    <w:rsid w:val="0069066F"/>
    <w:rsid w:val="00690C2B"/>
    <w:rsid w:val="00690E9C"/>
    <w:rsid w:val="00691010"/>
    <w:rsid w:val="006918CE"/>
    <w:rsid w:val="006920ED"/>
    <w:rsid w:val="00692372"/>
    <w:rsid w:val="006929DB"/>
    <w:rsid w:val="00692B27"/>
    <w:rsid w:val="00692F12"/>
    <w:rsid w:val="00693476"/>
    <w:rsid w:val="00693DD0"/>
    <w:rsid w:val="006946DF"/>
    <w:rsid w:val="00695070"/>
    <w:rsid w:val="006963D3"/>
    <w:rsid w:val="00696D83"/>
    <w:rsid w:val="006A2C6E"/>
    <w:rsid w:val="006A3CE2"/>
    <w:rsid w:val="006A4DF2"/>
    <w:rsid w:val="006A563E"/>
    <w:rsid w:val="006A58C6"/>
    <w:rsid w:val="006A61EA"/>
    <w:rsid w:val="006A6736"/>
    <w:rsid w:val="006A6C54"/>
    <w:rsid w:val="006A6E3C"/>
    <w:rsid w:val="006B05D0"/>
    <w:rsid w:val="006B1F33"/>
    <w:rsid w:val="006B462D"/>
    <w:rsid w:val="006B56A7"/>
    <w:rsid w:val="006B5881"/>
    <w:rsid w:val="006B5A2B"/>
    <w:rsid w:val="006B65B9"/>
    <w:rsid w:val="006B670F"/>
    <w:rsid w:val="006C0B03"/>
    <w:rsid w:val="006C14B8"/>
    <w:rsid w:val="006C182F"/>
    <w:rsid w:val="006C2461"/>
    <w:rsid w:val="006C2B9D"/>
    <w:rsid w:val="006C2F50"/>
    <w:rsid w:val="006C2F5B"/>
    <w:rsid w:val="006C5AEE"/>
    <w:rsid w:val="006C6FDF"/>
    <w:rsid w:val="006C7D63"/>
    <w:rsid w:val="006D05D7"/>
    <w:rsid w:val="006D0E22"/>
    <w:rsid w:val="006D123F"/>
    <w:rsid w:val="006D19B4"/>
    <w:rsid w:val="006D32B3"/>
    <w:rsid w:val="006D3452"/>
    <w:rsid w:val="006D4D91"/>
    <w:rsid w:val="006D606E"/>
    <w:rsid w:val="006D6B8A"/>
    <w:rsid w:val="006D758C"/>
    <w:rsid w:val="006D7A70"/>
    <w:rsid w:val="006D7DE6"/>
    <w:rsid w:val="006E05DC"/>
    <w:rsid w:val="006E1D58"/>
    <w:rsid w:val="006E2EF8"/>
    <w:rsid w:val="006E3635"/>
    <w:rsid w:val="006E3C2F"/>
    <w:rsid w:val="006E3C60"/>
    <w:rsid w:val="006E54DB"/>
    <w:rsid w:val="006E5EA9"/>
    <w:rsid w:val="006E6AB4"/>
    <w:rsid w:val="006E76EE"/>
    <w:rsid w:val="006E7719"/>
    <w:rsid w:val="006E7823"/>
    <w:rsid w:val="006F0ED1"/>
    <w:rsid w:val="006F14F9"/>
    <w:rsid w:val="006F2F32"/>
    <w:rsid w:val="006F4930"/>
    <w:rsid w:val="006F66B0"/>
    <w:rsid w:val="0070049D"/>
    <w:rsid w:val="00700966"/>
    <w:rsid w:val="007035EC"/>
    <w:rsid w:val="007040C0"/>
    <w:rsid w:val="007056D6"/>
    <w:rsid w:val="0070609B"/>
    <w:rsid w:val="00707257"/>
    <w:rsid w:val="00707593"/>
    <w:rsid w:val="007077EE"/>
    <w:rsid w:val="00710178"/>
    <w:rsid w:val="00710B7F"/>
    <w:rsid w:val="007119C5"/>
    <w:rsid w:val="007134D5"/>
    <w:rsid w:val="00714C54"/>
    <w:rsid w:val="00714F44"/>
    <w:rsid w:val="00716B10"/>
    <w:rsid w:val="00716DA9"/>
    <w:rsid w:val="00716DC6"/>
    <w:rsid w:val="00717946"/>
    <w:rsid w:val="00720D3A"/>
    <w:rsid w:val="00721F7F"/>
    <w:rsid w:val="007222D7"/>
    <w:rsid w:val="007234E2"/>
    <w:rsid w:val="007241E0"/>
    <w:rsid w:val="00724A6F"/>
    <w:rsid w:val="00726374"/>
    <w:rsid w:val="00726C9F"/>
    <w:rsid w:val="00727118"/>
    <w:rsid w:val="007274C1"/>
    <w:rsid w:val="00727E44"/>
    <w:rsid w:val="0073016C"/>
    <w:rsid w:val="007305AA"/>
    <w:rsid w:val="00730AF6"/>
    <w:rsid w:val="00731943"/>
    <w:rsid w:val="00731FFF"/>
    <w:rsid w:val="00734CF8"/>
    <w:rsid w:val="00735872"/>
    <w:rsid w:val="00735BBB"/>
    <w:rsid w:val="007364B7"/>
    <w:rsid w:val="00736F90"/>
    <w:rsid w:val="00737214"/>
    <w:rsid w:val="00737344"/>
    <w:rsid w:val="00740DD0"/>
    <w:rsid w:val="00741282"/>
    <w:rsid w:val="00743104"/>
    <w:rsid w:val="00743E35"/>
    <w:rsid w:val="007442D0"/>
    <w:rsid w:val="00744873"/>
    <w:rsid w:val="00745053"/>
    <w:rsid w:val="00745D1D"/>
    <w:rsid w:val="00745DCA"/>
    <w:rsid w:val="00746A7D"/>
    <w:rsid w:val="0075068C"/>
    <w:rsid w:val="00751118"/>
    <w:rsid w:val="00751163"/>
    <w:rsid w:val="007517FB"/>
    <w:rsid w:val="00752B83"/>
    <w:rsid w:val="00752E05"/>
    <w:rsid w:val="007538D7"/>
    <w:rsid w:val="00753C99"/>
    <w:rsid w:val="007544D3"/>
    <w:rsid w:val="00755D3E"/>
    <w:rsid w:val="007560D5"/>
    <w:rsid w:val="00756F32"/>
    <w:rsid w:val="0075707F"/>
    <w:rsid w:val="007605DE"/>
    <w:rsid w:val="00760753"/>
    <w:rsid w:val="00760C71"/>
    <w:rsid w:val="00761455"/>
    <w:rsid w:val="00762318"/>
    <w:rsid w:val="0076381E"/>
    <w:rsid w:val="0076425F"/>
    <w:rsid w:val="007656A2"/>
    <w:rsid w:val="00766C01"/>
    <w:rsid w:val="00772BBB"/>
    <w:rsid w:val="00772DC1"/>
    <w:rsid w:val="007738E6"/>
    <w:rsid w:val="00773963"/>
    <w:rsid w:val="00774656"/>
    <w:rsid w:val="0077479E"/>
    <w:rsid w:val="00776339"/>
    <w:rsid w:val="0077683F"/>
    <w:rsid w:val="00776990"/>
    <w:rsid w:val="00777052"/>
    <w:rsid w:val="00777901"/>
    <w:rsid w:val="00777C55"/>
    <w:rsid w:val="00777E77"/>
    <w:rsid w:val="00780653"/>
    <w:rsid w:val="00780BB7"/>
    <w:rsid w:val="00780FC1"/>
    <w:rsid w:val="00781223"/>
    <w:rsid w:val="00781B22"/>
    <w:rsid w:val="00783115"/>
    <w:rsid w:val="007852C7"/>
    <w:rsid w:val="007853B6"/>
    <w:rsid w:val="007861C3"/>
    <w:rsid w:val="0078664A"/>
    <w:rsid w:val="00786D09"/>
    <w:rsid w:val="00790A57"/>
    <w:rsid w:val="00791592"/>
    <w:rsid w:val="0079176A"/>
    <w:rsid w:val="00791E32"/>
    <w:rsid w:val="007920C5"/>
    <w:rsid w:val="00792577"/>
    <w:rsid w:val="007926E7"/>
    <w:rsid w:val="00794DD1"/>
    <w:rsid w:val="00795AA8"/>
    <w:rsid w:val="00797D2B"/>
    <w:rsid w:val="00797DE4"/>
    <w:rsid w:val="007A1462"/>
    <w:rsid w:val="007A1B49"/>
    <w:rsid w:val="007A1F46"/>
    <w:rsid w:val="007A1F4F"/>
    <w:rsid w:val="007A21F2"/>
    <w:rsid w:val="007A32BB"/>
    <w:rsid w:val="007A3480"/>
    <w:rsid w:val="007A36ED"/>
    <w:rsid w:val="007A501F"/>
    <w:rsid w:val="007A553F"/>
    <w:rsid w:val="007A58B6"/>
    <w:rsid w:val="007A6CAF"/>
    <w:rsid w:val="007B13AA"/>
    <w:rsid w:val="007B18FE"/>
    <w:rsid w:val="007B21E9"/>
    <w:rsid w:val="007B28E7"/>
    <w:rsid w:val="007B4785"/>
    <w:rsid w:val="007B5240"/>
    <w:rsid w:val="007B541D"/>
    <w:rsid w:val="007B5AE4"/>
    <w:rsid w:val="007B5C95"/>
    <w:rsid w:val="007B6591"/>
    <w:rsid w:val="007B7231"/>
    <w:rsid w:val="007B7439"/>
    <w:rsid w:val="007B77A0"/>
    <w:rsid w:val="007C00E0"/>
    <w:rsid w:val="007C0895"/>
    <w:rsid w:val="007C1416"/>
    <w:rsid w:val="007C235A"/>
    <w:rsid w:val="007C25C1"/>
    <w:rsid w:val="007C25D3"/>
    <w:rsid w:val="007C2CE2"/>
    <w:rsid w:val="007C2DCE"/>
    <w:rsid w:val="007C2FF2"/>
    <w:rsid w:val="007C4439"/>
    <w:rsid w:val="007C60C0"/>
    <w:rsid w:val="007C6E3D"/>
    <w:rsid w:val="007D1970"/>
    <w:rsid w:val="007D2C02"/>
    <w:rsid w:val="007D2DBA"/>
    <w:rsid w:val="007D3042"/>
    <w:rsid w:val="007D32CA"/>
    <w:rsid w:val="007D3594"/>
    <w:rsid w:val="007D3930"/>
    <w:rsid w:val="007D3CFE"/>
    <w:rsid w:val="007D487A"/>
    <w:rsid w:val="007D6481"/>
    <w:rsid w:val="007D67CD"/>
    <w:rsid w:val="007D7373"/>
    <w:rsid w:val="007E091C"/>
    <w:rsid w:val="007E10E5"/>
    <w:rsid w:val="007E10FE"/>
    <w:rsid w:val="007E14E0"/>
    <w:rsid w:val="007E1B79"/>
    <w:rsid w:val="007E1F28"/>
    <w:rsid w:val="007E336F"/>
    <w:rsid w:val="007E34E3"/>
    <w:rsid w:val="007E3E5D"/>
    <w:rsid w:val="007E4006"/>
    <w:rsid w:val="007E77D6"/>
    <w:rsid w:val="007F0355"/>
    <w:rsid w:val="007F12A9"/>
    <w:rsid w:val="007F16EA"/>
    <w:rsid w:val="007F1E94"/>
    <w:rsid w:val="007F2334"/>
    <w:rsid w:val="007F32CE"/>
    <w:rsid w:val="007F4392"/>
    <w:rsid w:val="007F4413"/>
    <w:rsid w:val="007F5053"/>
    <w:rsid w:val="007F5894"/>
    <w:rsid w:val="007F5E76"/>
    <w:rsid w:val="007F61F3"/>
    <w:rsid w:val="007F65E6"/>
    <w:rsid w:val="007F705C"/>
    <w:rsid w:val="00801E02"/>
    <w:rsid w:val="0080255D"/>
    <w:rsid w:val="00805D79"/>
    <w:rsid w:val="00805E99"/>
    <w:rsid w:val="008069B8"/>
    <w:rsid w:val="00807557"/>
    <w:rsid w:val="00807765"/>
    <w:rsid w:val="00811614"/>
    <w:rsid w:val="008119DD"/>
    <w:rsid w:val="008136D8"/>
    <w:rsid w:val="008155EB"/>
    <w:rsid w:val="00815AD9"/>
    <w:rsid w:val="00815B3F"/>
    <w:rsid w:val="00820AA7"/>
    <w:rsid w:val="0082252F"/>
    <w:rsid w:val="00824249"/>
    <w:rsid w:val="00824B45"/>
    <w:rsid w:val="00824F90"/>
    <w:rsid w:val="0082555D"/>
    <w:rsid w:val="00826122"/>
    <w:rsid w:val="008266CD"/>
    <w:rsid w:val="00827085"/>
    <w:rsid w:val="00827C6F"/>
    <w:rsid w:val="0083027D"/>
    <w:rsid w:val="0083083D"/>
    <w:rsid w:val="00831A5F"/>
    <w:rsid w:val="008326CE"/>
    <w:rsid w:val="00833134"/>
    <w:rsid w:val="00833828"/>
    <w:rsid w:val="00833BF8"/>
    <w:rsid w:val="00833CE0"/>
    <w:rsid w:val="00833E18"/>
    <w:rsid w:val="00834F28"/>
    <w:rsid w:val="0083591C"/>
    <w:rsid w:val="00835FD0"/>
    <w:rsid w:val="0083613B"/>
    <w:rsid w:val="00836180"/>
    <w:rsid w:val="008368D5"/>
    <w:rsid w:val="00836D76"/>
    <w:rsid w:val="00837D4F"/>
    <w:rsid w:val="00840E80"/>
    <w:rsid w:val="008420F6"/>
    <w:rsid w:val="008435B0"/>
    <w:rsid w:val="0084450D"/>
    <w:rsid w:val="008447AE"/>
    <w:rsid w:val="00844C48"/>
    <w:rsid w:val="0084501B"/>
    <w:rsid w:val="00846578"/>
    <w:rsid w:val="008465A3"/>
    <w:rsid w:val="0084785E"/>
    <w:rsid w:val="00850222"/>
    <w:rsid w:val="00850C9C"/>
    <w:rsid w:val="008519DD"/>
    <w:rsid w:val="00852236"/>
    <w:rsid w:val="008530FF"/>
    <w:rsid w:val="00853B14"/>
    <w:rsid w:val="00854164"/>
    <w:rsid w:val="0085509E"/>
    <w:rsid w:val="00855D24"/>
    <w:rsid w:val="00861044"/>
    <w:rsid w:val="00862047"/>
    <w:rsid w:val="00862B22"/>
    <w:rsid w:val="00862C61"/>
    <w:rsid w:val="00864146"/>
    <w:rsid w:val="0086492A"/>
    <w:rsid w:val="00865872"/>
    <w:rsid w:val="008666E6"/>
    <w:rsid w:val="00866989"/>
    <w:rsid w:val="00867455"/>
    <w:rsid w:val="00867ACC"/>
    <w:rsid w:val="00870F6D"/>
    <w:rsid w:val="0087218C"/>
    <w:rsid w:val="00873213"/>
    <w:rsid w:val="00873772"/>
    <w:rsid w:val="00873AB2"/>
    <w:rsid w:val="00874A34"/>
    <w:rsid w:val="008773CA"/>
    <w:rsid w:val="00880A7C"/>
    <w:rsid w:val="0088407A"/>
    <w:rsid w:val="00884BE0"/>
    <w:rsid w:val="00886156"/>
    <w:rsid w:val="00886647"/>
    <w:rsid w:val="008867A6"/>
    <w:rsid w:val="00886AAA"/>
    <w:rsid w:val="0088774A"/>
    <w:rsid w:val="008900A4"/>
    <w:rsid w:val="00891E07"/>
    <w:rsid w:val="008925CE"/>
    <w:rsid w:val="00893125"/>
    <w:rsid w:val="00893552"/>
    <w:rsid w:val="00893B7F"/>
    <w:rsid w:val="008944C1"/>
    <w:rsid w:val="00896B08"/>
    <w:rsid w:val="00896F7E"/>
    <w:rsid w:val="00897808"/>
    <w:rsid w:val="008A25B9"/>
    <w:rsid w:val="008A3B26"/>
    <w:rsid w:val="008A3B91"/>
    <w:rsid w:val="008A4045"/>
    <w:rsid w:val="008A57D1"/>
    <w:rsid w:val="008A5B91"/>
    <w:rsid w:val="008A5CBE"/>
    <w:rsid w:val="008A5EAD"/>
    <w:rsid w:val="008A60F1"/>
    <w:rsid w:val="008A7577"/>
    <w:rsid w:val="008B08DC"/>
    <w:rsid w:val="008B12DE"/>
    <w:rsid w:val="008B163E"/>
    <w:rsid w:val="008B2414"/>
    <w:rsid w:val="008B38D2"/>
    <w:rsid w:val="008B48CE"/>
    <w:rsid w:val="008B51FF"/>
    <w:rsid w:val="008C12B9"/>
    <w:rsid w:val="008C164B"/>
    <w:rsid w:val="008C2EFF"/>
    <w:rsid w:val="008C3644"/>
    <w:rsid w:val="008C3DF0"/>
    <w:rsid w:val="008C478F"/>
    <w:rsid w:val="008C5CB6"/>
    <w:rsid w:val="008C5DE8"/>
    <w:rsid w:val="008C6087"/>
    <w:rsid w:val="008C650E"/>
    <w:rsid w:val="008C7161"/>
    <w:rsid w:val="008C7768"/>
    <w:rsid w:val="008C7E35"/>
    <w:rsid w:val="008D354C"/>
    <w:rsid w:val="008D3A0C"/>
    <w:rsid w:val="008D3ACA"/>
    <w:rsid w:val="008D4037"/>
    <w:rsid w:val="008D4303"/>
    <w:rsid w:val="008D45B7"/>
    <w:rsid w:val="008D580C"/>
    <w:rsid w:val="008D6444"/>
    <w:rsid w:val="008D710A"/>
    <w:rsid w:val="008E044A"/>
    <w:rsid w:val="008E06E7"/>
    <w:rsid w:val="008E091E"/>
    <w:rsid w:val="008E2574"/>
    <w:rsid w:val="008E2B72"/>
    <w:rsid w:val="008E3240"/>
    <w:rsid w:val="008E4AB0"/>
    <w:rsid w:val="008E52B3"/>
    <w:rsid w:val="008E5A13"/>
    <w:rsid w:val="008E6A6C"/>
    <w:rsid w:val="008E762A"/>
    <w:rsid w:val="008E79A6"/>
    <w:rsid w:val="008F18D8"/>
    <w:rsid w:val="008F1E01"/>
    <w:rsid w:val="008F2DAC"/>
    <w:rsid w:val="008F4C4B"/>
    <w:rsid w:val="008F4C75"/>
    <w:rsid w:val="008F524D"/>
    <w:rsid w:val="008F5CDB"/>
    <w:rsid w:val="008F772A"/>
    <w:rsid w:val="008F7F9E"/>
    <w:rsid w:val="009020A3"/>
    <w:rsid w:val="00902842"/>
    <w:rsid w:val="00903871"/>
    <w:rsid w:val="00904BE5"/>
    <w:rsid w:val="00906AD5"/>
    <w:rsid w:val="00907B4F"/>
    <w:rsid w:val="00910154"/>
    <w:rsid w:val="00911543"/>
    <w:rsid w:val="00911EA9"/>
    <w:rsid w:val="009120F4"/>
    <w:rsid w:val="009123BD"/>
    <w:rsid w:val="0091311D"/>
    <w:rsid w:val="0091399B"/>
    <w:rsid w:val="00913BA5"/>
    <w:rsid w:val="009142E9"/>
    <w:rsid w:val="0091441C"/>
    <w:rsid w:val="009152EC"/>
    <w:rsid w:val="00915839"/>
    <w:rsid w:val="009158A6"/>
    <w:rsid w:val="00915BF7"/>
    <w:rsid w:val="0091757C"/>
    <w:rsid w:val="00921630"/>
    <w:rsid w:val="00922F62"/>
    <w:rsid w:val="009235DF"/>
    <w:rsid w:val="00924091"/>
    <w:rsid w:val="009259FC"/>
    <w:rsid w:val="00925DB5"/>
    <w:rsid w:val="00925F6D"/>
    <w:rsid w:val="0092626F"/>
    <w:rsid w:val="0092731B"/>
    <w:rsid w:val="009276BB"/>
    <w:rsid w:val="0092793D"/>
    <w:rsid w:val="009302D1"/>
    <w:rsid w:val="0093372A"/>
    <w:rsid w:val="00933DE9"/>
    <w:rsid w:val="009341A7"/>
    <w:rsid w:val="009348DB"/>
    <w:rsid w:val="00937731"/>
    <w:rsid w:val="00940ABD"/>
    <w:rsid w:val="00940B1F"/>
    <w:rsid w:val="009438E4"/>
    <w:rsid w:val="00943A23"/>
    <w:rsid w:val="00944D09"/>
    <w:rsid w:val="009462AA"/>
    <w:rsid w:val="0094674C"/>
    <w:rsid w:val="0094741D"/>
    <w:rsid w:val="009475FC"/>
    <w:rsid w:val="00947863"/>
    <w:rsid w:val="009514A8"/>
    <w:rsid w:val="009515A7"/>
    <w:rsid w:val="0095164F"/>
    <w:rsid w:val="00951775"/>
    <w:rsid w:val="009520A9"/>
    <w:rsid w:val="00952580"/>
    <w:rsid w:val="0095266B"/>
    <w:rsid w:val="00952A2F"/>
    <w:rsid w:val="0095393A"/>
    <w:rsid w:val="00954A46"/>
    <w:rsid w:val="009613E8"/>
    <w:rsid w:val="00962CC9"/>
    <w:rsid w:val="00963498"/>
    <w:rsid w:val="00964C8D"/>
    <w:rsid w:val="00965D1A"/>
    <w:rsid w:val="00965DFA"/>
    <w:rsid w:val="00966437"/>
    <w:rsid w:val="0096653C"/>
    <w:rsid w:val="009666B9"/>
    <w:rsid w:val="00966FED"/>
    <w:rsid w:val="00967BD3"/>
    <w:rsid w:val="00970AFB"/>
    <w:rsid w:val="00970D5A"/>
    <w:rsid w:val="00971AE3"/>
    <w:rsid w:val="00971BF5"/>
    <w:rsid w:val="00971D1A"/>
    <w:rsid w:val="0097207B"/>
    <w:rsid w:val="00972E30"/>
    <w:rsid w:val="00972F01"/>
    <w:rsid w:val="0097310A"/>
    <w:rsid w:val="00973D95"/>
    <w:rsid w:val="009745E0"/>
    <w:rsid w:val="00974DB8"/>
    <w:rsid w:val="00974E84"/>
    <w:rsid w:val="009759E9"/>
    <w:rsid w:val="00975AC3"/>
    <w:rsid w:val="0097624F"/>
    <w:rsid w:val="00976CB2"/>
    <w:rsid w:val="009804C9"/>
    <w:rsid w:val="0098059C"/>
    <w:rsid w:val="009805B9"/>
    <w:rsid w:val="00980F13"/>
    <w:rsid w:val="009813ED"/>
    <w:rsid w:val="00981B88"/>
    <w:rsid w:val="00982379"/>
    <w:rsid w:val="00983102"/>
    <w:rsid w:val="00985BA6"/>
    <w:rsid w:val="009864B6"/>
    <w:rsid w:val="00986A33"/>
    <w:rsid w:val="00987E05"/>
    <w:rsid w:val="0099259F"/>
    <w:rsid w:val="009929F8"/>
    <w:rsid w:val="00994B32"/>
    <w:rsid w:val="009A09BA"/>
    <w:rsid w:val="009A0B2F"/>
    <w:rsid w:val="009A1F65"/>
    <w:rsid w:val="009A5177"/>
    <w:rsid w:val="009B024B"/>
    <w:rsid w:val="009B14D4"/>
    <w:rsid w:val="009B14D5"/>
    <w:rsid w:val="009B15AE"/>
    <w:rsid w:val="009B27BA"/>
    <w:rsid w:val="009B34FA"/>
    <w:rsid w:val="009B3945"/>
    <w:rsid w:val="009B4141"/>
    <w:rsid w:val="009B4571"/>
    <w:rsid w:val="009B6AED"/>
    <w:rsid w:val="009C1241"/>
    <w:rsid w:val="009C24DF"/>
    <w:rsid w:val="009C2D0E"/>
    <w:rsid w:val="009C542E"/>
    <w:rsid w:val="009C577D"/>
    <w:rsid w:val="009C5A19"/>
    <w:rsid w:val="009C5F55"/>
    <w:rsid w:val="009C68D2"/>
    <w:rsid w:val="009C6C3F"/>
    <w:rsid w:val="009C6FD5"/>
    <w:rsid w:val="009C78CF"/>
    <w:rsid w:val="009D2259"/>
    <w:rsid w:val="009D22D8"/>
    <w:rsid w:val="009D22FD"/>
    <w:rsid w:val="009D2FF1"/>
    <w:rsid w:val="009D5DE7"/>
    <w:rsid w:val="009D6067"/>
    <w:rsid w:val="009E0913"/>
    <w:rsid w:val="009E0F19"/>
    <w:rsid w:val="009E1716"/>
    <w:rsid w:val="009E180C"/>
    <w:rsid w:val="009E1B85"/>
    <w:rsid w:val="009E1E96"/>
    <w:rsid w:val="009E54B2"/>
    <w:rsid w:val="009E6D6C"/>
    <w:rsid w:val="009E6FBB"/>
    <w:rsid w:val="009E7A40"/>
    <w:rsid w:val="009F00E3"/>
    <w:rsid w:val="009F159F"/>
    <w:rsid w:val="009F26AF"/>
    <w:rsid w:val="009F2B6F"/>
    <w:rsid w:val="009F47C1"/>
    <w:rsid w:val="009F5437"/>
    <w:rsid w:val="009F6426"/>
    <w:rsid w:val="009F64B0"/>
    <w:rsid w:val="009F7C3A"/>
    <w:rsid w:val="009F7E57"/>
    <w:rsid w:val="00A00B07"/>
    <w:rsid w:val="00A029D2"/>
    <w:rsid w:val="00A02D14"/>
    <w:rsid w:val="00A03CA0"/>
    <w:rsid w:val="00A04076"/>
    <w:rsid w:val="00A04948"/>
    <w:rsid w:val="00A04FA6"/>
    <w:rsid w:val="00A051FA"/>
    <w:rsid w:val="00A05960"/>
    <w:rsid w:val="00A060EC"/>
    <w:rsid w:val="00A06174"/>
    <w:rsid w:val="00A06257"/>
    <w:rsid w:val="00A07954"/>
    <w:rsid w:val="00A108C9"/>
    <w:rsid w:val="00A10D6D"/>
    <w:rsid w:val="00A11594"/>
    <w:rsid w:val="00A1263D"/>
    <w:rsid w:val="00A12B09"/>
    <w:rsid w:val="00A12BCB"/>
    <w:rsid w:val="00A14214"/>
    <w:rsid w:val="00A14737"/>
    <w:rsid w:val="00A16356"/>
    <w:rsid w:val="00A169FE"/>
    <w:rsid w:val="00A17F4C"/>
    <w:rsid w:val="00A2104E"/>
    <w:rsid w:val="00A211AF"/>
    <w:rsid w:val="00A2313A"/>
    <w:rsid w:val="00A231C9"/>
    <w:rsid w:val="00A234ED"/>
    <w:rsid w:val="00A266EE"/>
    <w:rsid w:val="00A26AF8"/>
    <w:rsid w:val="00A26BC9"/>
    <w:rsid w:val="00A26EE3"/>
    <w:rsid w:val="00A27B15"/>
    <w:rsid w:val="00A32505"/>
    <w:rsid w:val="00A34068"/>
    <w:rsid w:val="00A34185"/>
    <w:rsid w:val="00A355FE"/>
    <w:rsid w:val="00A35BB0"/>
    <w:rsid w:val="00A35E76"/>
    <w:rsid w:val="00A364D0"/>
    <w:rsid w:val="00A364FB"/>
    <w:rsid w:val="00A36531"/>
    <w:rsid w:val="00A411EF"/>
    <w:rsid w:val="00A4138E"/>
    <w:rsid w:val="00A416FF"/>
    <w:rsid w:val="00A41AAD"/>
    <w:rsid w:val="00A420C7"/>
    <w:rsid w:val="00A42B2C"/>
    <w:rsid w:val="00A4305D"/>
    <w:rsid w:val="00A431E9"/>
    <w:rsid w:val="00A4329A"/>
    <w:rsid w:val="00A45153"/>
    <w:rsid w:val="00A451B4"/>
    <w:rsid w:val="00A45387"/>
    <w:rsid w:val="00A45A47"/>
    <w:rsid w:val="00A46628"/>
    <w:rsid w:val="00A47C15"/>
    <w:rsid w:val="00A502BC"/>
    <w:rsid w:val="00A50C78"/>
    <w:rsid w:val="00A52935"/>
    <w:rsid w:val="00A5517F"/>
    <w:rsid w:val="00A563FD"/>
    <w:rsid w:val="00A61218"/>
    <w:rsid w:val="00A62148"/>
    <w:rsid w:val="00A62B42"/>
    <w:rsid w:val="00A63DE9"/>
    <w:rsid w:val="00A64BAB"/>
    <w:rsid w:val="00A66F41"/>
    <w:rsid w:val="00A67773"/>
    <w:rsid w:val="00A67CD1"/>
    <w:rsid w:val="00A70F94"/>
    <w:rsid w:val="00A714D3"/>
    <w:rsid w:val="00A71B37"/>
    <w:rsid w:val="00A721B5"/>
    <w:rsid w:val="00A721F9"/>
    <w:rsid w:val="00A72469"/>
    <w:rsid w:val="00A72CC0"/>
    <w:rsid w:val="00A733B9"/>
    <w:rsid w:val="00A740DB"/>
    <w:rsid w:val="00A7535B"/>
    <w:rsid w:val="00A75ADA"/>
    <w:rsid w:val="00A75ED1"/>
    <w:rsid w:val="00A76B0C"/>
    <w:rsid w:val="00A77377"/>
    <w:rsid w:val="00A827CA"/>
    <w:rsid w:val="00A8283B"/>
    <w:rsid w:val="00A84591"/>
    <w:rsid w:val="00A858B9"/>
    <w:rsid w:val="00A85CCB"/>
    <w:rsid w:val="00A85DF5"/>
    <w:rsid w:val="00A8744D"/>
    <w:rsid w:val="00A90ADE"/>
    <w:rsid w:val="00A91624"/>
    <w:rsid w:val="00A91C2D"/>
    <w:rsid w:val="00A92941"/>
    <w:rsid w:val="00A941CC"/>
    <w:rsid w:val="00A94A6A"/>
    <w:rsid w:val="00A94C7E"/>
    <w:rsid w:val="00A97011"/>
    <w:rsid w:val="00A97E1B"/>
    <w:rsid w:val="00AA047B"/>
    <w:rsid w:val="00AA1494"/>
    <w:rsid w:val="00AA3021"/>
    <w:rsid w:val="00AA3198"/>
    <w:rsid w:val="00AA40D2"/>
    <w:rsid w:val="00AA517C"/>
    <w:rsid w:val="00AA6257"/>
    <w:rsid w:val="00AA7867"/>
    <w:rsid w:val="00AB06D8"/>
    <w:rsid w:val="00AB236B"/>
    <w:rsid w:val="00AB365A"/>
    <w:rsid w:val="00AB4284"/>
    <w:rsid w:val="00AB4AB4"/>
    <w:rsid w:val="00AB5882"/>
    <w:rsid w:val="00AB7B04"/>
    <w:rsid w:val="00AB7B33"/>
    <w:rsid w:val="00AC1819"/>
    <w:rsid w:val="00AC4492"/>
    <w:rsid w:val="00AC55A3"/>
    <w:rsid w:val="00AC65C0"/>
    <w:rsid w:val="00AC790E"/>
    <w:rsid w:val="00AD01AE"/>
    <w:rsid w:val="00AD106F"/>
    <w:rsid w:val="00AD4255"/>
    <w:rsid w:val="00AD4838"/>
    <w:rsid w:val="00AD4AA5"/>
    <w:rsid w:val="00AD4E55"/>
    <w:rsid w:val="00AD52A4"/>
    <w:rsid w:val="00AD6259"/>
    <w:rsid w:val="00AD6D6C"/>
    <w:rsid w:val="00AE08D6"/>
    <w:rsid w:val="00AE1E07"/>
    <w:rsid w:val="00AE313D"/>
    <w:rsid w:val="00AE3AF1"/>
    <w:rsid w:val="00AE46B1"/>
    <w:rsid w:val="00AE60A4"/>
    <w:rsid w:val="00AE6929"/>
    <w:rsid w:val="00AE6AB9"/>
    <w:rsid w:val="00AF046B"/>
    <w:rsid w:val="00AF16B3"/>
    <w:rsid w:val="00AF1F0E"/>
    <w:rsid w:val="00AF23BC"/>
    <w:rsid w:val="00AF3072"/>
    <w:rsid w:val="00AF3FD5"/>
    <w:rsid w:val="00AF4AEC"/>
    <w:rsid w:val="00AF4DC9"/>
    <w:rsid w:val="00AF62D9"/>
    <w:rsid w:val="00AF6F64"/>
    <w:rsid w:val="00AF707C"/>
    <w:rsid w:val="00AF71D5"/>
    <w:rsid w:val="00B00354"/>
    <w:rsid w:val="00B0131E"/>
    <w:rsid w:val="00B0247E"/>
    <w:rsid w:val="00B02F00"/>
    <w:rsid w:val="00B0324A"/>
    <w:rsid w:val="00B035E4"/>
    <w:rsid w:val="00B03C0F"/>
    <w:rsid w:val="00B04345"/>
    <w:rsid w:val="00B04965"/>
    <w:rsid w:val="00B05267"/>
    <w:rsid w:val="00B0554F"/>
    <w:rsid w:val="00B0650F"/>
    <w:rsid w:val="00B079DD"/>
    <w:rsid w:val="00B100EF"/>
    <w:rsid w:val="00B10519"/>
    <w:rsid w:val="00B10703"/>
    <w:rsid w:val="00B12490"/>
    <w:rsid w:val="00B13337"/>
    <w:rsid w:val="00B13379"/>
    <w:rsid w:val="00B135DC"/>
    <w:rsid w:val="00B14E1F"/>
    <w:rsid w:val="00B157B4"/>
    <w:rsid w:val="00B15A6E"/>
    <w:rsid w:val="00B15D92"/>
    <w:rsid w:val="00B161AC"/>
    <w:rsid w:val="00B17DB3"/>
    <w:rsid w:val="00B21CEC"/>
    <w:rsid w:val="00B226D1"/>
    <w:rsid w:val="00B2276E"/>
    <w:rsid w:val="00B23772"/>
    <w:rsid w:val="00B238E3"/>
    <w:rsid w:val="00B23982"/>
    <w:rsid w:val="00B2429E"/>
    <w:rsid w:val="00B267B0"/>
    <w:rsid w:val="00B26C9D"/>
    <w:rsid w:val="00B30202"/>
    <w:rsid w:val="00B30819"/>
    <w:rsid w:val="00B309A2"/>
    <w:rsid w:val="00B313B4"/>
    <w:rsid w:val="00B322B3"/>
    <w:rsid w:val="00B32B85"/>
    <w:rsid w:val="00B336C6"/>
    <w:rsid w:val="00B348B3"/>
    <w:rsid w:val="00B37AD2"/>
    <w:rsid w:val="00B40B7F"/>
    <w:rsid w:val="00B40DF8"/>
    <w:rsid w:val="00B4268C"/>
    <w:rsid w:val="00B427F9"/>
    <w:rsid w:val="00B42D35"/>
    <w:rsid w:val="00B43868"/>
    <w:rsid w:val="00B443A8"/>
    <w:rsid w:val="00B44779"/>
    <w:rsid w:val="00B45C53"/>
    <w:rsid w:val="00B47BFD"/>
    <w:rsid w:val="00B47DCA"/>
    <w:rsid w:val="00B50073"/>
    <w:rsid w:val="00B504D4"/>
    <w:rsid w:val="00B50592"/>
    <w:rsid w:val="00B52B37"/>
    <w:rsid w:val="00B53AF6"/>
    <w:rsid w:val="00B53CF9"/>
    <w:rsid w:val="00B5541C"/>
    <w:rsid w:val="00B57678"/>
    <w:rsid w:val="00B5792F"/>
    <w:rsid w:val="00B60697"/>
    <w:rsid w:val="00B625FD"/>
    <w:rsid w:val="00B63383"/>
    <w:rsid w:val="00B65BAF"/>
    <w:rsid w:val="00B66F09"/>
    <w:rsid w:val="00B67D8F"/>
    <w:rsid w:val="00B707BD"/>
    <w:rsid w:val="00B70C58"/>
    <w:rsid w:val="00B72515"/>
    <w:rsid w:val="00B74726"/>
    <w:rsid w:val="00B752B4"/>
    <w:rsid w:val="00B75A30"/>
    <w:rsid w:val="00B76F4B"/>
    <w:rsid w:val="00B77361"/>
    <w:rsid w:val="00B82824"/>
    <w:rsid w:val="00B828FA"/>
    <w:rsid w:val="00B832D1"/>
    <w:rsid w:val="00B83C6C"/>
    <w:rsid w:val="00B8503C"/>
    <w:rsid w:val="00B850AE"/>
    <w:rsid w:val="00B865F5"/>
    <w:rsid w:val="00B86A9D"/>
    <w:rsid w:val="00B87E91"/>
    <w:rsid w:val="00B90375"/>
    <w:rsid w:val="00B90875"/>
    <w:rsid w:val="00B90D58"/>
    <w:rsid w:val="00B918FD"/>
    <w:rsid w:val="00B92A38"/>
    <w:rsid w:val="00B92E80"/>
    <w:rsid w:val="00B9307E"/>
    <w:rsid w:val="00B931D9"/>
    <w:rsid w:val="00B9350A"/>
    <w:rsid w:val="00B93593"/>
    <w:rsid w:val="00B93675"/>
    <w:rsid w:val="00B960FC"/>
    <w:rsid w:val="00B96353"/>
    <w:rsid w:val="00B9644D"/>
    <w:rsid w:val="00B96E22"/>
    <w:rsid w:val="00B96E7B"/>
    <w:rsid w:val="00BA0459"/>
    <w:rsid w:val="00BA07BD"/>
    <w:rsid w:val="00BA2159"/>
    <w:rsid w:val="00BA278D"/>
    <w:rsid w:val="00BA319B"/>
    <w:rsid w:val="00BA5444"/>
    <w:rsid w:val="00BA69BF"/>
    <w:rsid w:val="00BA6EFB"/>
    <w:rsid w:val="00BA70F1"/>
    <w:rsid w:val="00BA798E"/>
    <w:rsid w:val="00BA7F7C"/>
    <w:rsid w:val="00BB09DC"/>
    <w:rsid w:val="00BB2A6B"/>
    <w:rsid w:val="00BB3EA5"/>
    <w:rsid w:val="00BB4588"/>
    <w:rsid w:val="00BB4D44"/>
    <w:rsid w:val="00BB545A"/>
    <w:rsid w:val="00BB5C98"/>
    <w:rsid w:val="00BB600A"/>
    <w:rsid w:val="00BB7DD6"/>
    <w:rsid w:val="00BC052F"/>
    <w:rsid w:val="00BC077C"/>
    <w:rsid w:val="00BC086A"/>
    <w:rsid w:val="00BC09E4"/>
    <w:rsid w:val="00BC162D"/>
    <w:rsid w:val="00BC213D"/>
    <w:rsid w:val="00BC23EF"/>
    <w:rsid w:val="00BC2538"/>
    <w:rsid w:val="00BC2C95"/>
    <w:rsid w:val="00BC2D3C"/>
    <w:rsid w:val="00BC36BD"/>
    <w:rsid w:val="00BC3F72"/>
    <w:rsid w:val="00BD0934"/>
    <w:rsid w:val="00BD22E6"/>
    <w:rsid w:val="00BD2A0D"/>
    <w:rsid w:val="00BD2F56"/>
    <w:rsid w:val="00BD3C34"/>
    <w:rsid w:val="00BD4DB0"/>
    <w:rsid w:val="00BD554E"/>
    <w:rsid w:val="00BD62EF"/>
    <w:rsid w:val="00BD6660"/>
    <w:rsid w:val="00BD73F8"/>
    <w:rsid w:val="00BE0573"/>
    <w:rsid w:val="00BE05D1"/>
    <w:rsid w:val="00BE0939"/>
    <w:rsid w:val="00BE2001"/>
    <w:rsid w:val="00BE34AB"/>
    <w:rsid w:val="00BE3516"/>
    <w:rsid w:val="00BE3E46"/>
    <w:rsid w:val="00BE44BD"/>
    <w:rsid w:val="00BE4761"/>
    <w:rsid w:val="00BE5400"/>
    <w:rsid w:val="00BE6ACE"/>
    <w:rsid w:val="00BF0FA8"/>
    <w:rsid w:val="00BF47B4"/>
    <w:rsid w:val="00BF50F5"/>
    <w:rsid w:val="00BF752D"/>
    <w:rsid w:val="00BF7B5F"/>
    <w:rsid w:val="00C01220"/>
    <w:rsid w:val="00C05DBC"/>
    <w:rsid w:val="00C06539"/>
    <w:rsid w:val="00C06EFC"/>
    <w:rsid w:val="00C07C32"/>
    <w:rsid w:val="00C11941"/>
    <w:rsid w:val="00C12383"/>
    <w:rsid w:val="00C124C2"/>
    <w:rsid w:val="00C138BB"/>
    <w:rsid w:val="00C148E2"/>
    <w:rsid w:val="00C1499F"/>
    <w:rsid w:val="00C1501D"/>
    <w:rsid w:val="00C20611"/>
    <w:rsid w:val="00C210A3"/>
    <w:rsid w:val="00C210BA"/>
    <w:rsid w:val="00C220F1"/>
    <w:rsid w:val="00C244D2"/>
    <w:rsid w:val="00C246F1"/>
    <w:rsid w:val="00C302FB"/>
    <w:rsid w:val="00C30B7B"/>
    <w:rsid w:val="00C31124"/>
    <w:rsid w:val="00C3200F"/>
    <w:rsid w:val="00C3377D"/>
    <w:rsid w:val="00C339BC"/>
    <w:rsid w:val="00C34CDF"/>
    <w:rsid w:val="00C34D71"/>
    <w:rsid w:val="00C36DAA"/>
    <w:rsid w:val="00C36E17"/>
    <w:rsid w:val="00C40193"/>
    <w:rsid w:val="00C40408"/>
    <w:rsid w:val="00C40420"/>
    <w:rsid w:val="00C405AF"/>
    <w:rsid w:val="00C40826"/>
    <w:rsid w:val="00C41128"/>
    <w:rsid w:val="00C41817"/>
    <w:rsid w:val="00C425E6"/>
    <w:rsid w:val="00C44D6A"/>
    <w:rsid w:val="00C44E33"/>
    <w:rsid w:val="00C45713"/>
    <w:rsid w:val="00C45AE6"/>
    <w:rsid w:val="00C462E7"/>
    <w:rsid w:val="00C46FA0"/>
    <w:rsid w:val="00C5019F"/>
    <w:rsid w:val="00C507B2"/>
    <w:rsid w:val="00C50F14"/>
    <w:rsid w:val="00C51700"/>
    <w:rsid w:val="00C5191A"/>
    <w:rsid w:val="00C52465"/>
    <w:rsid w:val="00C53623"/>
    <w:rsid w:val="00C53DDC"/>
    <w:rsid w:val="00C54D80"/>
    <w:rsid w:val="00C60923"/>
    <w:rsid w:val="00C60DE1"/>
    <w:rsid w:val="00C61419"/>
    <w:rsid w:val="00C6164F"/>
    <w:rsid w:val="00C63C45"/>
    <w:rsid w:val="00C644A2"/>
    <w:rsid w:val="00C644B2"/>
    <w:rsid w:val="00C644C4"/>
    <w:rsid w:val="00C675B2"/>
    <w:rsid w:val="00C70B43"/>
    <w:rsid w:val="00C70BA3"/>
    <w:rsid w:val="00C712FC"/>
    <w:rsid w:val="00C719D2"/>
    <w:rsid w:val="00C7305B"/>
    <w:rsid w:val="00C734C7"/>
    <w:rsid w:val="00C73F33"/>
    <w:rsid w:val="00C74D52"/>
    <w:rsid w:val="00C764CA"/>
    <w:rsid w:val="00C772F5"/>
    <w:rsid w:val="00C8044B"/>
    <w:rsid w:val="00C806DE"/>
    <w:rsid w:val="00C817B8"/>
    <w:rsid w:val="00C81BF4"/>
    <w:rsid w:val="00C82114"/>
    <w:rsid w:val="00C83FD2"/>
    <w:rsid w:val="00C84086"/>
    <w:rsid w:val="00C84632"/>
    <w:rsid w:val="00C849FF"/>
    <w:rsid w:val="00C859FD"/>
    <w:rsid w:val="00C86DED"/>
    <w:rsid w:val="00C875FC"/>
    <w:rsid w:val="00C8771E"/>
    <w:rsid w:val="00C918D6"/>
    <w:rsid w:val="00C92D99"/>
    <w:rsid w:val="00C92DD3"/>
    <w:rsid w:val="00C92E09"/>
    <w:rsid w:val="00C9304F"/>
    <w:rsid w:val="00C932D9"/>
    <w:rsid w:val="00C94FBA"/>
    <w:rsid w:val="00C95399"/>
    <w:rsid w:val="00C95D2B"/>
    <w:rsid w:val="00C96AE1"/>
    <w:rsid w:val="00C97DD9"/>
    <w:rsid w:val="00CA0A42"/>
    <w:rsid w:val="00CA0EDF"/>
    <w:rsid w:val="00CA1747"/>
    <w:rsid w:val="00CA3FEB"/>
    <w:rsid w:val="00CA42B1"/>
    <w:rsid w:val="00CA4747"/>
    <w:rsid w:val="00CA538C"/>
    <w:rsid w:val="00CA724F"/>
    <w:rsid w:val="00CA7C58"/>
    <w:rsid w:val="00CB15DA"/>
    <w:rsid w:val="00CB1E7F"/>
    <w:rsid w:val="00CB2FBC"/>
    <w:rsid w:val="00CB37C7"/>
    <w:rsid w:val="00CB4B85"/>
    <w:rsid w:val="00CB5532"/>
    <w:rsid w:val="00CB5AE7"/>
    <w:rsid w:val="00CB62DD"/>
    <w:rsid w:val="00CB669F"/>
    <w:rsid w:val="00CB70F9"/>
    <w:rsid w:val="00CB79E9"/>
    <w:rsid w:val="00CC0CB8"/>
    <w:rsid w:val="00CC2F8D"/>
    <w:rsid w:val="00CC3283"/>
    <w:rsid w:val="00CC3A9E"/>
    <w:rsid w:val="00CC4834"/>
    <w:rsid w:val="00CC4A4D"/>
    <w:rsid w:val="00CC6DA4"/>
    <w:rsid w:val="00CC73FA"/>
    <w:rsid w:val="00CC7EFB"/>
    <w:rsid w:val="00CD0AF3"/>
    <w:rsid w:val="00CD17CF"/>
    <w:rsid w:val="00CD2298"/>
    <w:rsid w:val="00CD5370"/>
    <w:rsid w:val="00CD5742"/>
    <w:rsid w:val="00CE107C"/>
    <w:rsid w:val="00CE1E21"/>
    <w:rsid w:val="00CE2D7C"/>
    <w:rsid w:val="00CE3685"/>
    <w:rsid w:val="00CE4101"/>
    <w:rsid w:val="00CE4281"/>
    <w:rsid w:val="00CE4F28"/>
    <w:rsid w:val="00CE6016"/>
    <w:rsid w:val="00CE691F"/>
    <w:rsid w:val="00CE692F"/>
    <w:rsid w:val="00CE74D5"/>
    <w:rsid w:val="00CE79D4"/>
    <w:rsid w:val="00CF12F4"/>
    <w:rsid w:val="00CF24D6"/>
    <w:rsid w:val="00CF30DC"/>
    <w:rsid w:val="00CF41DC"/>
    <w:rsid w:val="00CF43C9"/>
    <w:rsid w:val="00CF5560"/>
    <w:rsid w:val="00CF5805"/>
    <w:rsid w:val="00CF7329"/>
    <w:rsid w:val="00CF74DA"/>
    <w:rsid w:val="00D00A01"/>
    <w:rsid w:val="00D019FA"/>
    <w:rsid w:val="00D01B01"/>
    <w:rsid w:val="00D02309"/>
    <w:rsid w:val="00D02E16"/>
    <w:rsid w:val="00D02E69"/>
    <w:rsid w:val="00D03C0A"/>
    <w:rsid w:val="00D04A96"/>
    <w:rsid w:val="00D04B8A"/>
    <w:rsid w:val="00D07223"/>
    <w:rsid w:val="00D10D8A"/>
    <w:rsid w:val="00D10DC5"/>
    <w:rsid w:val="00D1294C"/>
    <w:rsid w:val="00D13E89"/>
    <w:rsid w:val="00D141AC"/>
    <w:rsid w:val="00D14913"/>
    <w:rsid w:val="00D14978"/>
    <w:rsid w:val="00D14EF5"/>
    <w:rsid w:val="00D1580E"/>
    <w:rsid w:val="00D166C5"/>
    <w:rsid w:val="00D17614"/>
    <w:rsid w:val="00D21267"/>
    <w:rsid w:val="00D21942"/>
    <w:rsid w:val="00D23209"/>
    <w:rsid w:val="00D24239"/>
    <w:rsid w:val="00D2444D"/>
    <w:rsid w:val="00D2485C"/>
    <w:rsid w:val="00D24913"/>
    <w:rsid w:val="00D25061"/>
    <w:rsid w:val="00D25305"/>
    <w:rsid w:val="00D25B4F"/>
    <w:rsid w:val="00D25BA4"/>
    <w:rsid w:val="00D26F4F"/>
    <w:rsid w:val="00D27567"/>
    <w:rsid w:val="00D27622"/>
    <w:rsid w:val="00D27AB1"/>
    <w:rsid w:val="00D30102"/>
    <w:rsid w:val="00D311EC"/>
    <w:rsid w:val="00D31592"/>
    <w:rsid w:val="00D316A6"/>
    <w:rsid w:val="00D31BC3"/>
    <w:rsid w:val="00D32AB1"/>
    <w:rsid w:val="00D33343"/>
    <w:rsid w:val="00D3453E"/>
    <w:rsid w:val="00D34A3F"/>
    <w:rsid w:val="00D37040"/>
    <w:rsid w:val="00D377AF"/>
    <w:rsid w:val="00D40783"/>
    <w:rsid w:val="00D40A02"/>
    <w:rsid w:val="00D420E8"/>
    <w:rsid w:val="00D42383"/>
    <w:rsid w:val="00D43582"/>
    <w:rsid w:val="00D435AE"/>
    <w:rsid w:val="00D43776"/>
    <w:rsid w:val="00D452F8"/>
    <w:rsid w:val="00D46C45"/>
    <w:rsid w:val="00D4707F"/>
    <w:rsid w:val="00D47155"/>
    <w:rsid w:val="00D471C4"/>
    <w:rsid w:val="00D50A70"/>
    <w:rsid w:val="00D5146D"/>
    <w:rsid w:val="00D51F2F"/>
    <w:rsid w:val="00D52F1C"/>
    <w:rsid w:val="00D53E5E"/>
    <w:rsid w:val="00D54B7F"/>
    <w:rsid w:val="00D55878"/>
    <w:rsid w:val="00D5601F"/>
    <w:rsid w:val="00D56060"/>
    <w:rsid w:val="00D56D6E"/>
    <w:rsid w:val="00D579C8"/>
    <w:rsid w:val="00D57C43"/>
    <w:rsid w:val="00D611D3"/>
    <w:rsid w:val="00D6143B"/>
    <w:rsid w:val="00D62BCA"/>
    <w:rsid w:val="00D63857"/>
    <w:rsid w:val="00D639A3"/>
    <w:rsid w:val="00D64EE8"/>
    <w:rsid w:val="00D66D20"/>
    <w:rsid w:val="00D66FF5"/>
    <w:rsid w:val="00D67262"/>
    <w:rsid w:val="00D7210F"/>
    <w:rsid w:val="00D725FF"/>
    <w:rsid w:val="00D72890"/>
    <w:rsid w:val="00D729AD"/>
    <w:rsid w:val="00D72E4B"/>
    <w:rsid w:val="00D733CD"/>
    <w:rsid w:val="00D73FE3"/>
    <w:rsid w:val="00D76328"/>
    <w:rsid w:val="00D808D4"/>
    <w:rsid w:val="00D81F60"/>
    <w:rsid w:val="00D81F6B"/>
    <w:rsid w:val="00D84EE9"/>
    <w:rsid w:val="00D850DF"/>
    <w:rsid w:val="00D856AA"/>
    <w:rsid w:val="00D86254"/>
    <w:rsid w:val="00D8715D"/>
    <w:rsid w:val="00D87192"/>
    <w:rsid w:val="00D8773F"/>
    <w:rsid w:val="00D87D37"/>
    <w:rsid w:val="00D901D3"/>
    <w:rsid w:val="00D9079B"/>
    <w:rsid w:val="00D907BD"/>
    <w:rsid w:val="00D9167F"/>
    <w:rsid w:val="00D91C24"/>
    <w:rsid w:val="00D91EDE"/>
    <w:rsid w:val="00D91F97"/>
    <w:rsid w:val="00D933AE"/>
    <w:rsid w:val="00D953BB"/>
    <w:rsid w:val="00D959AE"/>
    <w:rsid w:val="00D96AC2"/>
    <w:rsid w:val="00D97E79"/>
    <w:rsid w:val="00DA0154"/>
    <w:rsid w:val="00DA14D8"/>
    <w:rsid w:val="00DA2125"/>
    <w:rsid w:val="00DA30D5"/>
    <w:rsid w:val="00DA3524"/>
    <w:rsid w:val="00DA40B4"/>
    <w:rsid w:val="00DA5A96"/>
    <w:rsid w:val="00DA6362"/>
    <w:rsid w:val="00DA6FE0"/>
    <w:rsid w:val="00DA7E00"/>
    <w:rsid w:val="00DB0CE4"/>
    <w:rsid w:val="00DB0FBB"/>
    <w:rsid w:val="00DB10CE"/>
    <w:rsid w:val="00DB18D6"/>
    <w:rsid w:val="00DB5AB0"/>
    <w:rsid w:val="00DB5B8A"/>
    <w:rsid w:val="00DB6D16"/>
    <w:rsid w:val="00DB7005"/>
    <w:rsid w:val="00DC0FAC"/>
    <w:rsid w:val="00DC1530"/>
    <w:rsid w:val="00DC1581"/>
    <w:rsid w:val="00DC345C"/>
    <w:rsid w:val="00DC373D"/>
    <w:rsid w:val="00DC380B"/>
    <w:rsid w:val="00DC4D49"/>
    <w:rsid w:val="00DC55BE"/>
    <w:rsid w:val="00DC685C"/>
    <w:rsid w:val="00DC7038"/>
    <w:rsid w:val="00DC73D3"/>
    <w:rsid w:val="00DC79B8"/>
    <w:rsid w:val="00DD1B56"/>
    <w:rsid w:val="00DD2270"/>
    <w:rsid w:val="00DD2BA4"/>
    <w:rsid w:val="00DD5108"/>
    <w:rsid w:val="00DD5BB2"/>
    <w:rsid w:val="00DD6398"/>
    <w:rsid w:val="00DD7C51"/>
    <w:rsid w:val="00DE07B2"/>
    <w:rsid w:val="00DE0F4C"/>
    <w:rsid w:val="00DE102F"/>
    <w:rsid w:val="00DE1AA4"/>
    <w:rsid w:val="00DE30EE"/>
    <w:rsid w:val="00DE53FF"/>
    <w:rsid w:val="00DE5A22"/>
    <w:rsid w:val="00DE5E47"/>
    <w:rsid w:val="00DE6F4B"/>
    <w:rsid w:val="00DE784E"/>
    <w:rsid w:val="00DE7C1B"/>
    <w:rsid w:val="00DF0157"/>
    <w:rsid w:val="00DF2FCC"/>
    <w:rsid w:val="00DF391C"/>
    <w:rsid w:val="00DF56D2"/>
    <w:rsid w:val="00DF6FCF"/>
    <w:rsid w:val="00DF733F"/>
    <w:rsid w:val="00DF760D"/>
    <w:rsid w:val="00E019C4"/>
    <w:rsid w:val="00E02113"/>
    <w:rsid w:val="00E02659"/>
    <w:rsid w:val="00E02F78"/>
    <w:rsid w:val="00E03DBC"/>
    <w:rsid w:val="00E04721"/>
    <w:rsid w:val="00E04983"/>
    <w:rsid w:val="00E0587D"/>
    <w:rsid w:val="00E060B6"/>
    <w:rsid w:val="00E06367"/>
    <w:rsid w:val="00E07A65"/>
    <w:rsid w:val="00E10631"/>
    <w:rsid w:val="00E119F7"/>
    <w:rsid w:val="00E12E49"/>
    <w:rsid w:val="00E130EE"/>
    <w:rsid w:val="00E13142"/>
    <w:rsid w:val="00E16139"/>
    <w:rsid w:val="00E16607"/>
    <w:rsid w:val="00E17A35"/>
    <w:rsid w:val="00E17DED"/>
    <w:rsid w:val="00E20139"/>
    <w:rsid w:val="00E2035B"/>
    <w:rsid w:val="00E20839"/>
    <w:rsid w:val="00E223DF"/>
    <w:rsid w:val="00E22857"/>
    <w:rsid w:val="00E23084"/>
    <w:rsid w:val="00E23C52"/>
    <w:rsid w:val="00E25998"/>
    <w:rsid w:val="00E25B7B"/>
    <w:rsid w:val="00E27A8B"/>
    <w:rsid w:val="00E30C44"/>
    <w:rsid w:val="00E30ED7"/>
    <w:rsid w:val="00E30FA1"/>
    <w:rsid w:val="00E31D64"/>
    <w:rsid w:val="00E3207F"/>
    <w:rsid w:val="00E326D4"/>
    <w:rsid w:val="00E32F4B"/>
    <w:rsid w:val="00E330D9"/>
    <w:rsid w:val="00E33FA6"/>
    <w:rsid w:val="00E344D4"/>
    <w:rsid w:val="00E3714F"/>
    <w:rsid w:val="00E37A6E"/>
    <w:rsid w:val="00E37EA4"/>
    <w:rsid w:val="00E407F3"/>
    <w:rsid w:val="00E40F62"/>
    <w:rsid w:val="00E4257C"/>
    <w:rsid w:val="00E430A6"/>
    <w:rsid w:val="00E44472"/>
    <w:rsid w:val="00E4517D"/>
    <w:rsid w:val="00E45E61"/>
    <w:rsid w:val="00E478D5"/>
    <w:rsid w:val="00E47AD4"/>
    <w:rsid w:val="00E47F42"/>
    <w:rsid w:val="00E504F7"/>
    <w:rsid w:val="00E521C6"/>
    <w:rsid w:val="00E52C93"/>
    <w:rsid w:val="00E53B39"/>
    <w:rsid w:val="00E53D63"/>
    <w:rsid w:val="00E54232"/>
    <w:rsid w:val="00E54661"/>
    <w:rsid w:val="00E54A07"/>
    <w:rsid w:val="00E54F8A"/>
    <w:rsid w:val="00E553F8"/>
    <w:rsid w:val="00E56E78"/>
    <w:rsid w:val="00E5723D"/>
    <w:rsid w:val="00E60473"/>
    <w:rsid w:val="00E60A66"/>
    <w:rsid w:val="00E61B09"/>
    <w:rsid w:val="00E62171"/>
    <w:rsid w:val="00E6217C"/>
    <w:rsid w:val="00E62404"/>
    <w:rsid w:val="00E63267"/>
    <w:rsid w:val="00E649FA"/>
    <w:rsid w:val="00E64BB7"/>
    <w:rsid w:val="00E65072"/>
    <w:rsid w:val="00E65E1F"/>
    <w:rsid w:val="00E66A0E"/>
    <w:rsid w:val="00E67179"/>
    <w:rsid w:val="00E673BA"/>
    <w:rsid w:val="00E70491"/>
    <w:rsid w:val="00E712B1"/>
    <w:rsid w:val="00E73F57"/>
    <w:rsid w:val="00E7469E"/>
    <w:rsid w:val="00E747C9"/>
    <w:rsid w:val="00E74963"/>
    <w:rsid w:val="00E74F13"/>
    <w:rsid w:val="00E7666C"/>
    <w:rsid w:val="00E76D1E"/>
    <w:rsid w:val="00E77D6C"/>
    <w:rsid w:val="00E8104B"/>
    <w:rsid w:val="00E82ED6"/>
    <w:rsid w:val="00E83DBD"/>
    <w:rsid w:val="00E854D7"/>
    <w:rsid w:val="00E8562E"/>
    <w:rsid w:val="00E85E66"/>
    <w:rsid w:val="00E85EA2"/>
    <w:rsid w:val="00E86145"/>
    <w:rsid w:val="00E876D0"/>
    <w:rsid w:val="00E8780D"/>
    <w:rsid w:val="00E901D0"/>
    <w:rsid w:val="00E9020F"/>
    <w:rsid w:val="00E928FD"/>
    <w:rsid w:val="00E9374B"/>
    <w:rsid w:val="00E94727"/>
    <w:rsid w:val="00E9604F"/>
    <w:rsid w:val="00E96542"/>
    <w:rsid w:val="00E96B21"/>
    <w:rsid w:val="00E9713B"/>
    <w:rsid w:val="00E971D1"/>
    <w:rsid w:val="00E97CF6"/>
    <w:rsid w:val="00EA0C42"/>
    <w:rsid w:val="00EA37F3"/>
    <w:rsid w:val="00EA422E"/>
    <w:rsid w:val="00EA55AC"/>
    <w:rsid w:val="00EA620E"/>
    <w:rsid w:val="00EB0A94"/>
    <w:rsid w:val="00EB10B7"/>
    <w:rsid w:val="00EB2F66"/>
    <w:rsid w:val="00EB368E"/>
    <w:rsid w:val="00EB78AE"/>
    <w:rsid w:val="00EC0995"/>
    <w:rsid w:val="00EC1461"/>
    <w:rsid w:val="00EC311F"/>
    <w:rsid w:val="00EC63D7"/>
    <w:rsid w:val="00EC666D"/>
    <w:rsid w:val="00EC6B22"/>
    <w:rsid w:val="00EC7A2E"/>
    <w:rsid w:val="00ED23D5"/>
    <w:rsid w:val="00ED2D91"/>
    <w:rsid w:val="00ED350F"/>
    <w:rsid w:val="00ED3FB6"/>
    <w:rsid w:val="00ED421A"/>
    <w:rsid w:val="00ED6123"/>
    <w:rsid w:val="00ED789A"/>
    <w:rsid w:val="00ED7BA7"/>
    <w:rsid w:val="00EE1D2B"/>
    <w:rsid w:val="00EE1D93"/>
    <w:rsid w:val="00EE1F4F"/>
    <w:rsid w:val="00EE2AB0"/>
    <w:rsid w:val="00EE33D3"/>
    <w:rsid w:val="00EE4110"/>
    <w:rsid w:val="00EE4BC3"/>
    <w:rsid w:val="00EE5C33"/>
    <w:rsid w:val="00EE5D73"/>
    <w:rsid w:val="00EE6CEB"/>
    <w:rsid w:val="00EE77AB"/>
    <w:rsid w:val="00EF051C"/>
    <w:rsid w:val="00EF05C0"/>
    <w:rsid w:val="00EF0AD5"/>
    <w:rsid w:val="00EF0DA3"/>
    <w:rsid w:val="00EF2A33"/>
    <w:rsid w:val="00EF3D4A"/>
    <w:rsid w:val="00EF5ED7"/>
    <w:rsid w:val="00EF607C"/>
    <w:rsid w:val="00F00351"/>
    <w:rsid w:val="00F00418"/>
    <w:rsid w:val="00F01972"/>
    <w:rsid w:val="00F01E6E"/>
    <w:rsid w:val="00F02581"/>
    <w:rsid w:val="00F027A0"/>
    <w:rsid w:val="00F04863"/>
    <w:rsid w:val="00F060EA"/>
    <w:rsid w:val="00F0679C"/>
    <w:rsid w:val="00F07C86"/>
    <w:rsid w:val="00F106AF"/>
    <w:rsid w:val="00F11D0C"/>
    <w:rsid w:val="00F12FB2"/>
    <w:rsid w:val="00F13EAF"/>
    <w:rsid w:val="00F1410D"/>
    <w:rsid w:val="00F1507D"/>
    <w:rsid w:val="00F15B7D"/>
    <w:rsid w:val="00F16534"/>
    <w:rsid w:val="00F1684F"/>
    <w:rsid w:val="00F17043"/>
    <w:rsid w:val="00F2092A"/>
    <w:rsid w:val="00F20A9B"/>
    <w:rsid w:val="00F20FD8"/>
    <w:rsid w:val="00F2115C"/>
    <w:rsid w:val="00F22764"/>
    <w:rsid w:val="00F22B44"/>
    <w:rsid w:val="00F22D79"/>
    <w:rsid w:val="00F24434"/>
    <w:rsid w:val="00F25C79"/>
    <w:rsid w:val="00F269FF"/>
    <w:rsid w:val="00F26F09"/>
    <w:rsid w:val="00F26FB1"/>
    <w:rsid w:val="00F30F49"/>
    <w:rsid w:val="00F32450"/>
    <w:rsid w:val="00F325FE"/>
    <w:rsid w:val="00F32E9B"/>
    <w:rsid w:val="00F335C2"/>
    <w:rsid w:val="00F342D6"/>
    <w:rsid w:val="00F34EF2"/>
    <w:rsid w:val="00F36015"/>
    <w:rsid w:val="00F3683D"/>
    <w:rsid w:val="00F36F99"/>
    <w:rsid w:val="00F372C1"/>
    <w:rsid w:val="00F37CEF"/>
    <w:rsid w:val="00F40580"/>
    <w:rsid w:val="00F40675"/>
    <w:rsid w:val="00F40A5A"/>
    <w:rsid w:val="00F4210C"/>
    <w:rsid w:val="00F42DB1"/>
    <w:rsid w:val="00F4614F"/>
    <w:rsid w:val="00F463DB"/>
    <w:rsid w:val="00F46707"/>
    <w:rsid w:val="00F46F6F"/>
    <w:rsid w:val="00F474E0"/>
    <w:rsid w:val="00F47576"/>
    <w:rsid w:val="00F5089F"/>
    <w:rsid w:val="00F50DC9"/>
    <w:rsid w:val="00F5119C"/>
    <w:rsid w:val="00F52B7E"/>
    <w:rsid w:val="00F52F9E"/>
    <w:rsid w:val="00F53A47"/>
    <w:rsid w:val="00F55262"/>
    <w:rsid w:val="00F55327"/>
    <w:rsid w:val="00F5571F"/>
    <w:rsid w:val="00F56151"/>
    <w:rsid w:val="00F5652E"/>
    <w:rsid w:val="00F56936"/>
    <w:rsid w:val="00F579F6"/>
    <w:rsid w:val="00F57A84"/>
    <w:rsid w:val="00F60C30"/>
    <w:rsid w:val="00F618C8"/>
    <w:rsid w:val="00F6239E"/>
    <w:rsid w:val="00F62E10"/>
    <w:rsid w:val="00F63B6E"/>
    <w:rsid w:val="00F64122"/>
    <w:rsid w:val="00F64314"/>
    <w:rsid w:val="00F643C2"/>
    <w:rsid w:val="00F645F0"/>
    <w:rsid w:val="00F65D1E"/>
    <w:rsid w:val="00F65F04"/>
    <w:rsid w:val="00F66A8D"/>
    <w:rsid w:val="00F7045E"/>
    <w:rsid w:val="00F70AD2"/>
    <w:rsid w:val="00F7182D"/>
    <w:rsid w:val="00F72555"/>
    <w:rsid w:val="00F7288D"/>
    <w:rsid w:val="00F73548"/>
    <w:rsid w:val="00F74180"/>
    <w:rsid w:val="00F7433A"/>
    <w:rsid w:val="00F74E79"/>
    <w:rsid w:val="00F765ED"/>
    <w:rsid w:val="00F76604"/>
    <w:rsid w:val="00F76FFF"/>
    <w:rsid w:val="00F77AD7"/>
    <w:rsid w:val="00F77B6D"/>
    <w:rsid w:val="00F81297"/>
    <w:rsid w:val="00F817FD"/>
    <w:rsid w:val="00F819F0"/>
    <w:rsid w:val="00F834D7"/>
    <w:rsid w:val="00F83AD4"/>
    <w:rsid w:val="00F83C0A"/>
    <w:rsid w:val="00F83D2D"/>
    <w:rsid w:val="00F85098"/>
    <w:rsid w:val="00F855BA"/>
    <w:rsid w:val="00F85854"/>
    <w:rsid w:val="00F90855"/>
    <w:rsid w:val="00F91529"/>
    <w:rsid w:val="00F923BD"/>
    <w:rsid w:val="00F941A4"/>
    <w:rsid w:val="00F951C9"/>
    <w:rsid w:val="00F962DF"/>
    <w:rsid w:val="00F96DD2"/>
    <w:rsid w:val="00F9701E"/>
    <w:rsid w:val="00F97065"/>
    <w:rsid w:val="00FA09E1"/>
    <w:rsid w:val="00FA0CF0"/>
    <w:rsid w:val="00FA199B"/>
    <w:rsid w:val="00FA3173"/>
    <w:rsid w:val="00FA337C"/>
    <w:rsid w:val="00FA5044"/>
    <w:rsid w:val="00FA55AD"/>
    <w:rsid w:val="00FA5802"/>
    <w:rsid w:val="00FA5ACD"/>
    <w:rsid w:val="00FA6118"/>
    <w:rsid w:val="00FA64CF"/>
    <w:rsid w:val="00FA7A82"/>
    <w:rsid w:val="00FB08EF"/>
    <w:rsid w:val="00FB134A"/>
    <w:rsid w:val="00FB1376"/>
    <w:rsid w:val="00FB1FCA"/>
    <w:rsid w:val="00FB40D9"/>
    <w:rsid w:val="00FB4440"/>
    <w:rsid w:val="00FB50B1"/>
    <w:rsid w:val="00FB59D8"/>
    <w:rsid w:val="00FB74EB"/>
    <w:rsid w:val="00FB789D"/>
    <w:rsid w:val="00FC0ACA"/>
    <w:rsid w:val="00FC0DB2"/>
    <w:rsid w:val="00FC26D1"/>
    <w:rsid w:val="00FC31BF"/>
    <w:rsid w:val="00FC396A"/>
    <w:rsid w:val="00FC4414"/>
    <w:rsid w:val="00FC534B"/>
    <w:rsid w:val="00FC63C1"/>
    <w:rsid w:val="00FC6769"/>
    <w:rsid w:val="00FC7540"/>
    <w:rsid w:val="00FD0CAB"/>
    <w:rsid w:val="00FD0F26"/>
    <w:rsid w:val="00FD144F"/>
    <w:rsid w:val="00FD22AC"/>
    <w:rsid w:val="00FD27AC"/>
    <w:rsid w:val="00FD2D0B"/>
    <w:rsid w:val="00FD36D1"/>
    <w:rsid w:val="00FD37FB"/>
    <w:rsid w:val="00FD49C5"/>
    <w:rsid w:val="00FD4C5B"/>
    <w:rsid w:val="00FD4D44"/>
    <w:rsid w:val="00FD5714"/>
    <w:rsid w:val="00FD58DD"/>
    <w:rsid w:val="00FD5DD1"/>
    <w:rsid w:val="00FE00C7"/>
    <w:rsid w:val="00FE092A"/>
    <w:rsid w:val="00FE0ACA"/>
    <w:rsid w:val="00FE0E30"/>
    <w:rsid w:val="00FE0E7C"/>
    <w:rsid w:val="00FE125E"/>
    <w:rsid w:val="00FE1E5B"/>
    <w:rsid w:val="00FE2F65"/>
    <w:rsid w:val="00FE3861"/>
    <w:rsid w:val="00FE4ED9"/>
    <w:rsid w:val="00FE5BDB"/>
    <w:rsid w:val="00FE6248"/>
    <w:rsid w:val="00FE7089"/>
    <w:rsid w:val="00FE7943"/>
    <w:rsid w:val="00FE7F9F"/>
    <w:rsid w:val="00FF026A"/>
    <w:rsid w:val="00FF0B8D"/>
    <w:rsid w:val="00FF0F70"/>
    <w:rsid w:val="00FF1880"/>
    <w:rsid w:val="00FF2A38"/>
    <w:rsid w:val="00FF33AF"/>
    <w:rsid w:val="00FF40C6"/>
    <w:rsid w:val="00FF410C"/>
    <w:rsid w:val="00FF47B2"/>
    <w:rsid w:val="00FF4D3E"/>
    <w:rsid w:val="00FF5C65"/>
    <w:rsid w:val="00FF6001"/>
    <w:rsid w:val="00FF6131"/>
    <w:rsid w:val="00FF61CE"/>
    <w:rsid w:val="00FF6599"/>
    <w:rsid w:val="00FF69E1"/>
    <w:rsid w:val="00FF6FB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1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qFormat/>
    <w:pPr>
      <w:keepNext/>
      <w:numPr>
        <w:numId w:val="1"/>
      </w:numPr>
      <w:spacing w:before="480" w:after="480" w:line="480" w:lineRule="auto"/>
      <w:outlineLvl w:val="0"/>
    </w:pPr>
    <w:rPr>
      <w:b/>
      <w:iCs/>
      <w:caps/>
      <w:szCs w:val="20"/>
    </w:rPr>
  </w:style>
  <w:style w:type="paragraph" w:styleId="Ttulo2">
    <w:name w:val="heading 2"/>
    <w:basedOn w:val="Normal"/>
    <w:autoRedefine/>
    <w:qFormat/>
    <w:rsid w:val="00CC7EFB"/>
    <w:pPr>
      <w:keepNext/>
      <w:numPr>
        <w:ilvl w:val="1"/>
        <w:numId w:val="2"/>
      </w:numPr>
      <w:spacing w:before="480" w:after="480" w:line="360" w:lineRule="auto"/>
      <w:jc w:val="both"/>
      <w:outlineLvl w:val="1"/>
    </w:pPr>
    <w:rPr>
      <w:caps/>
      <w:szCs w:val="20"/>
      <w:lang w:val="pt-PT"/>
    </w:rPr>
  </w:style>
  <w:style w:type="paragraph" w:styleId="Ttulo3">
    <w:name w:val="heading 3"/>
    <w:basedOn w:val="Normal"/>
    <w:link w:val="Ttulo3Char"/>
    <w:uiPriority w:val="9"/>
    <w:qFormat/>
    <w:pPr>
      <w:keepNext/>
      <w:numPr>
        <w:ilvl w:val="2"/>
        <w:numId w:val="1"/>
      </w:numPr>
      <w:spacing w:before="480" w:after="480" w:line="480" w:lineRule="auto"/>
      <w:outlineLvl w:val="2"/>
    </w:pPr>
    <w:rPr>
      <w:iCs/>
      <w:szCs w:val="20"/>
    </w:rPr>
  </w:style>
  <w:style w:type="paragraph" w:styleId="Ttulo4">
    <w:name w:val="heading 4"/>
    <w:basedOn w:val="Normal"/>
    <w:next w:val="Normal"/>
    <w:qFormat/>
    <w:pPr>
      <w:keepNext/>
      <w:numPr>
        <w:ilvl w:val="3"/>
        <w:numId w:val="1"/>
      </w:numPr>
      <w:tabs>
        <w:tab w:val="left" w:pos="0"/>
      </w:tabs>
      <w:spacing w:before="120" w:after="120"/>
      <w:jc w:val="both"/>
      <w:outlineLvl w:val="3"/>
    </w:pPr>
    <w:rPr>
      <w:szCs w:val="20"/>
    </w:rPr>
  </w:style>
  <w:style w:type="paragraph" w:styleId="Ttulo5">
    <w:name w:val="heading 5"/>
    <w:basedOn w:val="Normal"/>
    <w:next w:val="Normal"/>
    <w:qFormat/>
    <w:pPr>
      <w:keepNext/>
      <w:numPr>
        <w:ilvl w:val="4"/>
        <w:numId w:val="1"/>
      </w:numPr>
      <w:tabs>
        <w:tab w:val="left" w:pos="0"/>
      </w:tabs>
      <w:jc w:val="right"/>
      <w:outlineLvl w:val="4"/>
    </w:pPr>
    <w:rPr>
      <w:b/>
      <w:szCs w:val="20"/>
    </w:rPr>
  </w:style>
  <w:style w:type="paragraph" w:styleId="Ttulo6">
    <w:name w:val="heading 6"/>
    <w:basedOn w:val="Normal"/>
    <w:next w:val="Normal"/>
    <w:qFormat/>
    <w:pPr>
      <w:keepNext/>
      <w:numPr>
        <w:ilvl w:val="5"/>
        <w:numId w:val="1"/>
      </w:numPr>
      <w:tabs>
        <w:tab w:val="left" w:pos="164"/>
        <w:tab w:val="left" w:pos="873"/>
      </w:tabs>
      <w:spacing w:line="360" w:lineRule="auto"/>
      <w:jc w:val="center"/>
      <w:outlineLvl w:val="5"/>
    </w:pPr>
    <w:rPr>
      <w:szCs w:val="20"/>
    </w:rPr>
  </w:style>
  <w:style w:type="paragraph" w:styleId="Ttulo7">
    <w:name w:val="heading 7"/>
    <w:basedOn w:val="Normal"/>
    <w:next w:val="Normal"/>
    <w:qFormat/>
    <w:pPr>
      <w:keepNext/>
      <w:numPr>
        <w:ilvl w:val="6"/>
        <w:numId w:val="1"/>
      </w:numPr>
      <w:tabs>
        <w:tab w:val="left" w:pos="164"/>
        <w:tab w:val="left" w:pos="873"/>
      </w:tabs>
      <w:spacing w:line="360" w:lineRule="auto"/>
      <w:jc w:val="center"/>
      <w:outlineLvl w:val="6"/>
    </w:pPr>
    <w:rPr>
      <w:b/>
      <w:color w:val="FFFFFF"/>
      <w:szCs w:val="20"/>
    </w:rPr>
  </w:style>
  <w:style w:type="paragraph" w:styleId="Ttulo8">
    <w:name w:val="heading 8"/>
    <w:basedOn w:val="Normal"/>
    <w:next w:val="Normal"/>
    <w:qFormat/>
    <w:pPr>
      <w:keepNext/>
      <w:numPr>
        <w:ilvl w:val="7"/>
        <w:numId w:val="1"/>
      </w:numPr>
      <w:tabs>
        <w:tab w:val="left" w:pos="164"/>
        <w:tab w:val="left" w:pos="873"/>
      </w:tabs>
      <w:spacing w:line="360" w:lineRule="auto"/>
      <w:jc w:val="center"/>
      <w:outlineLvl w:val="7"/>
    </w:pPr>
    <w:rPr>
      <w:b/>
      <w:szCs w:val="20"/>
    </w:rPr>
  </w:style>
  <w:style w:type="paragraph" w:styleId="Ttulo9">
    <w:name w:val="heading 9"/>
    <w:basedOn w:val="Normal"/>
    <w:next w:val="Normal"/>
    <w:qFormat/>
    <w:pPr>
      <w:keepNext/>
      <w:numPr>
        <w:ilvl w:val="8"/>
        <w:numId w:val="1"/>
      </w:numPr>
      <w:tabs>
        <w:tab w:val="left" w:pos="164"/>
        <w:tab w:val="left" w:pos="873"/>
      </w:tabs>
      <w:spacing w:line="360" w:lineRule="auto"/>
      <w:jc w:val="center"/>
      <w:outlineLvl w:val="8"/>
    </w:pPr>
    <w:rPr>
      <w:b/>
      <w:sz w:val="28"/>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semiHidden/>
    <w:qFormat/>
    <w:rPr>
      <w:sz w:val="16"/>
      <w:szCs w:val="16"/>
    </w:rPr>
  </w:style>
  <w:style w:type="character" w:customStyle="1" w:styleId="LinkdaInternet">
    <w:name w:val="Link da Internet"/>
    <w:uiPriority w:val="99"/>
    <w:rPr>
      <w:color w:val="0000FF"/>
      <w:u w:val="single"/>
    </w:rPr>
  </w:style>
  <w:style w:type="character" w:styleId="Nmerodepgina">
    <w:name w:val="page number"/>
    <w:basedOn w:val="Fontepargpadro"/>
    <w:qFormat/>
  </w:style>
  <w:style w:type="character" w:customStyle="1" w:styleId="CabealhoChar">
    <w:name w:val="Cabeçalho Char"/>
    <w:link w:val="Cabealho"/>
    <w:uiPriority w:val="99"/>
    <w:qFormat/>
    <w:rsid w:val="00D30D22"/>
    <w:rPr>
      <w:sz w:val="24"/>
      <w:szCs w:val="24"/>
    </w:rPr>
  </w:style>
  <w:style w:type="character" w:customStyle="1" w:styleId="TextodecomentrioChar">
    <w:name w:val="Texto de comentário Char"/>
    <w:basedOn w:val="Fontepargpadro"/>
    <w:link w:val="Textodecomentrio"/>
    <w:semiHidden/>
    <w:qFormat/>
    <w:rsid w:val="00121B77"/>
  </w:style>
  <w:style w:type="character" w:customStyle="1" w:styleId="AssuntodocomentrioChar">
    <w:name w:val="Assunto do comentário Char"/>
    <w:link w:val="Assuntodocomentrio"/>
    <w:qFormat/>
    <w:rsid w:val="00121B77"/>
    <w:rPr>
      <w:b/>
      <w:bC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Vnculodendice">
    <w:name w:val="Vínculo de índice"/>
    <w:qFormat/>
  </w:style>
  <w:style w:type="paragraph" w:styleId="Ttulo">
    <w:name w:val="Title"/>
    <w:basedOn w:val="Normal"/>
    <w:next w:val="Corpodetexto"/>
    <w:qFormat/>
    <w:pPr>
      <w:keepNext/>
      <w:spacing w:before="240" w:after="120"/>
    </w:pPr>
    <w:rPr>
      <w:rFonts w:ascii="Liberation Sans" w:eastAsia="Droid Sans Fallback" w:hAnsi="Liberation Sans" w:cs="FreeSans"/>
      <w:sz w:val="28"/>
      <w:szCs w:val="28"/>
    </w:rPr>
  </w:style>
  <w:style w:type="paragraph" w:styleId="Corpodetexto">
    <w:name w:val="Body Text"/>
    <w:basedOn w:val="Normal"/>
    <w:autoRedefine/>
    <w:rsid w:val="00E82ED6"/>
    <w:pPr>
      <w:spacing w:line="360" w:lineRule="auto"/>
      <w:ind w:firstLine="708"/>
      <w:jc w:val="both"/>
    </w:pPr>
    <w:rPr>
      <w:bCs/>
      <w:color w:val="000000"/>
    </w:rPr>
  </w:style>
  <w:style w:type="paragraph" w:styleId="Lista">
    <w:name w:val="List"/>
    <w:basedOn w:val="Corpodetexto"/>
    <w:rPr>
      <w:rFonts w:cs="FreeSans"/>
    </w:rPr>
  </w:style>
  <w:style w:type="paragraph" w:styleId="Legenda">
    <w:name w:val="caption"/>
    <w:basedOn w:val="Normal"/>
    <w:next w:val="Normal"/>
    <w:autoRedefine/>
    <w:qFormat/>
    <w:rsid w:val="009B27BA"/>
    <w:pPr>
      <w:shd w:val="clear" w:color="auto" w:fill="FFFFFF" w:themeFill="background1"/>
      <w:tabs>
        <w:tab w:val="left" w:pos="720"/>
        <w:tab w:val="left" w:pos="2180"/>
        <w:tab w:val="left" w:pos="9260"/>
      </w:tabs>
      <w:spacing w:before="120" w:after="120"/>
      <w:jc w:val="both"/>
    </w:pPr>
    <w:rPr>
      <w:rFonts w:ascii="Times-Roman" w:hAnsi="Times-Roman"/>
      <w:b/>
      <w:sz w:val="22"/>
      <w:szCs w:val="22"/>
    </w:rPr>
  </w:style>
  <w:style w:type="paragraph" w:customStyle="1" w:styleId="ndice">
    <w:name w:val="Índice"/>
    <w:basedOn w:val="Normal"/>
    <w:qFormat/>
    <w:pPr>
      <w:suppressLineNumbers/>
    </w:pPr>
    <w:rPr>
      <w:rFonts w:cs="FreeSans"/>
    </w:rPr>
  </w:style>
  <w:style w:type="paragraph" w:customStyle="1" w:styleId="texto">
    <w:name w:val="texto"/>
    <w:basedOn w:val="Normal"/>
    <w:autoRedefine/>
    <w:qFormat/>
    <w:pPr>
      <w:tabs>
        <w:tab w:val="left" w:pos="0"/>
      </w:tabs>
      <w:spacing w:before="120" w:after="120" w:line="480" w:lineRule="auto"/>
      <w:ind w:firstLine="851"/>
      <w:jc w:val="both"/>
    </w:pPr>
    <w:rPr>
      <w:szCs w:val="20"/>
      <w:lang w:val="pt-PT"/>
    </w:rPr>
  </w:style>
  <w:style w:type="paragraph" w:customStyle="1" w:styleId="CapaTtulo">
    <w:name w:val="Capa Título"/>
    <w:basedOn w:val="Normal"/>
    <w:autoRedefine/>
    <w:qFormat/>
    <w:rsid w:val="009F7E57"/>
    <w:pPr>
      <w:spacing w:line="360" w:lineRule="auto"/>
      <w:jc w:val="both"/>
    </w:pPr>
    <w:rPr>
      <w:b/>
    </w:rPr>
  </w:style>
  <w:style w:type="paragraph" w:customStyle="1" w:styleId="CapaAutor">
    <w:name w:val="Capa Autor"/>
    <w:basedOn w:val="CapaTtulo"/>
    <w:qFormat/>
    <w:rPr>
      <w:b w:val="0"/>
    </w:rPr>
  </w:style>
  <w:style w:type="paragraph" w:customStyle="1" w:styleId="CapaTexto">
    <w:name w:val="Capa Texto"/>
    <w:basedOn w:val="CapaAutor"/>
    <w:qFormat/>
    <w:pPr>
      <w:spacing w:line="240" w:lineRule="auto"/>
    </w:pPr>
    <w:rPr>
      <w:caps/>
    </w:rPr>
  </w:style>
  <w:style w:type="paragraph" w:customStyle="1" w:styleId="Texto0">
    <w:name w:val="Texto"/>
    <w:basedOn w:val="Normal"/>
    <w:qFormat/>
    <w:pPr>
      <w:spacing w:line="480" w:lineRule="auto"/>
      <w:ind w:firstLine="709"/>
    </w:pPr>
  </w:style>
  <w:style w:type="paragraph" w:customStyle="1" w:styleId="marcaletra3">
    <w:name w:val="marca letra 3"/>
    <w:basedOn w:val="Normal"/>
    <w:autoRedefine/>
    <w:qFormat/>
    <w:pPr>
      <w:tabs>
        <w:tab w:val="left" w:pos="360"/>
      </w:tabs>
      <w:spacing w:line="360" w:lineRule="auto"/>
      <w:ind w:left="1327" w:hanging="363"/>
      <w:jc w:val="both"/>
    </w:pPr>
    <w:rPr>
      <w:bCs/>
      <w:color w:val="000000"/>
    </w:rPr>
  </w:style>
  <w:style w:type="paragraph" w:customStyle="1" w:styleId="citao">
    <w:name w:val="citação"/>
    <w:basedOn w:val="Normal"/>
    <w:autoRedefine/>
    <w:qFormat/>
    <w:pPr>
      <w:spacing w:before="120" w:after="120"/>
      <w:ind w:left="2340"/>
      <w:jc w:val="both"/>
    </w:pPr>
    <w:rPr>
      <w:sz w:val="20"/>
      <w:szCs w:val="20"/>
    </w:rPr>
  </w:style>
  <w:style w:type="paragraph" w:customStyle="1" w:styleId="Ttulododocumento">
    <w:name w:val="Título do documento"/>
    <w:basedOn w:val="CapaTtulo"/>
    <w:qFormat/>
    <w:pPr>
      <w:spacing w:before="240" w:after="60"/>
    </w:pPr>
    <w:rPr>
      <w:rFonts w:cs="Arial"/>
      <w:bCs/>
      <w:szCs w:val="32"/>
    </w:rPr>
  </w:style>
  <w:style w:type="paragraph" w:customStyle="1" w:styleId="FONTE">
    <w:name w:val="FONTE"/>
    <w:basedOn w:val="Normal"/>
    <w:autoRedefine/>
    <w:qFormat/>
    <w:pPr>
      <w:keepNext/>
      <w:tabs>
        <w:tab w:val="left" w:pos="0"/>
      </w:tabs>
      <w:spacing w:before="120" w:after="120"/>
      <w:jc w:val="both"/>
    </w:pPr>
    <w:rPr>
      <w:sz w:val="20"/>
      <w:szCs w:val="20"/>
    </w:rPr>
  </w:style>
  <w:style w:type="paragraph" w:customStyle="1" w:styleId="referencia">
    <w:name w:val="referencia"/>
    <w:basedOn w:val="Normal"/>
    <w:autoRedefine/>
    <w:qFormat/>
    <w:pPr>
      <w:keepNext/>
      <w:tabs>
        <w:tab w:val="left" w:pos="0"/>
      </w:tabs>
      <w:spacing w:before="240" w:after="240"/>
      <w:jc w:val="both"/>
    </w:pPr>
    <w:rPr>
      <w:szCs w:val="20"/>
      <w:lang w:val="en-US"/>
    </w:rPr>
  </w:style>
  <w:style w:type="paragraph" w:customStyle="1" w:styleId="letra">
    <w:name w:val="letra"/>
    <w:basedOn w:val="Normal"/>
    <w:next w:val="texto"/>
    <w:autoRedefine/>
    <w:qFormat/>
    <w:pPr>
      <w:spacing w:before="120" w:after="120" w:line="480" w:lineRule="auto"/>
      <w:ind w:left="1248" w:hanging="397"/>
      <w:jc w:val="both"/>
    </w:pPr>
    <w:rPr>
      <w:iCs/>
      <w:szCs w:val="20"/>
    </w:rPr>
  </w:style>
  <w:style w:type="paragraph" w:customStyle="1" w:styleId="citamarca">
    <w:name w:val="cita marca"/>
    <w:basedOn w:val="Normal"/>
    <w:autoRedefine/>
    <w:qFormat/>
    <w:pPr>
      <w:jc w:val="both"/>
    </w:pPr>
    <w:rPr>
      <w:iCs/>
      <w:sz w:val="20"/>
      <w:szCs w:val="20"/>
    </w:rPr>
  </w:style>
  <w:style w:type="paragraph" w:styleId="Sumrio2">
    <w:name w:val="toc 2"/>
    <w:basedOn w:val="Normal"/>
    <w:next w:val="Normal"/>
    <w:autoRedefine/>
    <w:uiPriority w:val="39"/>
    <w:rsid w:val="00DB0CE4"/>
    <w:pPr>
      <w:tabs>
        <w:tab w:val="left" w:pos="960"/>
        <w:tab w:val="right" w:leader="dot" w:pos="9072"/>
      </w:tabs>
      <w:jc w:val="both"/>
    </w:pPr>
    <w:rPr>
      <w:caps/>
    </w:rPr>
  </w:style>
  <w:style w:type="paragraph" w:styleId="Sumrio1">
    <w:name w:val="toc 1"/>
    <w:basedOn w:val="Normal"/>
    <w:next w:val="Normal"/>
    <w:autoRedefine/>
    <w:uiPriority w:val="39"/>
    <w:rsid w:val="00DB0CE4"/>
    <w:pPr>
      <w:jc w:val="both"/>
    </w:pPr>
    <w:rPr>
      <w:b/>
      <w:caps/>
    </w:rPr>
  </w:style>
  <w:style w:type="paragraph" w:styleId="Sumrio3">
    <w:name w:val="toc 3"/>
    <w:basedOn w:val="Normal"/>
    <w:next w:val="Normal"/>
    <w:autoRedefine/>
    <w:uiPriority w:val="39"/>
    <w:rsid w:val="00DB0CE4"/>
    <w:pPr>
      <w:jc w:val="both"/>
    </w:pPr>
  </w:style>
  <w:style w:type="paragraph" w:styleId="Sumrio4">
    <w:name w:val="toc 4"/>
    <w:basedOn w:val="Normal"/>
    <w:next w:val="Normal"/>
    <w:autoRedefine/>
    <w:semiHidden/>
    <w:rsid w:val="00DB0CE4"/>
    <w:pPr>
      <w:jc w:val="both"/>
    </w:pPr>
  </w:style>
  <w:style w:type="paragraph" w:styleId="Textodecomentrio">
    <w:name w:val="annotation text"/>
    <w:basedOn w:val="Normal"/>
    <w:link w:val="TextodecomentrioChar"/>
    <w:semiHidden/>
    <w:qFormat/>
    <w:rPr>
      <w:sz w:val="20"/>
      <w:szCs w:val="20"/>
    </w:rPr>
  </w:style>
  <w:style w:type="paragraph" w:customStyle="1" w:styleId="Alinea">
    <w:name w:val="Alinea"/>
    <w:basedOn w:val="Normal"/>
    <w:qFormat/>
  </w:style>
  <w:style w:type="paragraph" w:customStyle="1" w:styleId="marcaletra6">
    <w:name w:val="marca letra 6"/>
    <w:basedOn w:val="marcaletra3"/>
    <w:qFormat/>
  </w:style>
  <w:style w:type="paragraph" w:customStyle="1" w:styleId="MarcaEspao">
    <w:name w:val="MarcaEspaço"/>
    <w:basedOn w:val="marcaletra6"/>
    <w:autoRedefine/>
    <w:qFormat/>
    <w:pPr>
      <w:spacing w:before="240" w:after="240"/>
    </w:pPr>
  </w:style>
  <w:style w:type="paragraph" w:styleId="Sumrio5">
    <w:name w:val="toc 5"/>
    <w:basedOn w:val="Normal"/>
    <w:next w:val="Normal"/>
    <w:autoRedefine/>
    <w:semiHidden/>
    <w:rsid w:val="00DB0CE4"/>
    <w:pPr>
      <w:ind w:left="958"/>
      <w:jc w:val="both"/>
    </w:pPr>
  </w:style>
  <w:style w:type="paragraph" w:styleId="Sumrio6">
    <w:name w:val="toc 6"/>
    <w:basedOn w:val="Normal"/>
    <w:next w:val="Normal"/>
    <w:autoRedefine/>
    <w:semiHidden/>
    <w:pPr>
      <w:ind w:left="1200"/>
    </w:pPr>
  </w:style>
  <w:style w:type="paragraph" w:styleId="Sumrio7">
    <w:name w:val="toc 7"/>
    <w:basedOn w:val="Normal"/>
    <w:next w:val="Normal"/>
    <w:autoRedefine/>
    <w:semiHidden/>
    <w:pPr>
      <w:ind w:left="1440"/>
    </w:pPr>
  </w:style>
  <w:style w:type="paragraph" w:styleId="Sumrio8">
    <w:name w:val="toc 8"/>
    <w:basedOn w:val="Normal"/>
    <w:next w:val="Normal"/>
    <w:autoRedefine/>
    <w:semiHidden/>
    <w:pPr>
      <w:ind w:left="1680"/>
    </w:pPr>
  </w:style>
  <w:style w:type="paragraph" w:styleId="Sumrio9">
    <w:name w:val="toc 9"/>
    <w:basedOn w:val="Normal"/>
    <w:next w:val="Normal"/>
    <w:autoRedefine/>
    <w:semiHidden/>
    <w:pPr>
      <w:ind w:left="1920"/>
    </w:pPr>
  </w:style>
  <w:style w:type="paragraph" w:styleId="Cabealho">
    <w:name w:val="header"/>
    <w:basedOn w:val="Normal"/>
    <w:link w:val="CabealhoChar"/>
    <w:uiPriority w:val="99"/>
    <w:pPr>
      <w:tabs>
        <w:tab w:val="center" w:pos="4419"/>
        <w:tab w:val="right" w:pos="8838"/>
      </w:tabs>
    </w:pPr>
    <w:rPr>
      <w:lang w:val="x-none" w:eastAsia="x-none"/>
    </w:rPr>
  </w:style>
  <w:style w:type="paragraph" w:styleId="Rodap">
    <w:name w:val="footer"/>
    <w:basedOn w:val="Normal"/>
    <w:pPr>
      <w:tabs>
        <w:tab w:val="center" w:pos="4419"/>
        <w:tab w:val="right" w:pos="8838"/>
      </w:tabs>
    </w:pPr>
  </w:style>
  <w:style w:type="paragraph" w:styleId="Textodebalo">
    <w:name w:val="Balloon Text"/>
    <w:basedOn w:val="Normal"/>
    <w:semiHidden/>
    <w:qFormat/>
    <w:rsid w:val="00404594"/>
    <w:rPr>
      <w:rFonts w:ascii="Tahoma" w:hAnsi="Tahoma" w:cs="Tahoma"/>
      <w:sz w:val="16"/>
      <w:szCs w:val="16"/>
    </w:rPr>
  </w:style>
  <w:style w:type="paragraph" w:customStyle="1" w:styleId="capa">
    <w:name w:val="capa"/>
    <w:basedOn w:val="Ttulododocumento"/>
    <w:autoRedefine/>
    <w:qFormat/>
    <w:rsid w:val="00FE092A"/>
    <w:pPr>
      <w:spacing w:before="0" w:after="0" w:line="240" w:lineRule="auto"/>
    </w:pPr>
    <w:rPr>
      <w:rFonts w:cs="Times New Roman"/>
      <w:caps/>
      <w:szCs w:val="24"/>
    </w:rPr>
  </w:style>
  <w:style w:type="paragraph" w:customStyle="1" w:styleId="Default">
    <w:name w:val="Default"/>
    <w:qFormat/>
    <w:rsid w:val="00BE2EA4"/>
    <w:rPr>
      <w:color w:val="000000"/>
      <w:sz w:val="24"/>
      <w:szCs w:val="24"/>
    </w:rPr>
  </w:style>
  <w:style w:type="paragraph" w:styleId="Assuntodocomentrio">
    <w:name w:val="annotation subject"/>
    <w:basedOn w:val="Textodecomentrio"/>
    <w:link w:val="AssuntodocomentrioChar"/>
    <w:qFormat/>
    <w:rsid w:val="00121B77"/>
    <w:rPr>
      <w:b/>
      <w:bCs/>
    </w:rPr>
  </w:style>
  <w:style w:type="paragraph" w:customStyle="1" w:styleId="Contedodatabela">
    <w:name w:val="Conteúdo da tabela"/>
    <w:basedOn w:val="Normal"/>
    <w:qFormat/>
  </w:style>
  <w:style w:type="character" w:styleId="Hyperlink">
    <w:name w:val="Hyperlink"/>
    <w:uiPriority w:val="99"/>
    <w:unhideWhenUsed/>
    <w:rsid w:val="000E106A"/>
    <w:rPr>
      <w:color w:val="0563C1"/>
      <w:u w:val="single"/>
    </w:rPr>
  </w:style>
  <w:style w:type="paragraph" w:styleId="Reviso">
    <w:name w:val="Revision"/>
    <w:hidden/>
    <w:uiPriority w:val="99"/>
    <w:semiHidden/>
    <w:rsid w:val="009613E8"/>
    <w:rPr>
      <w:sz w:val="24"/>
      <w:szCs w:val="24"/>
    </w:rPr>
  </w:style>
  <w:style w:type="paragraph" w:customStyle="1" w:styleId="Standard">
    <w:name w:val="Standard"/>
    <w:rsid w:val="003627C3"/>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paragraph" w:styleId="Pr-formataoHTML">
    <w:name w:val="HTML Preformatted"/>
    <w:basedOn w:val="Normal"/>
    <w:link w:val="Pr-formataoHTMLChar"/>
    <w:uiPriority w:val="99"/>
    <w:unhideWhenUsed/>
    <w:rsid w:val="00F6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F643C2"/>
    <w:rPr>
      <w:rFonts w:ascii="Courier New" w:hAnsi="Courier New" w:cs="Courier New"/>
    </w:rPr>
  </w:style>
  <w:style w:type="character" w:customStyle="1" w:styleId="apple-converted-space">
    <w:name w:val="apple-converted-space"/>
    <w:rsid w:val="00952A2F"/>
  </w:style>
  <w:style w:type="character" w:styleId="Forte">
    <w:name w:val="Strong"/>
    <w:uiPriority w:val="22"/>
    <w:qFormat/>
    <w:rsid w:val="00020424"/>
    <w:rPr>
      <w:b/>
      <w:bCs/>
    </w:rPr>
  </w:style>
  <w:style w:type="paragraph" w:styleId="PargrafodaLista">
    <w:name w:val="List Paragraph"/>
    <w:basedOn w:val="Normal"/>
    <w:uiPriority w:val="34"/>
    <w:qFormat/>
    <w:rsid w:val="002C25C0"/>
    <w:pPr>
      <w:ind w:left="720" w:firstLine="709"/>
      <w:contextualSpacing/>
      <w:jc w:val="both"/>
    </w:pPr>
    <w:rPr>
      <w:rFonts w:eastAsia="Calibri"/>
      <w:szCs w:val="22"/>
      <w:lang w:eastAsia="en-US"/>
    </w:rPr>
  </w:style>
  <w:style w:type="table" w:styleId="Tabelacomgrade">
    <w:name w:val="Table Grid"/>
    <w:basedOn w:val="Tabelanormal"/>
    <w:uiPriority w:val="39"/>
    <w:rsid w:val="00BE5400"/>
    <w:rPr>
      <w:rFonts w:ascii="Calibri" w:eastAsia="Calibri" w:hAnsi="Calibri"/>
    </w:rPr>
    <w:tblPr>
      <w:tblBorders>
        <w:top w:val="single" w:sz="12" w:space="0" w:color="auto"/>
        <w:bottom w:val="single" w:sz="12" w:space="0" w:color="auto"/>
        <w:insideH w:val="single" w:sz="2" w:space="0" w:color="auto"/>
      </w:tblBorders>
    </w:tblPr>
  </w:style>
  <w:style w:type="character" w:styleId="nfase">
    <w:name w:val="Emphasis"/>
    <w:uiPriority w:val="20"/>
    <w:qFormat/>
    <w:rsid w:val="00B57678"/>
    <w:rPr>
      <w:i/>
      <w:iCs/>
    </w:rPr>
  </w:style>
  <w:style w:type="character" w:styleId="TextodoEspaoReservado">
    <w:name w:val="Placeholder Text"/>
    <w:basedOn w:val="Fontepargpadro"/>
    <w:uiPriority w:val="99"/>
    <w:semiHidden/>
    <w:rsid w:val="00455D99"/>
    <w:rPr>
      <w:color w:val="808080"/>
    </w:rPr>
  </w:style>
  <w:style w:type="paragraph" w:customStyle="1" w:styleId="m1417977405856758783gmail-western">
    <w:name w:val="m_1417977405856758783gmail-western"/>
    <w:basedOn w:val="Normal"/>
    <w:rsid w:val="009E7A40"/>
    <w:pPr>
      <w:spacing w:before="100" w:beforeAutospacing="1" w:after="100" w:afterAutospacing="1"/>
    </w:pPr>
  </w:style>
  <w:style w:type="paragraph" w:styleId="NormalWeb">
    <w:name w:val="Normal (Web)"/>
    <w:basedOn w:val="Normal"/>
    <w:uiPriority w:val="99"/>
    <w:unhideWhenUsed/>
    <w:rsid w:val="007E336F"/>
    <w:pPr>
      <w:spacing w:before="100" w:beforeAutospacing="1" w:after="100" w:afterAutospacing="1"/>
    </w:pPr>
  </w:style>
  <w:style w:type="character" w:customStyle="1" w:styleId="highlight">
    <w:name w:val="highlight"/>
    <w:basedOn w:val="Fontepargpadro"/>
    <w:rsid w:val="00DA3524"/>
  </w:style>
  <w:style w:type="paragraph" w:customStyle="1" w:styleId="References">
    <w:name w:val="References"/>
    <w:rsid w:val="009462AA"/>
    <w:pPr>
      <w:spacing w:line="480" w:lineRule="auto"/>
      <w:ind w:left="720" w:hanging="720"/>
    </w:pPr>
    <w:rPr>
      <w:rFonts w:eastAsia="Batang" w:cs="Arial"/>
      <w:bCs/>
      <w:kern w:val="32"/>
      <w:sz w:val="24"/>
      <w:szCs w:val="24"/>
      <w:lang w:val="en-US" w:eastAsia="en-US"/>
    </w:rPr>
  </w:style>
  <w:style w:type="character" w:customStyle="1" w:styleId="Ttulo3Char">
    <w:name w:val="Título 3 Char"/>
    <w:basedOn w:val="Fontepargpadro"/>
    <w:link w:val="Ttulo3"/>
    <w:uiPriority w:val="9"/>
    <w:rsid w:val="00911EA9"/>
    <w:rPr>
      <w:iCs/>
      <w:sz w:val="24"/>
    </w:rPr>
  </w:style>
  <w:style w:type="character" w:styleId="CitaoHTML">
    <w:name w:val="HTML Cite"/>
    <w:basedOn w:val="Fontepargpadro"/>
    <w:uiPriority w:val="99"/>
    <w:unhideWhenUsed/>
    <w:rsid w:val="005C43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748">
      <w:bodyDiv w:val="1"/>
      <w:marLeft w:val="0"/>
      <w:marRight w:val="0"/>
      <w:marTop w:val="0"/>
      <w:marBottom w:val="0"/>
      <w:divBdr>
        <w:top w:val="none" w:sz="0" w:space="0" w:color="auto"/>
        <w:left w:val="none" w:sz="0" w:space="0" w:color="auto"/>
        <w:bottom w:val="none" w:sz="0" w:space="0" w:color="auto"/>
        <w:right w:val="none" w:sz="0" w:space="0" w:color="auto"/>
      </w:divBdr>
      <w:divsChild>
        <w:div w:id="1667123728">
          <w:marLeft w:val="0"/>
          <w:marRight w:val="0"/>
          <w:marTop w:val="0"/>
          <w:marBottom w:val="0"/>
          <w:divBdr>
            <w:top w:val="none" w:sz="0" w:space="0" w:color="auto"/>
            <w:left w:val="none" w:sz="0" w:space="0" w:color="auto"/>
            <w:bottom w:val="none" w:sz="0" w:space="0" w:color="auto"/>
            <w:right w:val="none" w:sz="0" w:space="0" w:color="auto"/>
          </w:divBdr>
        </w:div>
        <w:div w:id="1835686169">
          <w:marLeft w:val="0"/>
          <w:marRight w:val="0"/>
          <w:marTop w:val="0"/>
          <w:marBottom w:val="0"/>
          <w:divBdr>
            <w:top w:val="none" w:sz="0" w:space="0" w:color="auto"/>
            <w:left w:val="none" w:sz="0" w:space="0" w:color="auto"/>
            <w:bottom w:val="none" w:sz="0" w:space="0" w:color="auto"/>
            <w:right w:val="none" w:sz="0" w:space="0" w:color="auto"/>
          </w:divBdr>
        </w:div>
        <w:div w:id="1164512975">
          <w:marLeft w:val="0"/>
          <w:marRight w:val="0"/>
          <w:marTop w:val="0"/>
          <w:marBottom w:val="0"/>
          <w:divBdr>
            <w:top w:val="none" w:sz="0" w:space="0" w:color="auto"/>
            <w:left w:val="none" w:sz="0" w:space="0" w:color="auto"/>
            <w:bottom w:val="none" w:sz="0" w:space="0" w:color="auto"/>
            <w:right w:val="none" w:sz="0" w:space="0" w:color="auto"/>
          </w:divBdr>
        </w:div>
        <w:div w:id="925772296">
          <w:marLeft w:val="0"/>
          <w:marRight w:val="0"/>
          <w:marTop w:val="0"/>
          <w:marBottom w:val="0"/>
          <w:divBdr>
            <w:top w:val="none" w:sz="0" w:space="0" w:color="auto"/>
            <w:left w:val="none" w:sz="0" w:space="0" w:color="auto"/>
            <w:bottom w:val="none" w:sz="0" w:space="0" w:color="auto"/>
            <w:right w:val="none" w:sz="0" w:space="0" w:color="auto"/>
          </w:divBdr>
        </w:div>
        <w:div w:id="235089890">
          <w:marLeft w:val="0"/>
          <w:marRight w:val="0"/>
          <w:marTop w:val="0"/>
          <w:marBottom w:val="0"/>
          <w:divBdr>
            <w:top w:val="none" w:sz="0" w:space="0" w:color="auto"/>
            <w:left w:val="none" w:sz="0" w:space="0" w:color="auto"/>
            <w:bottom w:val="none" w:sz="0" w:space="0" w:color="auto"/>
            <w:right w:val="none" w:sz="0" w:space="0" w:color="auto"/>
          </w:divBdr>
        </w:div>
        <w:div w:id="2113356450">
          <w:marLeft w:val="0"/>
          <w:marRight w:val="0"/>
          <w:marTop w:val="0"/>
          <w:marBottom w:val="0"/>
          <w:divBdr>
            <w:top w:val="none" w:sz="0" w:space="0" w:color="auto"/>
            <w:left w:val="none" w:sz="0" w:space="0" w:color="auto"/>
            <w:bottom w:val="none" w:sz="0" w:space="0" w:color="auto"/>
            <w:right w:val="none" w:sz="0" w:space="0" w:color="auto"/>
          </w:divBdr>
        </w:div>
        <w:div w:id="1239438848">
          <w:marLeft w:val="0"/>
          <w:marRight w:val="0"/>
          <w:marTop w:val="0"/>
          <w:marBottom w:val="0"/>
          <w:divBdr>
            <w:top w:val="none" w:sz="0" w:space="0" w:color="auto"/>
            <w:left w:val="none" w:sz="0" w:space="0" w:color="auto"/>
            <w:bottom w:val="none" w:sz="0" w:space="0" w:color="auto"/>
            <w:right w:val="none" w:sz="0" w:space="0" w:color="auto"/>
          </w:divBdr>
        </w:div>
        <w:div w:id="1452630309">
          <w:marLeft w:val="0"/>
          <w:marRight w:val="0"/>
          <w:marTop w:val="0"/>
          <w:marBottom w:val="0"/>
          <w:divBdr>
            <w:top w:val="none" w:sz="0" w:space="0" w:color="auto"/>
            <w:left w:val="none" w:sz="0" w:space="0" w:color="auto"/>
            <w:bottom w:val="none" w:sz="0" w:space="0" w:color="auto"/>
            <w:right w:val="none" w:sz="0" w:space="0" w:color="auto"/>
          </w:divBdr>
        </w:div>
        <w:div w:id="1896962331">
          <w:marLeft w:val="0"/>
          <w:marRight w:val="0"/>
          <w:marTop w:val="0"/>
          <w:marBottom w:val="0"/>
          <w:divBdr>
            <w:top w:val="none" w:sz="0" w:space="0" w:color="auto"/>
            <w:left w:val="none" w:sz="0" w:space="0" w:color="auto"/>
            <w:bottom w:val="none" w:sz="0" w:space="0" w:color="auto"/>
            <w:right w:val="none" w:sz="0" w:space="0" w:color="auto"/>
          </w:divBdr>
        </w:div>
      </w:divsChild>
    </w:div>
    <w:div w:id="24916744">
      <w:bodyDiv w:val="1"/>
      <w:marLeft w:val="0"/>
      <w:marRight w:val="0"/>
      <w:marTop w:val="0"/>
      <w:marBottom w:val="0"/>
      <w:divBdr>
        <w:top w:val="none" w:sz="0" w:space="0" w:color="auto"/>
        <w:left w:val="none" w:sz="0" w:space="0" w:color="auto"/>
        <w:bottom w:val="none" w:sz="0" w:space="0" w:color="auto"/>
        <w:right w:val="none" w:sz="0" w:space="0" w:color="auto"/>
      </w:divBdr>
    </w:div>
    <w:div w:id="38164438">
      <w:bodyDiv w:val="1"/>
      <w:marLeft w:val="0"/>
      <w:marRight w:val="0"/>
      <w:marTop w:val="0"/>
      <w:marBottom w:val="0"/>
      <w:divBdr>
        <w:top w:val="none" w:sz="0" w:space="0" w:color="auto"/>
        <w:left w:val="none" w:sz="0" w:space="0" w:color="auto"/>
        <w:bottom w:val="none" w:sz="0" w:space="0" w:color="auto"/>
        <w:right w:val="none" w:sz="0" w:space="0" w:color="auto"/>
      </w:divBdr>
      <w:divsChild>
        <w:div w:id="118767774">
          <w:marLeft w:val="0"/>
          <w:marRight w:val="0"/>
          <w:marTop w:val="0"/>
          <w:marBottom w:val="0"/>
          <w:divBdr>
            <w:top w:val="none" w:sz="0" w:space="0" w:color="auto"/>
            <w:left w:val="none" w:sz="0" w:space="0" w:color="auto"/>
            <w:bottom w:val="none" w:sz="0" w:space="0" w:color="auto"/>
            <w:right w:val="none" w:sz="0" w:space="0" w:color="auto"/>
          </w:divBdr>
        </w:div>
        <w:div w:id="112134841">
          <w:marLeft w:val="0"/>
          <w:marRight w:val="0"/>
          <w:marTop w:val="0"/>
          <w:marBottom w:val="0"/>
          <w:divBdr>
            <w:top w:val="none" w:sz="0" w:space="0" w:color="auto"/>
            <w:left w:val="none" w:sz="0" w:space="0" w:color="auto"/>
            <w:bottom w:val="none" w:sz="0" w:space="0" w:color="auto"/>
            <w:right w:val="none" w:sz="0" w:space="0" w:color="auto"/>
          </w:divBdr>
        </w:div>
        <w:div w:id="1677271964">
          <w:marLeft w:val="0"/>
          <w:marRight w:val="0"/>
          <w:marTop w:val="0"/>
          <w:marBottom w:val="0"/>
          <w:divBdr>
            <w:top w:val="none" w:sz="0" w:space="0" w:color="auto"/>
            <w:left w:val="none" w:sz="0" w:space="0" w:color="auto"/>
            <w:bottom w:val="none" w:sz="0" w:space="0" w:color="auto"/>
            <w:right w:val="none" w:sz="0" w:space="0" w:color="auto"/>
          </w:divBdr>
        </w:div>
        <w:div w:id="814226767">
          <w:marLeft w:val="0"/>
          <w:marRight w:val="0"/>
          <w:marTop w:val="0"/>
          <w:marBottom w:val="0"/>
          <w:divBdr>
            <w:top w:val="none" w:sz="0" w:space="0" w:color="auto"/>
            <w:left w:val="none" w:sz="0" w:space="0" w:color="auto"/>
            <w:bottom w:val="none" w:sz="0" w:space="0" w:color="auto"/>
            <w:right w:val="none" w:sz="0" w:space="0" w:color="auto"/>
          </w:divBdr>
        </w:div>
        <w:div w:id="1623922202">
          <w:marLeft w:val="0"/>
          <w:marRight w:val="0"/>
          <w:marTop w:val="0"/>
          <w:marBottom w:val="0"/>
          <w:divBdr>
            <w:top w:val="none" w:sz="0" w:space="0" w:color="auto"/>
            <w:left w:val="none" w:sz="0" w:space="0" w:color="auto"/>
            <w:bottom w:val="none" w:sz="0" w:space="0" w:color="auto"/>
            <w:right w:val="none" w:sz="0" w:space="0" w:color="auto"/>
          </w:divBdr>
        </w:div>
      </w:divsChild>
    </w:div>
    <w:div w:id="126817895">
      <w:bodyDiv w:val="1"/>
      <w:marLeft w:val="0"/>
      <w:marRight w:val="0"/>
      <w:marTop w:val="0"/>
      <w:marBottom w:val="0"/>
      <w:divBdr>
        <w:top w:val="none" w:sz="0" w:space="0" w:color="auto"/>
        <w:left w:val="none" w:sz="0" w:space="0" w:color="auto"/>
        <w:bottom w:val="none" w:sz="0" w:space="0" w:color="auto"/>
        <w:right w:val="none" w:sz="0" w:space="0" w:color="auto"/>
      </w:divBdr>
    </w:div>
    <w:div w:id="139005924">
      <w:bodyDiv w:val="1"/>
      <w:marLeft w:val="0"/>
      <w:marRight w:val="0"/>
      <w:marTop w:val="0"/>
      <w:marBottom w:val="0"/>
      <w:divBdr>
        <w:top w:val="none" w:sz="0" w:space="0" w:color="auto"/>
        <w:left w:val="none" w:sz="0" w:space="0" w:color="auto"/>
        <w:bottom w:val="none" w:sz="0" w:space="0" w:color="auto"/>
        <w:right w:val="none" w:sz="0" w:space="0" w:color="auto"/>
      </w:divBdr>
    </w:div>
    <w:div w:id="163672460">
      <w:bodyDiv w:val="1"/>
      <w:marLeft w:val="0"/>
      <w:marRight w:val="0"/>
      <w:marTop w:val="0"/>
      <w:marBottom w:val="0"/>
      <w:divBdr>
        <w:top w:val="none" w:sz="0" w:space="0" w:color="auto"/>
        <w:left w:val="none" w:sz="0" w:space="0" w:color="auto"/>
        <w:bottom w:val="none" w:sz="0" w:space="0" w:color="auto"/>
        <w:right w:val="none" w:sz="0" w:space="0" w:color="auto"/>
      </w:divBdr>
      <w:divsChild>
        <w:div w:id="948581209">
          <w:marLeft w:val="0"/>
          <w:marRight w:val="0"/>
          <w:marTop w:val="0"/>
          <w:marBottom w:val="0"/>
          <w:divBdr>
            <w:top w:val="none" w:sz="0" w:space="0" w:color="auto"/>
            <w:left w:val="none" w:sz="0" w:space="0" w:color="auto"/>
            <w:bottom w:val="none" w:sz="0" w:space="0" w:color="auto"/>
            <w:right w:val="none" w:sz="0" w:space="0" w:color="auto"/>
          </w:divBdr>
        </w:div>
        <w:div w:id="52822179">
          <w:marLeft w:val="0"/>
          <w:marRight w:val="0"/>
          <w:marTop w:val="0"/>
          <w:marBottom w:val="0"/>
          <w:divBdr>
            <w:top w:val="none" w:sz="0" w:space="0" w:color="auto"/>
            <w:left w:val="none" w:sz="0" w:space="0" w:color="auto"/>
            <w:bottom w:val="none" w:sz="0" w:space="0" w:color="auto"/>
            <w:right w:val="none" w:sz="0" w:space="0" w:color="auto"/>
          </w:divBdr>
        </w:div>
        <w:div w:id="2028632711">
          <w:marLeft w:val="0"/>
          <w:marRight w:val="0"/>
          <w:marTop w:val="0"/>
          <w:marBottom w:val="0"/>
          <w:divBdr>
            <w:top w:val="none" w:sz="0" w:space="0" w:color="auto"/>
            <w:left w:val="none" w:sz="0" w:space="0" w:color="auto"/>
            <w:bottom w:val="none" w:sz="0" w:space="0" w:color="auto"/>
            <w:right w:val="none" w:sz="0" w:space="0" w:color="auto"/>
          </w:divBdr>
        </w:div>
        <w:div w:id="858397889">
          <w:marLeft w:val="0"/>
          <w:marRight w:val="0"/>
          <w:marTop w:val="0"/>
          <w:marBottom w:val="0"/>
          <w:divBdr>
            <w:top w:val="none" w:sz="0" w:space="0" w:color="auto"/>
            <w:left w:val="none" w:sz="0" w:space="0" w:color="auto"/>
            <w:bottom w:val="none" w:sz="0" w:space="0" w:color="auto"/>
            <w:right w:val="none" w:sz="0" w:space="0" w:color="auto"/>
          </w:divBdr>
        </w:div>
        <w:div w:id="541671331">
          <w:marLeft w:val="0"/>
          <w:marRight w:val="0"/>
          <w:marTop w:val="0"/>
          <w:marBottom w:val="0"/>
          <w:divBdr>
            <w:top w:val="none" w:sz="0" w:space="0" w:color="auto"/>
            <w:left w:val="none" w:sz="0" w:space="0" w:color="auto"/>
            <w:bottom w:val="none" w:sz="0" w:space="0" w:color="auto"/>
            <w:right w:val="none" w:sz="0" w:space="0" w:color="auto"/>
          </w:divBdr>
        </w:div>
        <w:div w:id="1844860570">
          <w:marLeft w:val="0"/>
          <w:marRight w:val="0"/>
          <w:marTop w:val="0"/>
          <w:marBottom w:val="0"/>
          <w:divBdr>
            <w:top w:val="none" w:sz="0" w:space="0" w:color="auto"/>
            <w:left w:val="none" w:sz="0" w:space="0" w:color="auto"/>
            <w:bottom w:val="none" w:sz="0" w:space="0" w:color="auto"/>
            <w:right w:val="none" w:sz="0" w:space="0" w:color="auto"/>
          </w:divBdr>
        </w:div>
        <w:div w:id="1789005498">
          <w:marLeft w:val="0"/>
          <w:marRight w:val="0"/>
          <w:marTop w:val="0"/>
          <w:marBottom w:val="0"/>
          <w:divBdr>
            <w:top w:val="none" w:sz="0" w:space="0" w:color="auto"/>
            <w:left w:val="none" w:sz="0" w:space="0" w:color="auto"/>
            <w:bottom w:val="none" w:sz="0" w:space="0" w:color="auto"/>
            <w:right w:val="none" w:sz="0" w:space="0" w:color="auto"/>
          </w:divBdr>
        </w:div>
        <w:div w:id="223101747">
          <w:marLeft w:val="0"/>
          <w:marRight w:val="0"/>
          <w:marTop w:val="0"/>
          <w:marBottom w:val="0"/>
          <w:divBdr>
            <w:top w:val="none" w:sz="0" w:space="0" w:color="auto"/>
            <w:left w:val="none" w:sz="0" w:space="0" w:color="auto"/>
            <w:bottom w:val="none" w:sz="0" w:space="0" w:color="auto"/>
            <w:right w:val="none" w:sz="0" w:space="0" w:color="auto"/>
          </w:divBdr>
        </w:div>
      </w:divsChild>
    </w:div>
    <w:div w:id="167063111">
      <w:bodyDiv w:val="1"/>
      <w:marLeft w:val="0"/>
      <w:marRight w:val="0"/>
      <w:marTop w:val="0"/>
      <w:marBottom w:val="0"/>
      <w:divBdr>
        <w:top w:val="none" w:sz="0" w:space="0" w:color="auto"/>
        <w:left w:val="none" w:sz="0" w:space="0" w:color="auto"/>
        <w:bottom w:val="none" w:sz="0" w:space="0" w:color="auto"/>
        <w:right w:val="none" w:sz="0" w:space="0" w:color="auto"/>
      </w:divBdr>
    </w:div>
    <w:div w:id="254365846">
      <w:bodyDiv w:val="1"/>
      <w:marLeft w:val="0"/>
      <w:marRight w:val="0"/>
      <w:marTop w:val="0"/>
      <w:marBottom w:val="0"/>
      <w:divBdr>
        <w:top w:val="none" w:sz="0" w:space="0" w:color="auto"/>
        <w:left w:val="none" w:sz="0" w:space="0" w:color="auto"/>
        <w:bottom w:val="none" w:sz="0" w:space="0" w:color="auto"/>
        <w:right w:val="none" w:sz="0" w:space="0" w:color="auto"/>
      </w:divBdr>
      <w:divsChild>
        <w:div w:id="193732991">
          <w:marLeft w:val="0"/>
          <w:marRight w:val="0"/>
          <w:marTop w:val="0"/>
          <w:marBottom w:val="0"/>
          <w:divBdr>
            <w:top w:val="none" w:sz="0" w:space="0" w:color="auto"/>
            <w:left w:val="none" w:sz="0" w:space="0" w:color="auto"/>
            <w:bottom w:val="none" w:sz="0" w:space="0" w:color="auto"/>
            <w:right w:val="none" w:sz="0" w:space="0" w:color="auto"/>
          </w:divBdr>
        </w:div>
        <w:div w:id="246158355">
          <w:marLeft w:val="0"/>
          <w:marRight w:val="0"/>
          <w:marTop w:val="0"/>
          <w:marBottom w:val="0"/>
          <w:divBdr>
            <w:top w:val="none" w:sz="0" w:space="0" w:color="auto"/>
            <w:left w:val="none" w:sz="0" w:space="0" w:color="auto"/>
            <w:bottom w:val="none" w:sz="0" w:space="0" w:color="auto"/>
            <w:right w:val="none" w:sz="0" w:space="0" w:color="auto"/>
          </w:divBdr>
        </w:div>
        <w:div w:id="820852660">
          <w:marLeft w:val="0"/>
          <w:marRight w:val="0"/>
          <w:marTop w:val="0"/>
          <w:marBottom w:val="0"/>
          <w:divBdr>
            <w:top w:val="none" w:sz="0" w:space="0" w:color="auto"/>
            <w:left w:val="none" w:sz="0" w:space="0" w:color="auto"/>
            <w:bottom w:val="none" w:sz="0" w:space="0" w:color="auto"/>
            <w:right w:val="none" w:sz="0" w:space="0" w:color="auto"/>
          </w:divBdr>
        </w:div>
        <w:div w:id="84544071">
          <w:marLeft w:val="0"/>
          <w:marRight w:val="0"/>
          <w:marTop w:val="0"/>
          <w:marBottom w:val="0"/>
          <w:divBdr>
            <w:top w:val="none" w:sz="0" w:space="0" w:color="auto"/>
            <w:left w:val="none" w:sz="0" w:space="0" w:color="auto"/>
            <w:bottom w:val="none" w:sz="0" w:space="0" w:color="auto"/>
            <w:right w:val="none" w:sz="0" w:space="0" w:color="auto"/>
          </w:divBdr>
        </w:div>
        <w:div w:id="1101529765">
          <w:marLeft w:val="0"/>
          <w:marRight w:val="0"/>
          <w:marTop w:val="0"/>
          <w:marBottom w:val="0"/>
          <w:divBdr>
            <w:top w:val="none" w:sz="0" w:space="0" w:color="auto"/>
            <w:left w:val="none" w:sz="0" w:space="0" w:color="auto"/>
            <w:bottom w:val="none" w:sz="0" w:space="0" w:color="auto"/>
            <w:right w:val="none" w:sz="0" w:space="0" w:color="auto"/>
          </w:divBdr>
        </w:div>
      </w:divsChild>
    </w:div>
    <w:div w:id="279264808">
      <w:bodyDiv w:val="1"/>
      <w:marLeft w:val="0"/>
      <w:marRight w:val="0"/>
      <w:marTop w:val="0"/>
      <w:marBottom w:val="0"/>
      <w:divBdr>
        <w:top w:val="none" w:sz="0" w:space="0" w:color="auto"/>
        <w:left w:val="none" w:sz="0" w:space="0" w:color="auto"/>
        <w:bottom w:val="none" w:sz="0" w:space="0" w:color="auto"/>
        <w:right w:val="none" w:sz="0" w:space="0" w:color="auto"/>
      </w:divBdr>
    </w:div>
    <w:div w:id="322902149">
      <w:bodyDiv w:val="1"/>
      <w:marLeft w:val="0"/>
      <w:marRight w:val="0"/>
      <w:marTop w:val="0"/>
      <w:marBottom w:val="0"/>
      <w:divBdr>
        <w:top w:val="none" w:sz="0" w:space="0" w:color="auto"/>
        <w:left w:val="none" w:sz="0" w:space="0" w:color="auto"/>
        <w:bottom w:val="none" w:sz="0" w:space="0" w:color="auto"/>
        <w:right w:val="none" w:sz="0" w:space="0" w:color="auto"/>
      </w:divBdr>
      <w:divsChild>
        <w:div w:id="1890453129">
          <w:marLeft w:val="0"/>
          <w:marRight w:val="0"/>
          <w:marTop w:val="0"/>
          <w:marBottom w:val="300"/>
          <w:divBdr>
            <w:top w:val="none" w:sz="0" w:space="0" w:color="auto"/>
            <w:left w:val="none" w:sz="0" w:space="0" w:color="auto"/>
            <w:bottom w:val="none" w:sz="0" w:space="0" w:color="auto"/>
            <w:right w:val="none" w:sz="0" w:space="0" w:color="auto"/>
          </w:divBdr>
        </w:div>
        <w:div w:id="1176924855">
          <w:marLeft w:val="0"/>
          <w:marRight w:val="300"/>
          <w:marTop w:val="0"/>
          <w:marBottom w:val="0"/>
          <w:divBdr>
            <w:top w:val="none" w:sz="0" w:space="0" w:color="auto"/>
            <w:left w:val="none" w:sz="0" w:space="0" w:color="auto"/>
            <w:bottom w:val="none" w:sz="0" w:space="0" w:color="auto"/>
            <w:right w:val="none" w:sz="0" w:space="0" w:color="auto"/>
          </w:divBdr>
        </w:div>
        <w:div w:id="1916889078">
          <w:marLeft w:val="0"/>
          <w:marRight w:val="0"/>
          <w:marTop w:val="0"/>
          <w:marBottom w:val="300"/>
          <w:divBdr>
            <w:top w:val="none" w:sz="0" w:space="0" w:color="auto"/>
            <w:left w:val="none" w:sz="0" w:space="0" w:color="auto"/>
            <w:bottom w:val="none" w:sz="0" w:space="0" w:color="auto"/>
            <w:right w:val="none" w:sz="0" w:space="0" w:color="auto"/>
          </w:divBdr>
        </w:div>
        <w:div w:id="1588146722">
          <w:marLeft w:val="0"/>
          <w:marRight w:val="300"/>
          <w:marTop w:val="0"/>
          <w:marBottom w:val="0"/>
          <w:divBdr>
            <w:top w:val="none" w:sz="0" w:space="0" w:color="auto"/>
            <w:left w:val="none" w:sz="0" w:space="0" w:color="auto"/>
            <w:bottom w:val="none" w:sz="0" w:space="0" w:color="auto"/>
            <w:right w:val="none" w:sz="0" w:space="0" w:color="auto"/>
          </w:divBdr>
        </w:div>
        <w:div w:id="1431510417">
          <w:marLeft w:val="0"/>
          <w:marRight w:val="0"/>
          <w:marTop w:val="0"/>
          <w:marBottom w:val="300"/>
          <w:divBdr>
            <w:top w:val="none" w:sz="0" w:space="0" w:color="auto"/>
            <w:left w:val="none" w:sz="0" w:space="0" w:color="auto"/>
            <w:bottom w:val="none" w:sz="0" w:space="0" w:color="auto"/>
            <w:right w:val="none" w:sz="0" w:space="0" w:color="auto"/>
          </w:divBdr>
        </w:div>
        <w:div w:id="1428502543">
          <w:marLeft w:val="0"/>
          <w:marRight w:val="300"/>
          <w:marTop w:val="0"/>
          <w:marBottom w:val="0"/>
          <w:divBdr>
            <w:top w:val="none" w:sz="0" w:space="0" w:color="auto"/>
            <w:left w:val="none" w:sz="0" w:space="0" w:color="auto"/>
            <w:bottom w:val="none" w:sz="0" w:space="0" w:color="auto"/>
            <w:right w:val="none" w:sz="0" w:space="0" w:color="auto"/>
          </w:divBdr>
        </w:div>
        <w:div w:id="875772682">
          <w:marLeft w:val="0"/>
          <w:marRight w:val="0"/>
          <w:marTop w:val="0"/>
          <w:marBottom w:val="300"/>
          <w:divBdr>
            <w:top w:val="none" w:sz="0" w:space="0" w:color="auto"/>
            <w:left w:val="none" w:sz="0" w:space="0" w:color="auto"/>
            <w:bottom w:val="none" w:sz="0" w:space="0" w:color="auto"/>
            <w:right w:val="none" w:sz="0" w:space="0" w:color="auto"/>
          </w:divBdr>
        </w:div>
      </w:divsChild>
    </w:div>
    <w:div w:id="338627953">
      <w:bodyDiv w:val="1"/>
      <w:marLeft w:val="0"/>
      <w:marRight w:val="0"/>
      <w:marTop w:val="0"/>
      <w:marBottom w:val="0"/>
      <w:divBdr>
        <w:top w:val="none" w:sz="0" w:space="0" w:color="auto"/>
        <w:left w:val="none" w:sz="0" w:space="0" w:color="auto"/>
        <w:bottom w:val="none" w:sz="0" w:space="0" w:color="auto"/>
        <w:right w:val="none" w:sz="0" w:space="0" w:color="auto"/>
      </w:divBdr>
    </w:div>
    <w:div w:id="351492416">
      <w:bodyDiv w:val="1"/>
      <w:marLeft w:val="0"/>
      <w:marRight w:val="0"/>
      <w:marTop w:val="0"/>
      <w:marBottom w:val="0"/>
      <w:divBdr>
        <w:top w:val="none" w:sz="0" w:space="0" w:color="auto"/>
        <w:left w:val="none" w:sz="0" w:space="0" w:color="auto"/>
        <w:bottom w:val="none" w:sz="0" w:space="0" w:color="auto"/>
        <w:right w:val="none" w:sz="0" w:space="0" w:color="auto"/>
      </w:divBdr>
    </w:div>
    <w:div w:id="368995496">
      <w:bodyDiv w:val="1"/>
      <w:marLeft w:val="0"/>
      <w:marRight w:val="0"/>
      <w:marTop w:val="0"/>
      <w:marBottom w:val="0"/>
      <w:divBdr>
        <w:top w:val="none" w:sz="0" w:space="0" w:color="auto"/>
        <w:left w:val="none" w:sz="0" w:space="0" w:color="auto"/>
        <w:bottom w:val="none" w:sz="0" w:space="0" w:color="auto"/>
        <w:right w:val="none" w:sz="0" w:space="0" w:color="auto"/>
      </w:divBdr>
    </w:div>
    <w:div w:id="393312225">
      <w:bodyDiv w:val="1"/>
      <w:marLeft w:val="0"/>
      <w:marRight w:val="0"/>
      <w:marTop w:val="0"/>
      <w:marBottom w:val="0"/>
      <w:divBdr>
        <w:top w:val="none" w:sz="0" w:space="0" w:color="auto"/>
        <w:left w:val="none" w:sz="0" w:space="0" w:color="auto"/>
        <w:bottom w:val="none" w:sz="0" w:space="0" w:color="auto"/>
        <w:right w:val="none" w:sz="0" w:space="0" w:color="auto"/>
      </w:divBdr>
      <w:divsChild>
        <w:div w:id="1554384306">
          <w:marLeft w:val="0"/>
          <w:marRight w:val="0"/>
          <w:marTop w:val="0"/>
          <w:marBottom w:val="0"/>
          <w:divBdr>
            <w:top w:val="none" w:sz="0" w:space="0" w:color="auto"/>
            <w:left w:val="none" w:sz="0" w:space="0" w:color="auto"/>
            <w:bottom w:val="none" w:sz="0" w:space="0" w:color="auto"/>
            <w:right w:val="none" w:sz="0" w:space="0" w:color="auto"/>
          </w:divBdr>
          <w:divsChild>
            <w:div w:id="1948658603">
              <w:marLeft w:val="0"/>
              <w:marRight w:val="0"/>
              <w:marTop w:val="0"/>
              <w:marBottom w:val="0"/>
              <w:divBdr>
                <w:top w:val="none" w:sz="0" w:space="0" w:color="auto"/>
                <w:left w:val="none" w:sz="0" w:space="0" w:color="auto"/>
                <w:bottom w:val="none" w:sz="0" w:space="0" w:color="auto"/>
                <w:right w:val="none" w:sz="0" w:space="0" w:color="auto"/>
              </w:divBdr>
              <w:divsChild>
                <w:div w:id="1039085444">
                  <w:marLeft w:val="0"/>
                  <w:marRight w:val="0"/>
                  <w:marTop w:val="0"/>
                  <w:marBottom w:val="0"/>
                  <w:divBdr>
                    <w:top w:val="none" w:sz="0" w:space="0" w:color="auto"/>
                    <w:left w:val="none" w:sz="0" w:space="0" w:color="auto"/>
                    <w:bottom w:val="none" w:sz="0" w:space="0" w:color="auto"/>
                    <w:right w:val="none" w:sz="0" w:space="0" w:color="auto"/>
                  </w:divBdr>
                  <w:divsChild>
                    <w:div w:id="1529955161">
                      <w:marLeft w:val="0"/>
                      <w:marRight w:val="0"/>
                      <w:marTop w:val="0"/>
                      <w:marBottom w:val="0"/>
                      <w:divBdr>
                        <w:top w:val="none" w:sz="0" w:space="0" w:color="auto"/>
                        <w:left w:val="none" w:sz="0" w:space="0" w:color="auto"/>
                        <w:bottom w:val="none" w:sz="0" w:space="0" w:color="auto"/>
                        <w:right w:val="none" w:sz="0" w:space="0" w:color="auto"/>
                      </w:divBdr>
                      <w:divsChild>
                        <w:div w:id="176896153">
                          <w:marLeft w:val="0"/>
                          <w:marRight w:val="0"/>
                          <w:marTop w:val="0"/>
                          <w:marBottom w:val="0"/>
                          <w:divBdr>
                            <w:top w:val="none" w:sz="0" w:space="0" w:color="auto"/>
                            <w:left w:val="none" w:sz="0" w:space="0" w:color="auto"/>
                            <w:bottom w:val="none" w:sz="0" w:space="0" w:color="auto"/>
                            <w:right w:val="none" w:sz="0" w:space="0" w:color="auto"/>
                          </w:divBdr>
                          <w:divsChild>
                            <w:div w:id="2103642053">
                              <w:marLeft w:val="0"/>
                              <w:marRight w:val="0"/>
                              <w:marTop w:val="0"/>
                              <w:marBottom w:val="0"/>
                              <w:divBdr>
                                <w:top w:val="none" w:sz="0" w:space="0" w:color="auto"/>
                                <w:left w:val="none" w:sz="0" w:space="0" w:color="auto"/>
                                <w:bottom w:val="none" w:sz="0" w:space="0" w:color="auto"/>
                                <w:right w:val="none" w:sz="0" w:space="0" w:color="auto"/>
                              </w:divBdr>
                              <w:divsChild>
                                <w:div w:id="718431275">
                                  <w:marLeft w:val="0"/>
                                  <w:marRight w:val="0"/>
                                  <w:marTop w:val="0"/>
                                  <w:marBottom w:val="0"/>
                                  <w:divBdr>
                                    <w:top w:val="none" w:sz="0" w:space="0" w:color="auto"/>
                                    <w:left w:val="none" w:sz="0" w:space="0" w:color="auto"/>
                                    <w:bottom w:val="none" w:sz="0" w:space="0" w:color="auto"/>
                                    <w:right w:val="none" w:sz="0" w:space="0" w:color="auto"/>
                                  </w:divBdr>
                                  <w:divsChild>
                                    <w:div w:id="923607300">
                                      <w:marLeft w:val="60"/>
                                      <w:marRight w:val="0"/>
                                      <w:marTop w:val="0"/>
                                      <w:marBottom w:val="0"/>
                                      <w:divBdr>
                                        <w:top w:val="none" w:sz="0" w:space="0" w:color="auto"/>
                                        <w:left w:val="none" w:sz="0" w:space="0" w:color="auto"/>
                                        <w:bottom w:val="none" w:sz="0" w:space="0" w:color="auto"/>
                                        <w:right w:val="none" w:sz="0" w:space="0" w:color="auto"/>
                                      </w:divBdr>
                                      <w:divsChild>
                                        <w:div w:id="186407096">
                                          <w:marLeft w:val="0"/>
                                          <w:marRight w:val="0"/>
                                          <w:marTop w:val="0"/>
                                          <w:marBottom w:val="0"/>
                                          <w:divBdr>
                                            <w:top w:val="none" w:sz="0" w:space="0" w:color="auto"/>
                                            <w:left w:val="none" w:sz="0" w:space="0" w:color="auto"/>
                                            <w:bottom w:val="none" w:sz="0" w:space="0" w:color="auto"/>
                                            <w:right w:val="none" w:sz="0" w:space="0" w:color="auto"/>
                                          </w:divBdr>
                                          <w:divsChild>
                                            <w:div w:id="345520663">
                                              <w:marLeft w:val="0"/>
                                              <w:marRight w:val="0"/>
                                              <w:marTop w:val="0"/>
                                              <w:marBottom w:val="120"/>
                                              <w:divBdr>
                                                <w:top w:val="single" w:sz="6" w:space="0" w:color="F5F5F5"/>
                                                <w:left w:val="single" w:sz="6" w:space="0" w:color="F5F5F5"/>
                                                <w:bottom w:val="single" w:sz="6" w:space="0" w:color="F5F5F5"/>
                                                <w:right w:val="single" w:sz="6" w:space="0" w:color="F5F5F5"/>
                                              </w:divBdr>
                                              <w:divsChild>
                                                <w:div w:id="1203785391">
                                                  <w:marLeft w:val="0"/>
                                                  <w:marRight w:val="0"/>
                                                  <w:marTop w:val="0"/>
                                                  <w:marBottom w:val="0"/>
                                                  <w:divBdr>
                                                    <w:top w:val="none" w:sz="0" w:space="0" w:color="auto"/>
                                                    <w:left w:val="none" w:sz="0" w:space="0" w:color="auto"/>
                                                    <w:bottom w:val="none" w:sz="0" w:space="0" w:color="auto"/>
                                                    <w:right w:val="none" w:sz="0" w:space="0" w:color="auto"/>
                                                  </w:divBdr>
                                                  <w:divsChild>
                                                    <w:div w:id="199783080">
                                                      <w:marLeft w:val="0"/>
                                                      <w:marRight w:val="0"/>
                                                      <w:marTop w:val="0"/>
                                                      <w:marBottom w:val="0"/>
                                                      <w:divBdr>
                                                        <w:top w:val="none" w:sz="0" w:space="0" w:color="auto"/>
                                                        <w:left w:val="none" w:sz="0" w:space="0" w:color="auto"/>
                                                        <w:bottom w:val="none" w:sz="0" w:space="0" w:color="auto"/>
                                                        <w:right w:val="none" w:sz="0" w:space="0" w:color="auto"/>
                                                      </w:divBdr>
                                                    </w:div>
                                                  </w:divsChild>
                                                </w:div>
                                                <w:div w:id="466511236">
                                                  <w:marLeft w:val="0"/>
                                                  <w:marRight w:val="0"/>
                                                  <w:marTop w:val="0"/>
                                                  <w:marBottom w:val="0"/>
                                                  <w:divBdr>
                                                    <w:top w:val="none" w:sz="0" w:space="0" w:color="auto"/>
                                                    <w:left w:val="none" w:sz="0" w:space="0" w:color="auto"/>
                                                    <w:bottom w:val="none" w:sz="0" w:space="0" w:color="auto"/>
                                                    <w:right w:val="none" w:sz="0" w:space="0" w:color="auto"/>
                                                  </w:divBdr>
                                                  <w:divsChild>
                                                    <w:div w:id="5206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3356728">
      <w:bodyDiv w:val="1"/>
      <w:marLeft w:val="0"/>
      <w:marRight w:val="0"/>
      <w:marTop w:val="0"/>
      <w:marBottom w:val="0"/>
      <w:divBdr>
        <w:top w:val="none" w:sz="0" w:space="0" w:color="auto"/>
        <w:left w:val="none" w:sz="0" w:space="0" w:color="auto"/>
        <w:bottom w:val="none" w:sz="0" w:space="0" w:color="auto"/>
        <w:right w:val="none" w:sz="0" w:space="0" w:color="auto"/>
      </w:divBdr>
      <w:divsChild>
        <w:div w:id="1553881125">
          <w:marLeft w:val="0"/>
          <w:marRight w:val="0"/>
          <w:marTop w:val="375"/>
          <w:marBottom w:val="0"/>
          <w:divBdr>
            <w:top w:val="none" w:sz="0" w:space="0" w:color="auto"/>
            <w:left w:val="none" w:sz="0" w:space="0" w:color="auto"/>
            <w:bottom w:val="none" w:sz="0" w:space="0" w:color="auto"/>
            <w:right w:val="none" w:sz="0" w:space="0" w:color="auto"/>
          </w:divBdr>
        </w:div>
      </w:divsChild>
    </w:div>
    <w:div w:id="419913056">
      <w:bodyDiv w:val="1"/>
      <w:marLeft w:val="0"/>
      <w:marRight w:val="0"/>
      <w:marTop w:val="0"/>
      <w:marBottom w:val="0"/>
      <w:divBdr>
        <w:top w:val="none" w:sz="0" w:space="0" w:color="auto"/>
        <w:left w:val="none" w:sz="0" w:space="0" w:color="auto"/>
        <w:bottom w:val="none" w:sz="0" w:space="0" w:color="auto"/>
        <w:right w:val="none" w:sz="0" w:space="0" w:color="auto"/>
      </w:divBdr>
    </w:div>
    <w:div w:id="425880959">
      <w:bodyDiv w:val="1"/>
      <w:marLeft w:val="0"/>
      <w:marRight w:val="0"/>
      <w:marTop w:val="0"/>
      <w:marBottom w:val="0"/>
      <w:divBdr>
        <w:top w:val="none" w:sz="0" w:space="0" w:color="auto"/>
        <w:left w:val="none" w:sz="0" w:space="0" w:color="auto"/>
        <w:bottom w:val="none" w:sz="0" w:space="0" w:color="auto"/>
        <w:right w:val="none" w:sz="0" w:space="0" w:color="auto"/>
      </w:divBdr>
    </w:div>
    <w:div w:id="467942643">
      <w:bodyDiv w:val="1"/>
      <w:marLeft w:val="0"/>
      <w:marRight w:val="0"/>
      <w:marTop w:val="0"/>
      <w:marBottom w:val="0"/>
      <w:divBdr>
        <w:top w:val="none" w:sz="0" w:space="0" w:color="auto"/>
        <w:left w:val="none" w:sz="0" w:space="0" w:color="auto"/>
        <w:bottom w:val="none" w:sz="0" w:space="0" w:color="auto"/>
        <w:right w:val="none" w:sz="0" w:space="0" w:color="auto"/>
      </w:divBdr>
      <w:divsChild>
        <w:div w:id="668824635">
          <w:marLeft w:val="0"/>
          <w:marRight w:val="0"/>
          <w:marTop w:val="0"/>
          <w:marBottom w:val="0"/>
          <w:divBdr>
            <w:top w:val="none" w:sz="0" w:space="0" w:color="auto"/>
            <w:left w:val="none" w:sz="0" w:space="0" w:color="auto"/>
            <w:bottom w:val="none" w:sz="0" w:space="0" w:color="auto"/>
            <w:right w:val="none" w:sz="0" w:space="0" w:color="auto"/>
          </w:divBdr>
        </w:div>
      </w:divsChild>
    </w:div>
    <w:div w:id="492793248">
      <w:bodyDiv w:val="1"/>
      <w:marLeft w:val="0"/>
      <w:marRight w:val="0"/>
      <w:marTop w:val="0"/>
      <w:marBottom w:val="0"/>
      <w:divBdr>
        <w:top w:val="none" w:sz="0" w:space="0" w:color="auto"/>
        <w:left w:val="none" w:sz="0" w:space="0" w:color="auto"/>
        <w:bottom w:val="none" w:sz="0" w:space="0" w:color="auto"/>
        <w:right w:val="none" w:sz="0" w:space="0" w:color="auto"/>
      </w:divBdr>
      <w:divsChild>
        <w:div w:id="832721096">
          <w:marLeft w:val="0"/>
          <w:marRight w:val="0"/>
          <w:marTop w:val="0"/>
          <w:marBottom w:val="0"/>
          <w:divBdr>
            <w:top w:val="none" w:sz="0" w:space="0" w:color="auto"/>
            <w:left w:val="none" w:sz="0" w:space="0" w:color="auto"/>
            <w:bottom w:val="none" w:sz="0" w:space="0" w:color="auto"/>
            <w:right w:val="none" w:sz="0" w:space="0" w:color="auto"/>
          </w:divBdr>
        </w:div>
      </w:divsChild>
    </w:div>
    <w:div w:id="495076941">
      <w:bodyDiv w:val="1"/>
      <w:marLeft w:val="0"/>
      <w:marRight w:val="0"/>
      <w:marTop w:val="0"/>
      <w:marBottom w:val="0"/>
      <w:divBdr>
        <w:top w:val="none" w:sz="0" w:space="0" w:color="auto"/>
        <w:left w:val="none" w:sz="0" w:space="0" w:color="auto"/>
        <w:bottom w:val="none" w:sz="0" w:space="0" w:color="auto"/>
        <w:right w:val="none" w:sz="0" w:space="0" w:color="auto"/>
      </w:divBdr>
    </w:div>
    <w:div w:id="526678137">
      <w:bodyDiv w:val="1"/>
      <w:marLeft w:val="0"/>
      <w:marRight w:val="0"/>
      <w:marTop w:val="0"/>
      <w:marBottom w:val="0"/>
      <w:divBdr>
        <w:top w:val="none" w:sz="0" w:space="0" w:color="auto"/>
        <w:left w:val="none" w:sz="0" w:space="0" w:color="auto"/>
        <w:bottom w:val="none" w:sz="0" w:space="0" w:color="auto"/>
        <w:right w:val="none" w:sz="0" w:space="0" w:color="auto"/>
      </w:divBdr>
      <w:divsChild>
        <w:div w:id="632829250">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007633987">
          <w:marLeft w:val="0"/>
          <w:marRight w:val="0"/>
          <w:marTop w:val="0"/>
          <w:marBottom w:val="0"/>
          <w:divBdr>
            <w:top w:val="none" w:sz="0" w:space="0" w:color="auto"/>
            <w:left w:val="none" w:sz="0" w:space="0" w:color="auto"/>
            <w:bottom w:val="none" w:sz="0" w:space="0" w:color="auto"/>
            <w:right w:val="none" w:sz="0" w:space="0" w:color="auto"/>
          </w:divBdr>
        </w:div>
        <w:div w:id="610935055">
          <w:marLeft w:val="0"/>
          <w:marRight w:val="0"/>
          <w:marTop w:val="0"/>
          <w:marBottom w:val="0"/>
          <w:divBdr>
            <w:top w:val="none" w:sz="0" w:space="0" w:color="auto"/>
            <w:left w:val="none" w:sz="0" w:space="0" w:color="auto"/>
            <w:bottom w:val="none" w:sz="0" w:space="0" w:color="auto"/>
            <w:right w:val="none" w:sz="0" w:space="0" w:color="auto"/>
          </w:divBdr>
        </w:div>
        <w:div w:id="1325082134">
          <w:marLeft w:val="0"/>
          <w:marRight w:val="0"/>
          <w:marTop w:val="0"/>
          <w:marBottom w:val="0"/>
          <w:divBdr>
            <w:top w:val="none" w:sz="0" w:space="0" w:color="auto"/>
            <w:left w:val="none" w:sz="0" w:space="0" w:color="auto"/>
            <w:bottom w:val="none" w:sz="0" w:space="0" w:color="auto"/>
            <w:right w:val="none" w:sz="0" w:space="0" w:color="auto"/>
          </w:divBdr>
        </w:div>
      </w:divsChild>
    </w:div>
    <w:div w:id="538203497">
      <w:bodyDiv w:val="1"/>
      <w:marLeft w:val="0"/>
      <w:marRight w:val="0"/>
      <w:marTop w:val="0"/>
      <w:marBottom w:val="0"/>
      <w:divBdr>
        <w:top w:val="none" w:sz="0" w:space="0" w:color="auto"/>
        <w:left w:val="none" w:sz="0" w:space="0" w:color="auto"/>
        <w:bottom w:val="none" w:sz="0" w:space="0" w:color="auto"/>
        <w:right w:val="none" w:sz="0" w:space="0" w:color="auto"/>
      </w:divBdr>
      <w:divsChild>
        <w:div w:id="1092512532">
          <w:marLeft w:val="0"/>
          <w:marRight w:val="0"/>
          <w:marTop w:val="0"/>
          <w:marBottom w:val="0"/>
          <w:divBdr>
            <w:top w:val="none" w:sz="0" w:space="0" w:color="auto"/>
            <w:left w:val="none" w:sz="0" w:space="0" w:color="auto"/>
            <w:bottom w:val="none" w:sz="0" w:space="0" w:color="auto"/>
            <w:right w:val="none" w:sz="0" w:space="0" w:color="auto"/>
          </w:divBdr>
        </w:div>
        <w:div w:id="2066945221">
          <w:marLeft w:val="0"/>
          <w:marRight w:val="0"/>
          <w:marTop w:val="0"/>
          <w:marBottom w:val="0"/>
          <w:divBdr>
            <w:top w:val="none" w:sz="0" w:space="0" w:color="auto"/>
            <w:left w:val="none" w:sz="0" w:space="0" w:color="auto"/>
            <w:bottom w:val="none" w:sz="0" w:space="0" w:color="auto"/>
            <w:right w:val="none" w:sz="0" w:space="0" w:color="auto"/>
          </w:divBdr>
        </w:div>
        <w:div w:id="1665622194">
          <w:marLeft w:val="0"/>
          <w:marRight w:val="0"/>
          <w:marTop w:val="0"/>
          <w:marBottom w:val="0"/>
          <w:divBdr>
            <w:top w:val="none" w:sz="0" w:space="0" w:color="auto"/>
            <w:left w:val="none" w:sz="0" w:space="0" w:color="auto"/>
            <w:bottom w:val="none" w:sz="0" w:space="0" w:color="auto"/>
            <w:right w:val="none" w:sz="0" w:space="0" w:color="auto"/>
          </w:divBdr>
        </w:div>
        <w:div w:id="1117601034">
          <w:marLeft w:val="0"/>
          <w:marRight w:val="0"/>
          <w:marTop w:val="0"/>
          <w:marBottom w:val="0"/>
          <w:divBdr>
            <w:top w:val="none" w:sz="0" w:space="0" w:color="auto"/>
            <w:left w:val="none" w:sz="0" w:space="0" w:color="auto"/>
            <w:bottom w:val="none" w:sz="0" w:space="0" w:color="auto"/>
            <w:right w:val="none" w:sz="0" w:space="0" w:color="auto"/>
          </w:divBdr>
        </w:div>
        <w:div w:id="927349695">
          <w:marLeft w:val="0"/>
          <w:marRight w:val="0"/>
          <w:marTop w:val="0"/>
          <w:marBottom w:val="0"/>
          <w:divBdr>
            <w:top w:val="none" w:sz="0" w:space="0" w:color="auto"/>
            <w:left w:val="none" w:sz="0" w:space="0" w:color="auto"/>
            <w:bottom w:val="none" w:sz="0" w:space="0" w:color="auto"/>
            <w:right w:val="none" w:sz="0" w:space="0" w:color="auto"/>
          </w:divBdr>
        </w:div>
        <w:div w:id="559052462">
          <w:marLeft w:val="0"/>
          <w:marRight w:val="0"/>
          <w:marTop w:val="0"/>
          <w:marBottom w:val="0"/>
          <w:divBdr>
            <w:top w:val="none" w:sz="0" w:space="0" w:color="auto"/>
            <w:left w:val="none" w:sz="0" w:space="0" w:color="auto"/>
            <w:bottom w:val="none" w:sz="0" w:space="0" w:color="auto"/>
            <w:right w:val="none" w:sz="0" w:space="0" w:color="auto"/>
          </w:divBdr>
        </w:div>
        <w:div w:id="555505720">
          <w:marLeft w:val="0"/>
          <w:marRight w:val="0"/>
          <w:marTop w:val="0"/>
          <w:marBottom w:val="0"/>
          <w:divBdr>
            <w:top w:val="none" w:sz="0" w:space="0" w:color="auto"/>
            <w:left w:val="none" w:sz="0" w:space="0" w:color="auto"/>
            <w:bottom w:val="none" w:sz="0" w:space="0" w:color="auto"/>
            <w:right w:val="none" w:sz="0" w:space="0" w:color="auto"/>
          </w:divBdr>
        </w:div>
        <w:div w:id="78598944">
          <w:marLeft w:val="0"/>
          <w:marRight w:val="0"/>
          <w:marTop w:val="0"/>
          <w:marBottom w:val="0"/>
          <w:divBdr>
            <w:top w:val="none" w:sz="0" w:space="0" w:color="auto"/>
            <w:left w:val="none" w:sz="0" w:space="0" w:color="auto"/>
            <w:bottom w:val="none" w:sz="0" w:space="0" w:color="auto"/>
            <w:right w:val="none" w:sz="0" w:space="0" w:color="auto"/>
          </w:divBdr>
        </w:div>
        <w:div w:id="505750859">
          <w:marLeft w:val="0"/>
          <w:marRight w:val="0"/>
          <w:marTop w:val="0"/>
          <w:marBottom w:val="0"/>
          <w:divBdr>
            <w:top w:val="none" w:sz="0" w:space="0" w:color="auto"/>
            <w:left w:val="none" w:sz="0" w:space="0" w:color="auto"/>
            <w:bottom w:val="none" w:sz="0" w:space="0" w:color="auto"/>
            <w:right w:val="none" w:sz="0" w:space="0" w:color="auto"/>
          </w:divBdr>
        </w:div>
        <w:div w:id="956718238">
          <w:marLeft w:val="0"/>
          <w:marRight w:val="0"/>
          <w:marTop w:val="0"/>
          <w:marBottom w:val="0"/>
          <w:divBdr>
            <w:top w:val="none" w:sz="0" w:space="0" w:color="auto"/>
            <w:left w:val="none" w:sz="0" w:space="0" w:color="auto"/>
            <w:bottom w:val="none" w:sz="0" w:space="0" w:color="auto"/>
            <w:right w:val="none" w:sz="0" w:space="0" w:color="auto"/>
          </w:divBdr>
        </w:div>
        <w:div w:id="884606148">
          <w:marLeft w:val="0"/>
          <w:marRight w:val="0"/>
          <w:marTop w:val="0"/>
          <w:marBottom w:val="0"/>
          <w:divBdr>
            <w:top w:val="none" w:sz="0" w:space="0" w:color="auto"/>
            <w:left w:val="none" w:sz="0" w:space="0" w:color="auto"/>
            <w:bottom w:val="none" w:sz="0" w:space="0" w:color="auto"/>
            <w:right w:val="none" w:sz="0" w:space="0" w:color="auto"/>
          </w:divBdr>
        </w:div>
        <w:div w:id="1673411250">
          <w:marLeft w:val="0"/>
          <w:marRight w:val="0"/>
          <w:marTop w:val="0"/>
          <w:marBottom w:val="0"/>
          <w:divBdr>
            <w:top w:val="none" w:sz="0" w:space="0" w:color="auto"/>
            <w:left w:val="none" w:sz="0" w:space="0" w:color="auto"/>
            <w:bottom w:val="none" w:sz="0" w:space="0" w:color="auto"/>
            <w:right w:val="none" w:sz="0" w:space="0" w:color="auto"/>
          </w:divBdr>
        </w:div>
        <w:div w:id="1665232717">
          <w:marLeft w:val="0"/>
          <w:marRight w:val="0"/>
          <w:marTop w:val="0"/>
          <w:marBottom w:val="0"/>
          <w:divBdr>
            <w:top w:val="none" w:sz="0" w:space="0" w:color="auto"/>
            <w:left w:val="none" w:sz="0" w:space="0" w:color="auto"/>
            <w:bottom w:val="none" w:sz="0" w:space="0" w:color="auto"/>
            <w:right w:val="none" w:sz="0" w:space="0" w:color="auto"/>
          </w:divBdr>
        </w:div>
        <w:div w:id="2131971824">
          <w:marLeft w:val="0"/>
          <w:marRight w:val="0"/>
          <w:marTop w:val="0"/>
          <w:marBottom w:val="0"/>
          <w:divBdr>
            <w:top w:val="none" w:sz="0" w:space="0" w:color="auto"/>
            <w:left w:val="none" w:sz="0" w:space="0" w:color="auto"/>
            <w:bottom w:val="none" w:sz="0" w:space="0" w:color="auto"/>
            <w:right w:val="none" w:sz="0" w:space="0" w:color="auto"/>
          </w:divBdr>
        </w:div>
        <w:div w:id="1940603098">
          <w:marLeft w:val="0"/>
          <w:marRight w:val="0"/>
          <w:marTop w:val="0"/>
          <w:marBottom w:val="0"/>
          <w:divBdr>
            <w:top w:val="none" w:sz="0" w:space="0" w:color="auto"/>
            <w:left w:val="none" w:sz="0" w:space="0" w:color="auto"/>
            <w:bottom w:val="none" w:sz="0" w:space="0" w:color="auto"/>
            <w:right w:val="none" w:sz="0" w:space="0" w:color="auto"/>
          </w:divBdr>
        </w:div>
        <w:div w:id="1950121760">
          <w:marLeft w:val="0"/>
          <w:marRight w:val="0"/>
          <w:marTop w:val="0"/>
          <w:marBottom w:val="0"/>
          <w:divBdr>
            <w:top w:val="none" w:sz="0" w:space="0" w:color="auto"/>
            <w:left w:val="none" w:sz="0" w:space="0" w:color="auto"/>
            <w:bottom w:val="none" w:sz="0" w:space="0" w:color="auto"/>
            <w:right w:val="none" w:sz="0" w:space="0" w:color="auto"/>
          </w:divBdr>
        </w:div>
        <w:div w:id="609819514">
          <w:marLeft w:val="0"/>
          <w:marRight w:val="0"/>
          <w:marTop w:val="0"/>
          <w:marBottom w:val="0"/>
          <w:divBdr>
            <w:top w:val="none" w:sz="0" w:space="0" w:color="auto"/>
            <w:left w:val="none" w:sz="0" w:space="0" w:color="auto"/>
            <w:bottom w:val="none" w:sz="0" w:space="0" w:color="auto"/>
            <w:right w:val="none" w:sz="0" w:space="0" w:color="auto"/>
          </w:divBdr>
        </w:div>
      </w:divsChild>
    </w:div>
    <w:div w:id="588782126">
      <w:bodyDiv w:val="1"/>
      <w:marLeft w:val="0"/>
      <w:marRight w:val="0"/>
      <w:marTop w:val="0"/>
      <w:marBottom w:val="0"/>
      <w:divBdr>
        <w:top w:val="none" w:sz="0" w:space="0" w:color="auto"/>
        <w:left w:val="none" w:sz="0" w:space="0" w:color="auto"/>
        <w:bottom w:val="none" w:sz="0" w:space="0" w:color="auto"/>
        <w:right w:val="none" w:sz="0" w:space="0" w:color="auto"/>
      </w:divBdr>
    </w:div>
    <w:div w:id="605506702">
      <w:bodyDiv w:val="1"/>
      <w:marLeft w:val="0"/>
      <w:marRight w:val="0"/>
      <w:marTop w:val="0"/>
      <w:marBottom w:val="0"/>
      <w:divBdr>
        <w:top w:val="none" w:sz="0" w:space="0" w:color="auto"/>
        <w:left w:val="none" w:sz="0" w:space="0" w:color="auto"/>
        <w:bottom w:val="none" w:sz="0" w:space="0" w:color="auto"/>
        <w:right w:val="none" w:sz="0" w:space="0" w:color="auto"/>
      </w:divBdr>
    </w:div>
    <w:div w:id="608778588">
      <w:bodyDiv w:val="1"/>
      <w:marLeft w:val="0"/>
      <w:marRight w:val="0"/>
      <w:marTop w:val="0"/>
      <w:marBottom w:val="0"/>
      <w:divBdr>
        <w:top w:val="none" w:sz="0" w:space="0" w:color="auto"/>
        <w:left w:val="none" w:sz="0" w:space="0" w:color="auto"/>
        <w:bottom w:val="none" w:sz="0" w:space="0" w:color="auto"/>
        <w:right w:val="none" w:sz="0" w:space="0" w:color="auto"/>
      </w:divBdr>
    </w:div>
    <w:div w:id="613901338">
      <w:bodyDiv w:val="1"/>
      <w:marLeft w:val="0"/>
      <w:marRight w:val="0"/>
      <w:marTop w:val="0"/>
      <w:marBottom w:val="0"/>
      <w:divBdr>
        <w:top w:val="none" w:sz="0" w:space="0" w:color="auto"/>
        <w:left w:val="none" w:sz="0" w:space="0" w:color="auto"/>
        <w:bottom w:val="none" w:sz="0" w:space="0" w:color="auto"/>
        <w:right w:val="none" w:sz="0" w:space="0" w:color="auto"/>
      </w:divBdr>
    </w:div>
    <w:div w:id="637220313">
      <w:bodyDiv w:val="1"/>
      <w:marLeft w:val="0"/>
      <w:marRight w:val="0"/>
      <w:marTop w:val="0"/>
      <w:marBottom w:val="0"/>
      <w:divBdr>
        <w:top w:val="none" w:sz="0" w:space="0" w:color="auto"/>
        <w:left w:val="none" w:sz="0" w:space="0" w:color="auto"/>
        <w:bottom w:val="none" w:sz="0" w:space="0" w:color="auto"/>
        <w:right w:val="none" w:sz="0" w:space="0" w:color="auto"/>
      </w:divBdr>
    </w:div>
    <w:div w:id="681930563">
      <w:bodyDiv w:val="1"/>
      <w:marLeft w:val="0"/>
      <w:marRight w:val="0"/>
      <w:marTop w:val="0"/>
      <w:marBottom w:val="0"/>
      <w:divBdr>
        <w:top w:val="none" w:sz="0" w:space="0" w:color="auto"/>
        <w:left w:val="none" w:sz="0" w:space="0" w:color="auto"/>
        <w:bottom w:val="none" w:sz="0" w:space="0" w:color="auto"/>
        <w:right w:val="none" w:sz="0" w:space="0" w:color="auto"/>
      </w:divBdr>
    </w:div>
    <w:div w:id="697245009">
      <w:bodyDiv w:val="1"/>
      <w:marLeft w:val="0"/>
      <w:marRight w:val="0"/>
      <w:marTop w:val="0"/>
      <w:marBottom w:val="0"/>
      <w:divBdr>
        <w:top w:val="none" w:sz="0" w:space="0" w:color="auto"/>
        <w:left w:val="none" w:sz="0" w:space="0" w:color="auto"/>
        <w:bottom w:val="none" w:sz="0" w:space="0" w:color="auto"/>
        <w:right w:val="none" w:sz="0" w:space="0" w:color="auto"/>
      </w:divBdr>
    </w:div>
    <w:div w:id="705644506">
      <w:bodyDiv w:val="1"/>
      <w:marLeft w:val="0"/>
      <w:marRight w:val="0"/>
      <w:marTop w:val="0"/>
      <w:marBottom w:val="0"/>
      <w:divBdr>
        <w:top w:val="none" w:sz="0" w:space="0" w:color="auto"/>
        <w:left w:val="none" w:sz="0" w:space="0" w:color="auto"/>
        <w:bottom w:val="none" w:sz="0" w:space="0" w:color="auto"/>
        <w:right w:val="none" w:sz="0" w:space="0" w:color="auto"/>
      </w:divBdr>
    </w:div>
    <w:div w:id="712270170">
      <w:bodyDiv w:val="1"/>
      <w:marLeft w:val="0"/>
      <w:marRight w:val="0"/>
      <w:marTop w:val="0"/>
      <w:marBottom w:val="0"/>
      <w:divBdr>
        <w:top w:val="none" w:sz="0" w:space="0" w:color="auto"/>
        <w:left w:val="none" w:sz="0" w:space="0" w:color="auto"/>
        <w:bottom w:val="none" w:sz="0" w:space="0" w:color="auto"/>
        <w:right w:val="none" w:sz="0" w:space="0" w:color="auto"/>
      </w:divBdr>
    </w:div>
    <w:div w:id="713969237">
      <w:bodyDiv w:val="1"/>
      <w:marLeft w:val="0"/>
      <w:marRight w:val="0"/>
      <w:marTop w:val="0"/>
      <w:marBottom w:val="0"/>
      <w:divBdr>
        <w:top w:val="none" w:sz="0" w:space="0" w:color="auto"/>
        <w:left w:val="none" w:sz="0" w:space="0" w:color="auto"/>
        <w:bottom w:val="none" w:sz="0" w:space="0" w:color="auto"/>
        <w:right w:val="none" w:sz="0" w:space="0" w:color="auto"/>
      </w:divBdr>
      <w:divsChild>
        <w:div w:id="291323153">
          <w:marLeft w:val="0"/>
          <w:marRight w:val="0"/>
          <w:marTop w:val="0"/>
          <w:marBottom w:val="0"/>
          <w:divBdr>
            <w:top w:val="none" w:sz="0" w:space="0" w:color="auto"/>
            <w:left w:val="none" w:sz="0" w:space="0" w:color="auto"/>
            <w:bottom w:val="none" w:sz="0" w:space="0" w:color="auto"/>
            <w:right w:val="none" w:sz="0" w:space="0" w:color="auto"/>
          </w:divBdr>
        </w:div>
        <w:div w:id="1588148753">
          <w:marLeft w:val="0"/>
          <w:marRight w:val="0"/>
          <w:marTop w:val="0"/>
          <w:marBottom w:val="0"/>
          <w:divBdr>
            <w:top w:val="none" w:sz="0" w:space="0" w:color="auto"/>
            <w:left w:val="none" w:sz="0" w:space="0" w:color="auto"/>
            <w:bottom w:val="none" w:sz="0" w:space="0" w:color="auto"/>
            <w:right w:val="none" w:sz="0" w:space="0" w:color="auto"/>
          </w:divBdr>
        </w:div>
      </w:divsChild>
    </w:div>
    <w:div w:id="725759321">
      <w:bodyDiv w:val="1"/>
      <w:marLeft w:val="0"/>
      <w:marRight w:val="0"/>
      <w:marTop w:val="0"/>
      <w:marBottom w:val="0"/>
      <w:divBdr>
        <w:top w:val="none" w:sz="0" w:space="0" w:color="auto"/>
        <w:left w:val="none" w:sz="0" w:space="0" w:color="auto"/>
        <w:bottom w:val="none" w:sz="0" w:space="0" w:color="auto"/>
        <w:right w:val="none" w:sz="0" w:space="0" w:color="auto"/>
      </w:divBdr>
    </w:div>
    <w:div w:id="782572353">
      <w:bodyDiv w:val="1"/>
      <w:marLeft w:val="0"/>
      <w:marRight w:val="0"/>
      <w:marTop w:val="0"/>
      <w:marBottom w:val="0"/>
      <w:divBdr>
        <w:top w:val="none" w:sz="0" w:space="0" w:color="auto"/>
        <w:left w:val="none" w:sz="0" w:space="0" w:color="auto"/>
        <w:bottom w:val="none" w:sz="0" w:space="0" w:color="auto"/>
        <w:right w:val="none" w:sz="0" w:space="0" w:color="auto"/>
      </w:divBdr>
    </w:div>
    <w:div w:id="8190348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693">
          <w:marLeft w:val="0"/>
          <w:marRight w:val="0"/>
          <w:marTop w:val="0"/>
          <w:marBottom w:val="0"/>
          <w:divBdr>
            <w:top w:val="none" w:sz="0" w:space="0" w:color="auto"/>
            <w:left w:val="none" w:sz="0" w:space="0" w:color="auto"/>
            <w:bottom w:val="none" w:sz="0" w:space="0" w:color="auto"/>
            <w:right w:val="none" w:sz="0" w:space="0" w:color="auto"/>
          </w:divBdr>
        </w:div>
        <w:div w:id="917835058">
          <w:marLeft w:val="0"/>
          <w:marRight w:val="0"/>
          <w:marTop w:val="0"/>
          <w:marBottom w:val="0"/>
          <w:divBdr>
            <w:top w:val="none" w:sz="0" w:space="0" w:color="auto"/>
            <w:left w:val="none" w:sz="0" w:space="0" w:color="auto"/>
            <w:bottom w:val="none" w:sz="0" w:space="0" w:color="auto"/>
            <w:right w:val="none" w:sz="0" w:space="0" w:color="auto"/>
          </w:divBdr>
        </w:div>
      </w:divsChild>
    </w:div>
    <w:div w:id="844586471">
      <w:bodyDiv w:val="1"/>
      <w:marLeft w:val="0"/>
      <w:marRight w:val="0"/>
      <w:marTop w:val="0"/>
      <w:marBottom w:val="0"/>
      <w:divBdr>
        <w:top w:val="none" w:sz="0" w:space="0" w:color="auto"/>
        <w:left w:val="none" w:sz="0" w:space="0" w:color="auto"/>
        <w:bottom w:val="none" w:sz="0" w:space="0" w:color="auto"/>
        <w:right w:val="none" w:sz="0" w:space="0" w:color="auto"/>
      </w:divBdr>
    </w:div>
    <w:div w:id="848838192">
      <w:bodyDiv w:val="1"/>
      <w:marLeft w:val="0"/>
      <w:marRight w:val="0"/>
      <w:marTop w:val="0"/>
      <w:marBottom w:val="0"/>
      <w:divBdr>
        <w:top w:val="none" w:sz="0" w:space="0" w:color="auto"/>
        <w:left w:val="none" w:sz="0" w:space="0" w:color="auto"/>
        <w:bottom w:val="none" w:sz="0" w:space="0" w:color="auto"/>
        <w:right w:val="none" w:sz="0" w:space="0" w:color="auto"/>
      </w:divBdr>
    </w:div>
    <w:div w:id="876889597">
      <w:bodyDiv w:val="1"/>
      <w:marLeft w:val="0"/>
      <w:marRight w:val="0"/>
      <w:marTop w:val="0"/>
      <w:marBottom w:val="0"/>
      <w:divBdr>
        <w:top w:val="none" w:sz="0" w:space="0" w:color="auto"/>
        <w:left w:val="none" w:sz="0" w:space="0" w:color="auto"/>
        <w:bottom w:val="none" w:sz="0" w:space="0" w:color="auto"/>
        <w:right w:val="none" w:sz="0" w:space="0" w:color="auto"/>
      </w:divBdr>
    </w:div>
    <w:div w:id="880675330">
      <w:bodyDiv w:val="1"/>
      <w:marLeft w:val="0"/>
      <w:marRight w:val="0"/>
      <w:marTop w:val="0"/>
      <w:marBottom w:val="0"/>
      <w:divBdr>
        <w:top w:val="none" w:sz="0" w:space="0" w:color="auto"/>
        <w:left w:val="none" w:sz="0" w:space="0" w:color="auto"/>
        <w:bottom w:val="none" w:sz="0" w:space="0" w:color="auto"/>
        <w:right w:val="none" w:sz="0" w:space="0" w:color="auto"/>
      </w:divBdr>
    </w:div>
    <w:div w:id="888760478">
      <w:bodyDiv w:val="1"/>
      <w:marLeft w:val="0"/>
      <w:marRight w:val="0"/>
      <w:marTop w:val="0"/>
      <w:marBottom w:val="0"/>
      <w:divBdr>
        <w:top w:val="none" w:sz="0" w:space="0" w:color="auto"/>
        <w:left w:val="none" w:sz="0" w:space="0" w:color="auto"/>
        <w:bottom w:val="none" w:sz="0" w:space="0" w:color="auto"/>
        <w:right w:val="none" w:sz="0" w:space="0" w:color="auto"/>
      </w:divBdr>
      <w:divsChild>
        <w:div w:id="1354576908">
          <w:marLeft w:val="0"/>
          <w:marRight w:val="0"/>
          <w:marTop w:val="0"/>
          <w:marBottom w:val="0"/>
          <w:divBdr>
            <w:top w:val="none" w:sz="0" w:space="0" w:color="auto"/>
            <w:left w:val="none" w:sz="0" w:space="0" w:color="auto"/>
            <w:bottom w:val="none" w:sz="0" w:space="0" w:color="auto"/>
            <w:right w:val="none" w:sz="0" w:space="0" w:color="auto"/>
          </w:divBdr>
        </w:div>
        <w:div w:id="1380201924">
          <w:marLeft w:val="0"/>
          <w:marRight w:val="0"/>
          <w:marTop w:val="0"/>
          <w:marBottom w:val="0"/>
          <w:divBdr>
            <w:top w:val="none" w:sz="0" w:space="0" w:color="auto"/>
            <w:left w:val="none" w:sz="0" w:space="0" w:color="auto"/>
            <w:bottom w:val="none" w:sz="0" w:space="0" w:color="auto"/>
            <w:right w:val="none" w:sz="0" w:space="0" w:color="auto"/>
          </w:divBdr>
        </w:div>
        <w:div w:id="1187644817">
          <w:marLeft w:val="0"/>
          <w:marRight w:val="0"/>
          <w:marTop w:val="0"/>
          <w:marBottom w:val="0"/>
          <w:divBdr>
            <w:top w:val="none" w:sz="0" w:space="0" w:color="auto"/>
            <w:left w:val="none" w:sz="0" w:space="0" w:color="auto"/>
            <w:bottom w:val="none" w:sz="0" w:space="0" w:color="auto"/>
            <w:right w:val="none" w:sz="0" w:space="0" w:color="auto"/>
          </w:divBdr>
        </w:div>
        <w:div w:id="178784481">
          <w:marLeft w:val="0"/>
          <w:marRight w:val="0"/>
          <w:marTop w:val="0"/>
          <w:marBottom w:val="0"/>
          <w:divBdr>
            <w:top w:val="none" w:sz="0" w:space="0" w:color="auto"/>
            <w:left w:val="none" w:sz="0" w:space="0" w:color="auto"/>
            <w:bottom w:val="none" w:sz="0" w:space="0" w:color="auto"/>
            <w:right w:val="none" w:sz="0" w:space="0" w:color="auto"/>
          </w:divBdr>
        </w:div>
        <w:div w:id="973145181">
          <w:marLeft w:val="0"/>
          <w:marRight w:val="0"/>
          <w:marTop w:val="0"/>
          <w:marBottom w:val="0"/>
          <w:divBdr>
            <w:top w:val="none" w:sz="0" w:space="0" w:color="auto"/>
            <w:left w:val="none" w:sz="0" w:space="0" w:color="auto"/>
            <w:bottom w:val="none" w:sz="0" w:space="0" w:color="auto"/>
            <w:right w:val="none" w:sz="0" w:space="0" w:color="auto"/>
          </w:divBdr>
        </w:div>
        <w:div w:id="2022124156">
          <w:marLeft w:val="0"/>
          <w:marRight w:val="0"/>
          <w:marTop w:val="0"/>
          <w:marBottom w:val="0"/>
          <w:divBdr>
            <w:top w:val="none" w:sz="0" w:space="0" w:color="auto"/>
            <w:left w:val="none" w:sz="0" w:space="0" w:color="auto"/>
            <w:bottom w:val="none" w:sz="0" w:space="0" w:color="auto"/>
            <w:right w:val="none" w:sz="0" w:space="0" w:color="auto"/>
          </w:divBdr>
        </w:div>
        <w:div w:id="1674990446">
          <w:marLeft w:val="0"/>
          <w:marRight w:val="0"/>
          <w:marTop w:val="0"/>
          <w:marBottom w:val="0"/>
          <w:divBdr>
            <w:top w:val="none" w:sz="0" w:space="0" w:color="auto"/>
            <w:left w:val="none" w:sz="0" w:space="0" w:color="auto"/>
            <w:bottom w:val="none" w:sz="0" w:space="0" w:color="auto"/>
            <w:right w:val="none" w:sz="0" w:space="0" w:color="auto"/>
          </w:divBdr>
        </w:div>
        <w:div w:id="1090925784">
          <w:marLeft w:val="0"/>
          <w:marRight w:val="0"/>
          <w:marTop w:val="0"/>
          <w:marBottom w:val="0"/>
          <w:divBdr>
            <w:top w:val="none" w:sz="0" w:space="0" w:color="auto"/>
            <w:left w:val="none" w:sz="0" w:space="0" w:color="auto"/>
            <w:bottom w:val="none" w:sz="0" w:space="0" w:color="auto"/>
            <w:right w:val="none" w:sz="0" w:space="0" w:color="auto"/>
          </w:divBdr>
        </w:div>
        <w:div w:id="1313558600">
          <w:marLeft w:val="0"/>
          <w:marRight w:val="0"/>
          <w:marTop w:val="0"/>
          <w:marBottom w:val="0"/>
          <w:divBdr>
            <w:top w:val="none" w:sz="0" w:space="0" w:color="auto"/>
            <w:left w:val="none" w:sz="0" w:space="0" w:color="auto"/>
            <w:bottom w:val="none" w:sz="0" w:space="0" w:color="auto"/>
            <w:right w:val="none" w:sz="0" w:space="0" w:color="auto"/>
          </w:divBdr>
        </w:div>
        <w:div w:id="149447139">
          <w:marLeft w:val="0"/>
          <w:marRight w:val="0"/>
          <w:marTop w:val="0"/>
          <w:marBottom w:val="0"/>
          <w:divBdr>
            <w:top w:val="none" w:sz="0" w:space="0" w:color="auto"/>
            <w:left w:val="none" w:sz="0" w:space="0" w:color="auto"/>
            <w:bottom w:val="none" w:sz="0" w:space="0" w:color="auto"/>
            <w:right w:val="none" w:sz="0" w:space="0" w:color="auto"/>
          </w:divBdr>
        </w:div>
        <w:div w:id="1856994962">
          <w:marLeft w:val="0"/>
          <w:marRight w:val="0"/>
          <w:marTop w:val="0"/>
          <w:marBottom w:val="0"/>
          <w:divBdr>
            <w:top w:val="none" w:sz="0" w:space="0" w:color="auto"/>
            <w:left w:val="none" w:sz="0" w:space="0" w:color="auto"/>
            <w:bottom w:val="none" w:sz="0" w:space="0" w:color="auto"/>
            <w:right w:val="none" w:sz="0" w:space="0" w:color="auto"/>
          </w:divBdr>
        </w:div>
        <w:div w:id="1540967765">
          <w:marLeft w:val="0"/>
          <w:marRight w:val="0"/>
          <w:marTop w:val="0"/>
          <w:marBottom w:val="0"/>
          <w:divBdr>
            <w:top w:val="none" w:sz="0" w:space="0" w:color="auto"/>
            <w:left w:val="none" w:sz="0" w:space="0" w:color="auto"/>
            <w:bottom w:val="none" w:sz="0" w:space="0" w:color="auto"/>
            <w:right w:val="none" w:sz="0" w:space="0" w:color="auto"/>
          </w:divBdr>
        </w:div>
        <w:div w:id="1698851852">
          <w:marLeft w:val="0"/>
          <w:marRight w:val="0"/>
          <w:marTop w:val="0"/>
          <w:marBottom w:val="0"/>
          <w:divBdr>
            <w:top w:val="none" w:sz="0" w:space="0" w:color="auto"/>
            <w:left w:val="none" w:sz="0" w:space="0" w:color="auto"/>
            <w:bottom w:val="none" w:sz="0" w:space="0" w:color="auto"/>
            <w:right w:val="none" w:sz="0" w:space="0" w:color="auto"/>
          </w:divBdr>
        </w:div>
      </w:divsChild>
    </w:div>
    <w:div w:id="895626851">
      <w:bodyDiv w:val="1"/>
      <w:marLeft w:val="0"/>
      <w:marRight w:val="0"/>
      <w:marTop w:val="0"/>
      <w:marBottom w:val="0"/>
      <w:divBdr>
        <w:top w:val="none" w:sz="0" w:space="0" w:color="auto"/>
        <w:left w:val="none" w:sz="0" w:space="0" w:color="auto"/>
        <w:bottom w:val="none" w:sz="0" w:space="0" w:color="auto"/>
        <w:right w:val="none" w:sz="0" w:space="0" w:color="auto"/>
      </w:divBdr>
    </w:div>
    <w:div w:id="903293990">
      <w:bodyDiv w:val="1"/>
      <w:marLeft w:val="0"/>
      <w:marRight w:val="0"/>
      <w:marTop w:val="0"/>
      <w:marBottom w:val="0"/>
      <w:divBdr>
        <w:top w:val="none" w:sz="0" w:space="0" w:color="auto"/>
        <w:left w:val="none" w:sz="0" w:space="0" w:color="auto"/>
        <w:bottom w:val="none" w:sz="0" w:space="0" w:color="auto"/>
        <w:right w:val="none" w:sz="0" w:space="0" w:color="auto"/>
      </w:divBdr>
    </w:div>
    <w:div w:id="936060822">
      <w:bodyDiv w:val="1"/>
      <w:marLeft w:val="0"/>
      <w:marRight w:val="0"/>
      <w:marTop w:val="0"/>
      <w:marBottom w:val="0"/>
      <w:divBdr>
        <w:top w:val="none" w:sz="0" w:space="0" w:color="auto"/>
        <w:left w:val="none" w:sz="0" w:space="0" w:color="auto"/>
        <w:bottom w:val="none" w:sz="0" w:space="0" w:color="auto"/>
        <w:right w:val="none" w:sz="0" w:space="0" w:color="auto"/>
      </w:divBdr>
    </w:div>
    <w:div w:id="948582371">
      <w:bodyDiv w:val="1"/>
      <w:marLeft w:val="0"/>
      <w:marRight w:val="0"/>
      <w:marTop w:val="0"/>
      <w:marBottom w:val="0"/>
      <w:divBdr>
        <w:top w:val="none" w:sz="0" w:space="0" w:color="auto"/>
        <w:left w:val="none" w:sz="0" w:space="0" w:color="auto"/>
        <w:bottom w:val="none" w:sz="0" w:space="0" w:color="auto"/>
        <w:right w:val="none" w:sz="0" w:space="0" w:color="auto"/>
      </w:divBdr>
      <w:divsChild>
        <w:div w:id="449472314">
          <w:marLeft w:val="0"/>
          <w:marRight w:val="0"/>
          <w:marTop w:val="0"/>
          <w:marBottom w:val="0"/>
          <w:divBdr>
            <w:top w:val="none" w:sz="0" w:space="0" w:color="auto"/>
            <w:left w:val="none" w:sz="0" w:space="0" w:color="auto"/>
            <w:bottom w:val="none" w:sz="0" w:space="0" w:color="auto"/>
            <w:right w:val="none" w:sz="0" w:space="0" w:color="auto"/>
          </w:divBdr>
          <w:divsChild>
            <w:div w:id="11155661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961035225">
      <w:bodyDiv w:val="1"/>
      <w:marLeft w:val="0"/>
      <w:marRight w:val="0"/>
      <w:marTop w:val="0"/>
      <w:marBottom w:val="0"/>
      <w:divBdr>
        <w:top w:val="none" w:sz="0" w:space="0" w:color="auto"/>
        <w:left w:val="none" w:sz="0" w:space="0" w:color="auto"/>
        <w:bottom w:val="none" w:sz="0" w:space="0" w:color="auto"/>
        <w:right w:val="none" w:sz="0" w:space="0" w:color="auto"/>
      </w:divBdr>
    </w:div>
    <w:div w:id="968899422">
      <w:bodyDiv w:val="1"/>
      <w:marLeft w:val="0"/>
      <w:marRight w:val="0"/>
      <w:marTop w:val="0"/>
      <w:marBottom w:val="0"/>
      <w:divBdr>
        <w:top w:val="none" w:sz="0" w:space="0" w:color="auto"/>
        <w:left w:val="none" w:sz="0" w:space="0" w:color="auto"/>
        <w:bottom w:val="none" w:sz="0" w:space="0" w:color="auto"/>
        <w:right w:val="none" w:sz="0" w:space="0" w:color="auto"/>
      </w:divBdr>
      <w:divsChild>
        <w:div w:id="1742556926">
          <w:marLeft w:val="0"/>
          <w:marRight w:val="0"/>
          <w:marTop w:val="0"/>
          <w:marBottom w:val="0"/>
          <w:divBdr>
            <w:top w:val="none" w:sz="0" w:space="0" w:color="auto"/>
            <w:left w:val="none" w:sz="0" w:space="0" w:color="auto"/>
            <w:bottom w:val="none" w:sz="0" w:space="0" w:color="auto"/>
            <w:right w:val="none" w:sz="0" w:space="0" w:color="auto"/>
          </w:divBdr>
        </w:div>
        <w:div w:id="2142074222">
          <w:marLeft w:val="0"/>
          <w:marRight w:val="0"/>
          <w:marTop w:val="0"/>
          <w:marBottom w:val="0"/>
          <w:divBdr>
            <w:top w:val="none" w:sz="0" w:space="0" w:color="auto"/>
            <w:left w:val="none" w:sz="0" w:space="0" w:color="auto"/>
            <w:bottom w:val="none" w:sz="0" w:space="0" w:color="auto"/>
            <w:right w:val="none" w:sz="0" w:space="0" w:color="auto"/>
          </w:divBdr>
        </w:div>
      </w:divsChild>
    </w:div>
    <w:div w:id="980116213">
      <w:bodyDiv w:val="1"/>
      <w:marLeft w:val="0"/>
      <w:marRight w:val="0"/>
      <w:marTop w:val="0"/>
      <w:marBottom w:val="0"/>
      <w:divBdr>
        <w:top w:val="none" w:sz="0" w:space="0" w:color="auto"/>
        <w:left w:val="none" w:sz="0" w:space="0" w:color="auto"/>
        <w:bottom w:val="none" w:sz="0" w:space="0" w:color="auto"/>
        <w:right w:val="none" w:sz="0" w:space="0" w:color="auto"/>
      </w:divBdr>
    </w:div>
    <w:div w:id="990669736">
      <w:bodyDiv w:val="1"/>
      <w:marLeft w:val="0"/>
      <w:marRight w:val="0"/>
      <w:marTop w:val="0"/>
      <w:marBottom w:val="0"/>
      <w:divBdr>
        <w:top w:val="none" w:sz="0" w:space="0" w:color="auto"/>
        <w:left w:val="none" w:sz="0" w:space="0" w:color="auto"/>
        <w:bottom w:val="none" w:sz="0" w:space="0" w:color="auto"/>
        <w:right w:val="none" w:sz="0" w:space="0" w:color="auto"/>
      </w:divBdr>
    </w:div>
    <w:div w:id="1008676511">
      <w:bodyDiv w:val="1"/>
      <w:marLeft w:val="0"/>
      <w:marRight w:val="0"/>
      <w:marTop w:val="0"/>
      <w:marBottom w:val="0"/>
      <w:divBdr>
        <w:top w:val="none" w:sz="0" w:space="0" w:color="auto"/>
        <w:left w:val="none" w:sz="0" w:space="0" w:color="auto"/>
        <w:bottom w:val="none" w:sz="0" w:space="0" w:color="auto"/>
        <w:right w:val="none" w:sz="0" w:space="0" w:color="auto"/>
      </w:divBdr>
    </w:div>
    <w:div w:id="1028872441">
      <w:bodyDiv w:val="1"/>
      <w:marLeft w:val="0"/>
      <w:marRight w:val="0"/>
      <w:marTop w:val="0"/>
      <w:marBottom w:val="0"/>
      <w:divBdr>
        <w:top w:val="none" w:sz="0" w:space="0" w:color="auto"/>
        <w:left w:val="none" w:sz="0" w:space="0" w:color="auto"/>
        <w:bottom w:val="none" w:sz="0" w:space="0" w:color="auto"/>
        <w:right w:val="none" w:sz="0" w:space="0" w:color="auto"/>
      </w:divBdr>
    </w:div>
    <w:div w:id="1093669521">
      <w:bodyDiv w:val="1"/>
      <w:marLeft w:val="0"/>
      <w:marRight w:val="0"/>
      <w:marTop w:val="0"/>
      <w:marBottom w:val="0"/>
      <w:divBdr>
        <w:top w:val="none" w:sz="0" w:space="0" w:color="auto"/>
        <w:left w:val="none" w:sz="0" w:space="0" w:color="auto"/>
        <w:bottom w:val="none" w:sz="0" w:space="0" w:color="auto"/>
        <w:right w:val="none" w:sz="0" w:space="0" w:color="auto"/>
      </w:divBdr>
    </w:div>
    <w:div w:id="1103692312">
      <w:bodyDiv w:val="1"/>
      <w:marLeft w:val="0"/>
      <w:marRight w:val="0"/>
      <w:marTop w:val="0"/>
      <w:marBottom w:val="0"/>
      <w:divBdr>
        <w:top w:val="none" w:sz="0" w:space="0" w:color="auto"/>
        <w:left w:val="none" w:sz="0" w:space="0" w:color="auto"/>
        <w:bottom w:val="none" w:sz="0" w:space="0" w:color="auto"/>
        <w:right w:val="none" w:sz="0" w:space="0" w:color="auto"/>
      </w:divBdr>
    </w:div>
    <w:div w:id="1113325752">
      <w:bodyDiv w:val="1"/>
      <w:marLeft w:val="0"/>
      <w:marRight w:val="0"/>
      <w:marTop w:val="0"/>
      <w:marBottom w:val="0"/>
      <w:divBdr>
        <w:top w:val="none" w:sz="0" w:space="0" w:color="auto"/>
        <w:left w:val="none" w:sz="0" w:space="0" w:color="auto"/>
        <w:bottom w:val="none" w:sz="0" w:space="0" w:color="auto"/>
        <w:right w:val="none" w:sz="0" w:space="0" w:color="auto"/>
      </w:divBdr>
    </w:div>
    <w:div w:id="1129519610">
      <w:bodyDiv w:val="1"/>
      <w:marLeft w:val="0"/>
      <w:marRight w:val="0"/>
      <w:marTop w:val="0"/>
      <w:marBottom w:val="0"/>
      <w:divBdr>
        <w:top w:val="none" w:sz="0" w:space="0" w:color="auto"/>
        <w:left w:val="none" w:sz="0" w:space="0" w:color="auto"/>
        <w:bottom w:val="none" w:sz="0" w:space="0" w:color="auto"/>
        <w:right w:val="none" w:sz="0" w:space="0" w:color="auto"/>
      </w:divBdr>
    </w:div>
    <w:div w:id="1139151786">
      <w:bodyDiv w:val="1"/>
      <w:marLeft w:val="0"/>
      <w:marRight w:val="0"/>
      <w:marTop w:val="0"/>
      <w:marBottom w:val="0"/>
      <w:divBdr>
        <w:top w:val="none" w:sz="0" w:space="0" w:color="auto"/>
        <w:left w:val="none" w:sz="0" w:space="0" w:color="auto"/>
        <w:bottom w:val="none" w:sz="0" w:space="0" w:color="auto"/>
        <w:right w:val="none" w:sz="0" w:space="0" w:color="auto"/>
      </w:divBdr>
    </w:div>
    <w:div w:id="1150445354">
      <w:bodyDiv w:val="1"/>
      <w:marLeft w:val="0"/>
      <w:marRight w:val="0"/>
      <w:marTop w:val="0"/>
      <w:marBottom w:val="0"/>
      <w:divBdr>
        <w:top w:val="none" w:sz="0" w:space="0" w:color="auto"/>
        <w:left w:val="none" w:sz="0" w:space="0" w:color="auto"/>
        <w:bottom w:val="none" w:sz="0" w:space="0" w:color="auto"/>
        <w:right w:val="none" w:sz="0" w:space="0" w:color="auto"/>
      </w:divBdr>
    </w:div>
    <w:div w:id="1182278169">
      <w:bodyDiv w:val="1"/>
      <w:marLeft w:val="0"/>
      <w:marRight w:val="0"/>
      <w:marTop w:val="0"/>
      <w:marBottom w:val="0"/>
      <w:divBdr>
        <w:top w:val="none" w:sz="0" w:space="0" w:color="auto"/>
        <w:left w:val="none" w:sz="0" w:space="0" w:color="auto"/>
        <w:bottom w:val="none" w:sz="0" w:space="0" w:color="auto"/>
        <w:right w:val="none" w:sz="0" w:space="0" w:color="auto"/>
      </w:divBdr>
    </w:div>
    <w:div w:id="1188525474">
      <w:bodyDiv w:val="1"/>
      <w:marLeft w:val="0"/>
      <w:marRight w:val="0"/>
      <w:marTop w:val="0"/>
      <w:marBottom w:val="0"/>
      <w:divBdr>
        <w:top w:val="none" w:sz="0" w:space="0" w:color="auto"/>
        <w:left w:val="none" w:sz="0" w:space="0" w:color="auto"/>
        <w:bottom w:val="none" w:sz="0" w:space="0" w:color="auto"/>
        <w:right w:val="none" w:sz="0" w:space="0" w:color="auto"/>
      </w:divBdr>
    </w:div>
    <w:div w:id="1192452164">
      <w:bodyDiv w:val="1"/>
      <w:marLeft w:val="0"/>
      <w:marRight w:val="0"/>
      <w:marTop w:val="0"/>
      <w:marBottom w:val="0"/>
      <w:divBdr>
        <w:top w:val="none" w:sz="0" w:space="0" w:color="auto"/>
        <w:left w:val="none" w:sz="0" w:space="0" w:color="auto"/>
        <w:bottom w:val="none" w:sz="0" w:space="0" w:color="auto"/>
        <w:right w:val="none" w:sz="0" w:space="0" w:color="auto"/>
      </w:divBdr>
    </w:div>
    <w:div w:id="1222517322">
      <w:bodyDiv w:val="1"/>
      <w:marLeft w:val="0"/>
      <w:marRight w:val="0"/>
      <w:marTop w:val="0"/>
      <w:marBottom w:val="0"/>
      <w:divBdr>
        <w:top w:val="none" w:sz="0" w:space="0" w:color="auto"/>
        <w:left w:val="none" w:sz="0" w:space="0" w:color="auto"/>
        <w:bottom w:val="none" w:sz="0" w:space="0" w:color="auto"/>
        <w:right w:val="none" w:sz="0" w:space="0" w:color="auto"/>
      </w:divBdr>
    </w:div>
    <w:div w:id="1231426471">
      <w:bodyDiv w:val="1"/>
      <w:marLeft w:val="0"/>
      <w:marRight w:val="0"/>
      <w:marTop w:val="0"/>
      <w:marBottom w:val="0"/>
      <w:divBdr>
        <w:top w:val="none" w:sz="0" w:space="0" w:color="auto"/>
        <w:left w:val="none" w:sz="0" w:space="0" w:color="auto"/>
        <w:bottom w:val="none" w:sz="0" w:space="0" w:color="auto"/>
        <w:right w:val="none" w:sz="0" w:space="0" w:color="auto"/>
      </w:divBdr>
    </w:div>
    <w:div w:id="1313020194">
      <w:bodyDiv w:val="1"/>
      <w:marLeft w:val="0"/>
      <w:marRight w:val="0"/>
      <w:marTop w:val="0"/>
      <w:marBottom w:val="0"/>
      <w:divBdr>
        <w:top w:val="none" w:sz="0" w:space="0" w:color="auto"/>
        <w:left w:val="none" w:sz="0" w:space="0" w:color="auto"/>
        <w:bottom w:val="none" w:sz="0" w:space="0" w:color="auto"/>
        <w:right w:val="none" w:sz="0" w:space="0" w:color="auto"/>
      </w:divBdr>
    </w:div>
    <w:div w:id="1361737777">
      <w:bodyDiv w:val="1"/>
      <w:marLeft w:val="0"/>
      <w:marRight w:val="0"/>
      <w:marTop w:val="0"/>
      <w:marBottom w:val="0"/>
      <w:divBdr>
        <w:top w:val="none" w:sz="0" w:space="0" w:color="auto"/>
        <w:left w:val="none" w:sz="0" w:space="0" w:color="auto"/>
        <w:bottom w:val="none" w:sz="0" w:space="0" w:color="auto"/>
        <w:right w:val="none" w:sz="0" w:space="0" w:color="auto"/>
      </w:divBdr>
    </w:div>
    <w:div w:id="1422875844">
      <w:bodyDiv w:val="1"/>
      <w:marLeft w:val="0"/>
      <w:marRight w:val="0"/>
      <w:marTop w:val="0"/>
      <w:marBottom w:val="0"/>
      <w:divBdr>
        <w:top w:val="none" w:sz="0" w:space="0" w:color="auto"/>
        <w:left w:val="none" w:sz="0" w:space="0" w:color="auto"/>
        <w:bottom w:val="none" w:sz="0" w:space="0" w:color="auto"/>
        <w:right w:val="none" w:sz="0" w:space="0" w:color="auto"/>
      </w:divBdr>
      <w:divsChild>
        <w:div w:id="789470437">
          <w:marLeft w:val="0"/>
          <w:marRight w:val="0"/>
          <w:marTop w:val="0"/>
          <w:marBottom w:val="0"/>
          <w:divBdr>
            <w:top w:val="none" w:sz="0" w:space="0" w:color="auto"/>
            <w:left w:val="none" w:sz="0" w:space="0" w:color="auto"/>
            <w:bottom w:val="none" w:sz="0" w:space="0" w:color="auto"/>
            <w:right w:val="none" w:sz="0" w:space="0" w:color="auto"/>
          </w:divBdr>
        </w:div>
      </w:divsChild>
    </w:div>
    <w:div w:id="1482847273">
      <w:bodyDiv w:val="1"/>
      <w:marLeft w:val="0"/>
      <w:marRight w:val="0"/>
      <w:marTop w:val="0"/>
      <w:marBottom w:val="0"/>
      <w:divBdr>
        <w:top w:val="none" w:sz="0" w:space="0" w:color="auto"/>
        <w:left w:val="none" w:sz="0" w:space="0" w:color="auto"/>
        <w:bottom w:val="none" w:sz="0" w:space="0" w:color="auto"/>
        <w:right w:val="none" w:sz="0" w:space="0" w:color="auto"/>
      </w:divBdr>
    </w:div>
    <w:div w:id="1499425012">
      <w:bodyDiv w:val="1"/>
      <w:marLeft w:val="0"/>
      <w:marRight w:val="0"/>
      <w:marTop w:val="0"/>
      <w:marBottom w:val="0"/>
      <w:divBdr>
        <w:top w:val="none" w:sz="0" w:space="0" w:color="auto"/>
        <w:left w:val="none" w:sz="0" w:space="0" w:color="auto"/>
        <w:bottom w:val="none" w:sz="0" w:space="0" w:color="auto"/>
        <w:right w:val="none" w:sz="0" w:space="0" w:color="auto"/>
      </w:divBdr>
    </w:div>
    <w:div w:id="1505970109">
      <w:bodyDiv w:val="1"/>
      <w:marLeft w:val="0"/>
      <w:marRight w:val="0"/>
      <w:marTop w:val="0"/>
      <w:marBottom w:val="0"/>
      <w:divBdr>
        <w:top w:val="none" w:sz="0" w:space="0" w:color="auto"/>
        <w:left w:val="none" w:sz="0" w:space="0" w:color="auto"/>
        <w:bottom w:val="none" w:sz="0" w:space="0" w:color="auto"/>
        <w:right w:val="none" w:sz="0" w:space="0" w:color="auto"/>
      </w:divBdr>
    </w:div>
    <w:div w:id="1514958516">
      <w:bodyDiv w:val="1"/>
      <w:marLeft w:val="0"/>
      <w:marRight w:val="0"/>
      <w:marTop w:val="0"/>
      <w:marBottom w:val="0"/>
      <w:divBdr>
        <w:top w:val="none" w:sz="0" w:space="0" w:color="auto"/>
        <w:left w:val="none" w:sz="0" w:space="0" w:color="auto"/>
        <w:bottom w:val="none" w:sz="0" w:space="0" w:color="auto"/>
        <w:right w:val="none" w:sz="0" w:space="0" w:color="auto"/>
      </w:divBdr>
    </w:div>
    <w:div w:id="1525751235">
      <w:bodyDiv w:val="1"/>
      <w:marLeft w:val="0"/>
      <w:marRight w:val="0"/>
      <w:marTop w:val="0"/>
      <w:marBottom w:val="0"/>
      <w:divBdr>
        <w:top w:val="none" w:sz="0" w:space="0" w:color="auto"/>
        <w:left w:val="none" w:sz="0" w:space="0" w:color="auto"/>
        <w:bottom w:val="none" w:sz="0" w:space="0" w:color="auto"/>
        <w:right w:val="none" w:sz="0" w:space="0" w:color="auto"/>
      </w:divBdr>
      <w:divsChild>
        <w:div w:id="277955898">
          <w:marLeft w:val="0"/>
          <w:marRight w:val="0"/>
          <w:marTop w:val="0"/>
          <w:marBottom w:val="0"/>
          <w:divBdr>
            <w:top w:val="none" w:sz="0" w:space="0" w:color="auto"/>
            <w:left w:val="none" w:sz="0" w:space="0" w:color="auto"/>
            <w:bottom w:val="none" w:sz="0" w:space="0" w:color="auto"/>
            <w:right w:val="none" w:sz="0" w:space="0" w:color="auto"/>
          </w:divBdr>
        </w:div>
        <w:div w:id="1389766573">
          <w:marLeft w:val="0"/>
          <w:marRight w:val="0"/>
          <w:marTop w:val="0"/>
          <w:marBottom w:val="0"/>
          <w:divBdr>
            <w:top w:val="none" w:sz="0" w:space="0" w:color="auto"/>
            <w:left w:val="none" w:sz="0" w:space="0" w:color="auto"/>
            <w:bottom w:val="none" w:sz="0" w:space="0" w:color="auto"/>
            <w:right w:val="none" w:sz="0" w:space="0" w:color="auto"/>
          </w:divBdr>
        </w:div>
        <w:div w:id="666858541">
          <w:marLeft w:val="0"/>
          <w:marRight w:val="0"/>
          <w:marTop w:val="0"/>
          <w:marBottom w:val="0"/>
          <w:divBdr>
            <w:top w:val="none" w:sz="0" w:space="0" w:color="auto"/>
            <w:left w:val="none" w:sz="0" w:space="0" w:color="auto"/>
            <w:bottom w:val="none" w:sz="0" w:space="0" w:color="auto"/>
            <w:right w:val="none" w:sz="0" w:space="0" w:color="auto"/>
          </w:divBdr>
        </w:div>
        <w:div w:id="63452436">
          <w:marLeft w:val="0"/>
          <w:marRight w:val="0"/>
          <w:marTop w:val="0"/>
          <w:marBottom w:val="0"/>
          <w:divBdr>
            <w:top w:val="none" w:sz="0" w:space="0" w:color="auto"/>
            <w:left w:val="none" w:sz="0" w:space="0" w:color="auto"/>
            <w:bottom w:val="none" w:sz="0" w:space="0" w:color="auto"/>
            <w:right w:val="none" w:sz="0" w:space="0" w:color="auto"/>
          </w:divBdr>
        </w:div>
        <w:div w:id="1609317022">
          <w:marLeft w:val="0"/>
          <w:marRight w:val="0"/>
          <w:marTop w:val="0"/>
          <w:marBottom w:val="0"/>
          <w:divBdr>
            <w:top w:val="none" w:sz="0" w:space="0" w:color="auto"/>
            <w:left w:val="none" w:sz="0" w:space="0" w:color="auto"/>
            <w:bottom w:val="none" w:sz="0" w:space="0" w:color="auto"/>
            <w:right w:val="none" w:sz="0" w:space="0" w:color="auto"/>
          </w:divBdr>
        </w:div>
        <w:div w:id="1654213957">
          <w:marLeft w:val="0"/>
          <w:marRight w:val="0"/>
          <w:marTop w:val="0"/>
          <w:marBottom w:val="0"/>
          <w:divBdr>
            <w:top w:val="none" w:sz="0" w:space="0" w:color="auto"/>
            <w:left w:val="none" w:sz="0" w:space="0" w:color="auto"/>
            <w:bottom w:val="none" w:sz="0" w:space="0" w:color="auto"/>
            <w:right w:val="none" w:sz="0" w:space="0" w:color="auto"/>
          </w:divBdr>
        </w:div>
        <w:div w:id="2050186291">
          <w:marLeft w:val="0"/>
          <w:marRight w:val="0"/>
          <w:marTop w:val="0"/>
          <w:marBottom w:val="0"/>
          <w:divBdr>
            <w:top w:val="none" w:sz="0" w:space="0" w:color="auto"/>
            <w:left w:val="none" w:sz="0" w:space="0" w:color="auto"/>
            <w:bottom w:val="none" w:sz="0" w:space="0" w:color="auto"/>
            <w:right w:val="none" w:sz="0" w:space="0" w:color="auto"/>
          </w:divBdr>
        </w:div>
        <w:div w:id="771436686">
          <w:marLeft w:val="0"/>
          <w:marRight w:val="0"/>
          <w:marTop w:val="0"/>
          <w:marBottom w:val="0"/>
          <w:divBdr>
            <w:top w:val="none" w:sz="0" w:space="0" w:color="auto"/>
            <w:left w:val="none" w:sz="0" w:space="0" w:color="auto"/>
            <w:bottom w:val="none" w:sz="0" w:space="0" w:color="auto"/>
            <w:right w:val="none" w:sz="0" w:space="0" w:color="auto"/>
          </w:divBdr>
        </w:div>
      </w:divsChild>
    </w:div>
    <w:div w:id="1535532293">
      <w:bodyDiv w:val="1"/>
      <w:marLeft w:val="0"/>
      <w:marRight w:val="0"/>
      <w:marTop w:val="0"/>
      <w:marBottom w:val="0"/>
      <w:divBdr>
        <w:top w:val="none" w:sz="0" w:space="0" w:color="auto"/>
        <w:left w:val="none" w:sz="0" w:space="0" w:color="auto"/>
        <w:bottom w:val="none" w:sz="0" w:space="0" w:color="auto"/>
        <w:right w:val="none" w:sz="0" w:space="0" w:color="auto"/>
      </w:divBdr>
    </w:div>
    <w:div w:id="1544177526">
      <w:bodyDiv w:val="1"/>
      <w:marLeft w:val="0"/>
      <w:marRight w:val="0"/>
      <w:marTop w:val="0"/>
      <w:marBottom w:val="0"/>
      <w:divBdr>
        <w:top w:val="none" w:sz="0" w:space="0" w:color="auto"/>
        <w:left w:val="none" w:sz="0" w:space="0" w:color="auto"/>
        <w:bottom w:val="none" w:sz="0" w:space="0" w:color="auto"/>
        <w:right w:val="none" w:sz="0" w:space="0" w:color="auto"/>
      </w:divBdr>
      <w:divsChild>
        <w:div w:id="1336565861">
          <w:marLeft w:val="0"/>
          <w:marRight w:val="0"/>
          <w:marTop w:val="0"/>
          <w:marBottom w:val="0"/>
          <w:divBdr>
            <w:top w:val="none" w:sz="0" w:space="0" w:color="auto"/>
            <w:left w:val="none" w:sz="0" w:space="0" w:color="auto"/>
            <w:bottom w:val="none" w:sz="0" w:space="0" w:color="auto"/>
            <w:right w:val="none" w:sz="0" w:space="0" w:color="auto"/>
          </w:divBdr>
        </w:div>
        <w:div w:id="783615562">
          <w:marLeft w:val="0"/>
          <w:marRight w:val="0"/>
          <w:marTop w:val="0"/>
          <w:marBottom w:val="0"/>
          <w:divBdr>
            <w:top w:val="none" w:sz="0" w:space="0" w:color="auto"/>
            <w:left w:val="none" w:sz="0" w:space="0" w:color="auto"/>
            <w:bottom w:val="none" w:sz="0" w:space="0" w:color="auto"/>
            <w:right w:val="none" w:sz="0" w:space="0" w:color="auto"/>
          </w:divBdr>
        </w:div>
      </w:divsChild>
    </w:div>
    <w:div w:id="1569729869">
      <w:bodyDiv w:val="1"/>
      <w:marLeft w:val="0"/>
      <w:marRight w:val="0"/>
      <w:marTop w:val="0"/>
      <w:marBottom w:val="0"/>
      <w:divBdr>
        <w:top w:val="none" w:sz="0" w:space="0" w:color="auto"/>
        <w:left w:val="none" w:sz="0" w:space="0" w:color="auto"/>
        <w:bottom w:val="none" w:sz="0" w:space="0" w:color="auto"/>
        <w:right w:val="none" w:sz="0" w:space="0" w:color="auto"/>
      </w:divBdr>
    </w:div>
    <w:div w:id="1603106132">
      <w:bodyDiv w:val="1"/>
      <w:marLeft w:val="0"/>
      <w:marRight w:val="0"/>
      <w:marTop w:val="0"/>
      <w:marBottom w:val="0"/>
      <w:divBdr>
        <w:top w:val="none" w:sz="0" w:space="0" w:color="auto"/>
        <w:left w:val="none" w:sz="0" w:space="0" w:color="auto"/>
        <w:bottom w:val="none" w:sz="0" w:space="0" w:color="auto"/>
        <w:right w:val="none" w:sz="0" w:space="0" w:color="auto"/>
      </w:divBdr>
    </w:div>
    <w:div w:id="1660883387">
      <w:bodyDiv w:val="1"/>
      <w:marLeft w:val="0"/>
      <w:marRight w:val="0"/>
      <w:marTop w:val="0"/>
      <w:marBottom w:val="0"/>
      <w:divBdr>
        <w:top w:val="none" w:sz="0" w:space="0" w:color="auto"/>
        <w:left w:val="none" w:sz="0" w:space="0" w:color="auto"/>
        <w:bottom w:val="none" w:sz="0" w:space="0" w:color="auto"/>
        <w:right w:val="none" w:sz="0" w:space="0" w:color="auto"/>
      </w:divBdr>
      <w:divsChild>
        <w:div w:id="1522232953">
          <w:marLeft w:val="0"/>
          <w:marRight w:val="0"/>
          <w:marTop w:val="0"/>
          <w:marBottom w:val="0"/>
          <w:divBdr>
            <w:top w:val="none" w:sz="0" w:space="0" w:color="auto"/>
            <w:left w:val="none" w:sz="0" w:space="0" w:color="auto"/>
            <w:bottom w:val="none" w:sz="0" w:space="0" w:color="auto"/>
            <w:right w:val="none" w:sz="0" w:space="0" w:color="auto"/>
          </w:divBdr>
        </w:div>
        <w:div w:id="1113405529">
          <w:marLeft w:val="0"/>
          <w:marRight w:val="0"/>
          <w:marTop w:val="0"/>
          <w:marBottom w:val="0"/>
          <w:divBdr>
            <w:top w:val="none" w:sz="0" w:space="0" w:color="auto"/>
            <w:left w:val="none" w:sz="0" w:space="0" w:color="auto"/>
            <w:bottom w:val="none" w:sz="0" w:space="0" w:color="auto"/>
            <w:right w:val="none" w:sz="0" w:space="0" w:color="auto"/>
          </w:divBdr>
        </w:div>
        <w:div w:id="1413046378">
          <w:marLeft w:val="0"/>
          <w:marRight w:val="0"/>
          <w:marTop w:val="0"/>
          <w:marBottom w:val="0"/>
          <w:divBdr>
            <w:top w:val="none" w:sz="0" w:space="0" w:color="auto"/>
            <w:left w:val="none" w:sz="0" w:space="0" w:color="auto"/>
            <w:bottom w:val="none" w:sz="0" w:space="0" w:color="auto"/>
            <w:right w:val="none" w:sz="0" w:space="0" w:color="auto"/>
          </w:divBdr>
        </w:div>
      </w:divsChild>
    </w:div>
    <w:div w:id="1689139400">
      <w:bodyDiv w:val="1"/>
      <w:marLeft w:val="0"/>
      <w:marRight w:val="0"/>
      <w:marTop w:val="0"/>
      <w:marBottom w:val="0"/>
      <w:divBdr>
        <w:top w:val="none" w:sz="0" w:space="0" w:color="auto"/>
        <w:left w:val="none" w:sz="0" w:space="0" w:color="auto"/>
        <w:bottom w:val="none" w:sz="0" w:space="0" w:color="auto"/>
        <w:right w:val="none" w:sz="0" w:space="0" w:color="auto"/>
      </w:divBdr>
    </w:div>
    <w:div w:id="1723283142">
      <w:bodyDiv w:val="1"/>
      <w:marLeft w:val="0"/>
      <w:marRight w:val="0"/>
      <w:marTop w:val="0"/>
      <w:marBottom w:val="0"/>
      <w:divBdr>
        <w:top w:val="none" w:sz="0" w:space="0" w:color="auto"/>
        <w:left w:val="none" w:sz="0" w:space="0" w:color="auto"/>
        <w:bottom w:val="none" w:sz="0" w:space="0" w:color="auto"/>
        <w:right w:val="none" w:sz="0" w:space="0" w:color="auto"/>
      </w:divBdr>
      <w:divsChild>
        <w:div w:id="306204340">
          <w:marLeft w:val="1740"/>
          <w:marRight w:val="0"/>
          <w:marTop w:val="0"/>
          <w:marBottom w:val="0"/>
          <w:divBdr>
            <w:top w:val="none" w:sz="0" w:space="0" w:color="auto"/>
            <w:left w:val="none" w:sz="0" w:space="0" w:color="auto"/>
            <w:bottom w:val="none" w:sz="0" w:space="0" w:color="auto"/>
            <w:right w:val="none" w:sz="0" w:space="0" w:color="auto"/>
          </w:divBdr>
        </w:div>
      </w:divsChild>
    </w:div>
    <w:div w:id="1746804687">
      <w:bodyDiv w:val="1"/>
      <w:marLeft w:val="0"/>
      <w:marRight w:val="0"/>
      <w:marTop w:val="0"/>
      <w:marBottom w:val="0"/>
      <w:divBdr>
        <w:top w:val="none" w:sz="0" w:space="0" w:color="auto"/>
        <w:left w:val="none" w:sz="0" w:space="0" w:color="auto"/>
        <w:bottom w:val="none" w:sz="0" w:space="0" w:color="auto"/>
        <w:right w:val="none" w:sz="0" w:space="0" w:color="auto"/>
      </w:divBdr>
    </w:div>
    <w:div w:id="1889027133">
      <w:bodyDiv w:val="1"/>
      <w:marLeft w:val="0"/>
      <w:marRight w:val="0"/>
      <w:marTop w:val="0"/>
      <w:marBottom w:val="0"/>
      <w:divBdr>
        <w:top w:val="none" w:sz="0" w:space="0" w:color="auto"/>
        <w:left w:val="none" w:sz="0" w:space="0" w:color="auto"/>
        <w:bottom w:val="none" w:sz="0" w:space="0" w:color="auto"/>
        <w:right w:val="none" w:sz="0" w:space="0" w:color="auto"/>
      </w:divBdr>
      <w:divsChild>
        <w:div w:id="1825317326">
          <w:marLeft w:val="0"/>
          <w:marRight w:val="0"/>
          <w:marTop w:val="0"/>
          <w:marBottom w:val="0"/>
          <w:divBdr>
            <w:top w:val="none" w:sz="0" w:space="0" w:color="auto"/>
            <w:left w:val="none" w:sz="0" w:space="0" w:color="auto"/>
            <w:bottom w:val="none" w:sz="0" w:space="0" w:color="auto"/>
            <w:right w:val="none" w:sz="0" w:space="0" w:color="auto"/>
          </w:divBdr>
          <w:divsChild>
            <w:div w:id="787743984">
              <w:marLeft w:val="0"/>
              <w:marRight w:val="0"/>
              <w:marTop w:val="100"/>
              <w:marBottom w:val="100"/>
              <w:divBdr>
                <w:top w:val="none" w:sz="0" w:space="0" w:color="auto"/>
                <w:left w:val="none" w:sz="0" w:space="0" w:color="auto"/>
                <w:bottom w:val="none" w:sz="0" w:space="0" w:color="auto"/>
                <w:right w:val="none" w:sz="0" w:space="0" w:color="auto"/>
              </w:divBdr>
              <w:divsChild>
                <w:div w:id="265308777">
                  <w:marLeft w:val="0"/>
                  <w:marRight w:val="0"/>
                  <w:marTop w:val="0"/>
                  <w:marBottom w:val="0"/>
                  <w:divBdr>
                    <w:top w:val="none" w:sz="0" w:space="0" w:color="auto"/>
                    <w:left w:val="none" w:sz="0" w:space="0" w:color="auto"/>
                    <w:bottom w:val="none" w:sz="0" w:space="0" w:color="auto"/>
                    <w:right w:val="none" w:sz="0" w:space="0" w:color="auto"/>
                  </w:divBdr>
                  <w:divsChild>
                    <w:div w:id="797842161">
                      <w:marLeft w:val="0"/>
                      <w:marRight w:val="0"/>
                      <w:marTop w:val="450"/>
                      <w:marBottom w:val="450"/>
                      <w:divBdr>
                        <w:top w:val="none" w:sz="0" w:space="0" w:color="auto"/>
                        <w:left w:val="none" w:sz="0" w:space="0" w:color="auto"/>
                        <w:bottom w:val="none" w:sz="0" w:space="0" w:color="auto"/>
                        <w:right w:val="none" w:sz="0" w:space="0" w:color="auto"/>
                      </w:divBdr>
                      <w:divsChild>
                        <w:div w:id="1646742681">
                          <w:marLeft w:val="0"/>
                          <w:marRight w:val="0"/>
                          <w:marTop w:val="0"/>
                          <w:marBottom w:val="0"/>
                          <w:divBdr>
                            <w:top w:val="none" w:sz="0" w:space="0" w:color="auto"/>
                            <w:left w:val="none" w:sz="0" w:space="0" w:color="auto"/>
                            <w:bottom w:val="none" w:sz="0" w:space="0" w:color="auto"/>
                            <w:right w:val="none" w:sz="0" w:space="0" w:color="auto"/>
                          </w:divBdr>
                          <w:divsChild>
                            <w:div w:id="19974177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3146">
      <w:bodyDiv w:val="1"/>
      <w:marLeft w:val="0"/>
      <w:marRight w:val="0"/>
      <w:marTop w:val="0"/>
      <w:marBottom w:val="0"/>
      <w:divBdr>
        <w:top w:val="none" w:sz="0" w:space="0" w:color="auto"/>
        <w:left w:val="none" w:sz="0" w:space="0" w:color="auto"/>
        <w:bottom w:val="none" w:sz="0" w:space="0" w:color="auto"/>
        <w:right w:val="none" w:sz="0" w:space="0" w:color="auto"/>
      </w:divBdr>
      <w:divsChild>
        <w:div w:id="1189490060">
          <w:marLeft w:val="0"/>
          <w:marRight w:val="0"/>
          <w:marTop w:val="0"/>
          <w:marBottom w:val="0"/>
          <w:divBdr>
            <w:top w:val="none" w:sz="0" w:space="0" w:color="auto"/>
            <w:left w:val="none" w:sz="0" w:space="0" w:color="auto"/>
            <w:bottom w:val="none" w:sz="0" w:space="0" w:color="auto"/>
            <w:right w:val="none" w:sz="0" w:space="0" w:color="auto"/>
          </w:divBdr>
        </w:div>
        <w:div w:id="1694844084">
          <w:marLeft w:val="0"/>
          <w:marRight w:val="0"/>
          <w:marTop w:val="0"/>
          <w:marBottom w:val="0"/>
          <w:divBdr>
            <w:top w:val="none" w:sz="0" w:space="0" w:color="auto"/>
            <w:left w:val="none" w:sz="0" w:space="0" w:color="auto"/>
            <w:bottom w:val="none" w:sz="0" w:space="0" w:color="auto"/>
            <w:right w:val="none" w:sz="0" w:space="0" w:color="auto"/>
          </w:divBdr>
        </w:div>
        <w:div w:id="1151561270">
          <w:marLeft w:val="0"/>
          <w:marRight w:val="0"/>
          <w:marTop w:val="0"/>
          <w:marBottom w:val="0"/>
          <w:divBdr>
            <w:top w:val="none" w:sz="0" w:space="0" w:color="auto"/>
            <w:left w:val="none" w:sz="0" w:space="0" w:color="auto"/>
            <w:bottom w:val="none" w:sz="0" w:space="0" w:color="auto"/>
            <w:right w:val="none" w:sz="0" w:space="0" w:color="auto"/>
          </w:divBdr>
        </w:div>
        <w:div w:id="1235819472">
          <w:marLeft w:val="0"/>
          <w:marRight w:val="0"/>
          <w:marTop w:val="0"/>
          <w:marBottom w:val="0"/>
          <w:divBdr>
            <w:top w:val="none" w:sz="0" w:space="0" w:color="auto"/>
            <w:left w:val="none" w:sz="0" w:space="0" w:color="auto"/>
            <w:bottom w:val="none" w:sz="0" w:space="0" w:color="auto"/>
            <w:right w:val="none" w:sz="0" w:space="0" w:color="auto"/>
          </w:divBdr>
        </w:div>
        <w:div w:id="469327025">
          <w:marLeft w:val="0"/>
          <w:marRight w:val="0"/>
          <w:marTop w:val="0"/>
          <w:marBottom w:val="0"/>
          <w:divBdr>
            <w:top w:val="none" w:sz="0" w:space="0" w:color="auto"/>
            <w:left w:val="none" w:sz="0" w:space="0" w:color="auto"/>
            <w:bottom w:val="none" w:sz="0" w:space="0" w:color="auto"/>
            <w:right w:val="none" w:sz="0" w:space="0" w:color="auto"/>
          </w:divBdr>
        </w:div>
        <w:div w:id="82146728">
          <w:marLeft w:val="0"/>
          <w:marRight w:val="0"/>
          <w:marTop w:val="0"/>
          <w:marBottom w:val="0"/>
          <w:divBdr>
            <w:top w:val="none" w:sz="0" w:space="0" w:color="auto"/>
            <w:left w:val="none" w:sz="0" w:space="0" w:color="auto"/>
            <w:bottom w:val="none" w:sz="0" w:space="0" w:color="auto"/>
            <w:right w:val="none" w:sz="0" w:space="0" w:color="auto"/>
          </w:divBdr>
        </w:div>
        <w:div w:id="1743671274">
          <w:marLeft w:val="0"/>
          <w:marRight w:val="0"/>
          <w:marTop w:val="0"/>
          <w:marBottom w:val="0"/>
          <w:divBdr>
            <w:top w:val="none" w:sz="0" w:space="0" w:color="auto"/>
            <w:left w:val="none" w:sz="0" w:space="0" w:color="auto"/>
            <w:bottom w:val="none" w:sz="0" w:space="0" w:color="auto"/>
            <w:right w:val="none" w:sz="0" w:space="0" w:color="auto"/>
          </w:divBdr>
        </w:div>
        <w:div w:id="1685279946">
          <w:marLeft w:val="0"/>
          <w:marRight w:val="0"/>
          <w:marTop w:val="0"/>
          <w:marBottom w:val="0"/>
          <w:divBdr>
            <w:top w:val="none" w:sz="0" w:space="0" w:color="auto"/>
            <w:left w:val="none" w:sz="0" w:space="0" w:color="auto"/>
            <w:bottom w:val="none" w:sz="0" w:space="0" w:color="auto"/>
            <w:right w:val="none" w:sz="0" w:space="0" w:color="auto"/>
          </w:divBdr>
        </w:div>
      </w:divsChild>
    </w:div>
    <w:div w:id="2001613269">
      <w:bodyDiv w:val="1"/>
      <w:marLeft w:val="0"/>
      <w:marRight w:val="0"/>
      <w:marTop w:val="0"/>
      <w:marBottom w:val="0"/>
      <w:divBdr>
        <w:top w:val="none" w:sz="0" w:space="0" w:color="auto"/>
        <w:left w:val="none" w:sz="0" w:space="0" w:color="auto"/>
        <w:bottom w:val="none" w:sz="0" w:space="0" w:color="auto"/>
        <w:right w:val="none" w:sz="0" w:space="0" w:color="auto"/>
      </w:divBdr>
    </w:div>
    <w:div w:id="2028671932">
      <w:bodyDiv w:val="1"/>
      <w:marLeft w:val="0"/>
      <w:marRight w:val="0"/>
      <w:marTop w:val="0"/>
      <w:marBottom w:val="0"/>
      <w:divBdr>
        <w:top w:val="none" w:sz="0" w:space="0" w:color="auto"/>
        <w:left w:val="none" w:sz="0" w:space="0" w:color="auto"/>
        <w:bottom w:val="none" w:sz="0" w:space="0" w:color="auto"/>
        <w:right w:val="none" w:sz="0" w:space="0" w:color="auto"/>
      </w:divBdr>
    </w:div>
    <w:div w:id="2090761574">
      <w:bodyDiv w:val="1"/>
      <w:marLeft w:val="0"/>
      <w:marRight w:val="0"/>
      <w:marTop w:val="0"/>
      <w:marBottom w:val="0"/>
      <w:divBdr>
        <w:top w:val="none" w:sz="0" w:space="0" w:color="auto"/>
        <w:left w:val="none" w:sz="0" w:space="0" w:color="auto"/>
        <w:bottom w:val="none" w:sz="0" w:space="0" w:color="auto"/>
        <w:right w:val="none" w:sz="0" w:space="0" w:color="auto"/>
      </w:divBdr>
    </w:div>
    <w:div w:id="2091194914">
      <w:bodyDiv w:val="1"/>
      <w:marLeft w:val="0"/>
      <w:marRight w:val="0"/>
      <w:marTop w:val="0"/>
      <w:marBottom w:val="0"/>
      <w:divBdr>
        <w:top w:val="none" w:sz="0" w:space="0" w:color="auto"/>
        <w:left w:val="none" w:sz="0" w:space="0" w:color="auto"/>
        <w:bottom w:val="none" w:sz="0" w:space="0" w:color="auto"/>
        <w:right w:val="none" w:sz="0" w:space="0" w:color="auto"/>
      </w:divBdr>
    </w:div>
    <w:div w:id="2129004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s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conpapers.repec.org/article/eeejfinec/" TargetMode="External"/><Relationship Id="rId4" Type="http://schemas.openxmlformats.org/officeDocument/2006/relationships/settings" Target="settings.xml"/><Relationship Id="rId9" Type="http://schemas.openxmlformats.org/officeDocument/2006/relationships/hyperlink" Target="http://www.anpad.org.br/admin/pdf/con1799.pdf"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78DB4-6E50-4570-8BB0-AF8EFF43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12077</Words>
  <Characters>65222</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2018-01-23T02:00:00Z</dcterms:created>
  <dcterms:modified xsi:type="dcterms:W3CDTF">2018-01-23T02:01:00Z</dcterms:modified>
  <dc:language/>
</cp:coreProperties>
</file>