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12D" w:rsidRDefault="00F7512D" w:rsidP="00F7512D">
      <w:pPr>
        <w:pStyle w:val="Body1"/>
        <w:spacing w:line="360" w:lineRule="auto"/>
        <w:ind w:firstLine="1"/>
        <w:jc w:val="both"/>
        <w:outlineLvl w:val="0"/>
        <w:rPr>
          <w:rFonts w:ascii="Times New Roman" w:eastAsia="Times New Roman" w:hAnsi="Times New Roman"/>
          <w:color w:val="000000" w:themeColor="text1"/>
          <w:lang w:val="en-US"/>
        </w:rPr>
      </w:pPr>
    </w:p>
    <w:p w:rsidR="00F7512D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  <w:lang w:val="en-US"/>
        </w:rPr>
      </w:pPr>
      <w:r>
        <w:rPr>
          <w:rFonts w:ascii="Times New Roman" w:eastAsia="Times New Roman" w:hAnsi="Times New Roman"/>
          <w:noProof/>
          <w:color w:val="000000" w:themeColor="text1"/>
          <w:lang w:val="en-US"/>
        </w:rPr>
        <w:drawing>
          <wp:inline distT="0" distB="0" distL="0" distR="0" wp14:anchorId="47020B86" wp14:editId="3480E5E1">
            <wp:extent cx="4100830" cy="3099734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471" cy="3122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12D" w:rsidRPr="00D04938" w:rsidRDefault="00F7512D" w:rsidP="00F7512D">
      <w:pPr>
        <w:pStyle w:val="SemEspaamento"/>
        <w:jc w:val="center"/>
        <w:rPr>
          <w:b/>
          <w:sz w:val="20"/>
          <w:szCs w:val="20"/>
        </w:rPr>
      </w:pPr>
      <w:r w:rsidRPr="00D049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Figura 1</w:t>
      </w:r>
      <w:r w:rsidRPr="00D049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E7C23">
        <w:rPr>
          <w:rFonts w:ascii="Times New Roman" w:hAnsi="Times New Roman" w:cs="Times New Roman"/>
          <w:sz w:val="20"/>
          <w:szCs w:val="20"/>
        </w:rPr>
        <w:t>-</w:t>
      </w:r>
      <w:r w:rsidRPr="00D04938">
        <w:rPr>
          <w:rFonts w:ascii="Times New Roman" w:hAnsi="Times New Roman" w:cs="Times New Roman"/>
          <w:sz w:val="20"/>
          <w:szCs w:val="20"/>
        </w:rPr>
        <w:t xml:space="preserve">  Ensino</w:t>
      </w:r>
      <w:proofErr w:type="gramEnd"/>
      <w:r w:rsidRPr="00D04938">
        <w:rPr>
          <w:rFonts w:ascii="Times New Roman" w:hAnsi="Times New Roman" w:cs="Times New Roman"/>
          <w:sz w:val="20"/>
          <w:szCs w:val="20"/>
        </w:rPr>
        <w:t xml:space="preserve"> de repertórios básicos. Os gráficos representam número acumulado de respostas por meses. O superior diz respeito às respostas de contato visual e, o inferior, às respostas de sentar atentamente</w:t>
      </w:r>
    </w:p>
    <w:p w:rsidR="00F7512D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</w:p>
    <w:p w:rsidR="00F7512D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</w:p>
    <w:p w:rsidR="00F7512D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noProof/>
          <w:color w:val="000000" w:themeColor="text1"/>
        </w:rPr>
        <w:drawing>
          <wp:inline distT="0" distB="0" distL="0" distR="0" wp14:anchorId="4FFFA62E" wp14:editId="1D970A74">
            <wp:extent cx="5194935" cy="3067303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79" cy="3080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12D" w:rsidRPr="00D04938" w:rsidRDefault="00F7512D" w:rsidP="00F7512D">
      <w:pPr>
        <w:pStyle w:val="SemEspaamento"/>
        <w:jc w:val="center"/>
        <w:rPr>
          <w:b/>
          <w:sz w:val="20"/>
          <w:szCs w:val="20"/>
        </w:rPr>
      </w:pPr>
      <w:r w:rsidRPr="00D04938">
        <w:rPr>
          <w:rFonts w:ascii="Times New Roman" w:hAnsi="Times New Roman" w:cs="Times New Roman"/>
          <w:b/>
          <w:sz w:val="20"/>
          <w:szCs w:val="20"/>
        </w:rPr>
        <w:t>Figura 2</w:t>
      </w:r>
      <w:r w:rsidRPr="00D04938">
        <w:rPr>
          <w:rFonts w:ascii="Times New Roman" w:hAnsi="Times New Roman" w:cs="Times New Roman"/>
          <w:sz w:val="20"/>
          <w:szCs w:val="20"/>
        </w:rPr>
        <w:t xml:space="preserve"> </w:t>
      </w:r>
      <w:r w:rsidRPr="009E7C23">
        <w:rPr>
          <w:rFonts w:ascii="Times New Roman" w:hAnsi="Times New Roman" w:cs="Times New Roman"/>
          <w:sz w:val="20"/>
          <w:szCs w:val="20"/>
        </w:rPr>
        <w:t xml:space="preserve">- </w:t>
      </w:r>
      <w:r w:rsidRPr="00D04938">
        <w:rPr>
          <w:rFonts w:ascii="Times New Roman" w:hAnsi="Times New Roman" w:cs="Times New Roman"/>
          <w:sz w:val="20"/>
          <w:szCs w:val="20"/>
        </w:rPr>
        <w:t>Ensino de três tipos de tatos. Os gráficos representam número acumulado de respostas por meses. O gráfico superior representa tatos com pronomes possessivos. O inferior à esquerda, tatos de ações. E, o inferior à direita, tatos com quatro ou mais palavras</w:t>
      </w:r>
    </w:p>
    <w:p w:rsidR="00F7512D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</w:p>
    <w:p w:rsidR="00F7512D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</w:p>
    <w:p w:rsidR="00F7512D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</w:p>
    <w:p w:rsidR="00F7512D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noProof/>
          <w:color w:val="000000" w:themeColor="text1"/>
        </w:rPr>
        <w:drawing>
          <wp:inline distT="0" distB="0" distL="0" distR="0" wp14:anchorId="4678D284" wp14:editId="2430EBA5">
            <wp:extent cx="5368677" cy="3397250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149" cy="3405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12D" w:rsidRPr="00D04938" w:rsidRDefault="00F7512D" w:rsidP="00F7512D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D04938">
        <w:rPr>
          <w:rFonts w:ascii="Times New Roman" w:hAnsi="Times New Roman" w:cs="Times New Roman"/>
          <w:b/>
          <w:sz w:val="20"/>
          <w:szCs w:val="20"/>
        </w:rPr>
        <w:t xml:space="preserve">Figura 3 </w:t>
      </w:r>
      <w:r w:rsidRPr="009E7C23">
        <w:rPr>
          <w:rFonts w:ascii="Times New Roman" w:hAnsi="Times New Roman" w:cs="Times New Roman"/>
          <w:sz w:val="20"/>
          <w:szCs w:val="20"/>
        </w:rPr>
        <w:t xml:space="preserve">- </w:t>
      </w:r>
      <w:r w:rsidRPr="00D04938">
        <w:rPr>
          <w:rFonts w:ascii="Times New Roman" w:hAnsi="Times New Roman" w:cs="Times New Roman"/>
          <w:sz w:val="20"/>
          <w:szCs w:val="20"/>
        </w:rPr>
        <w:t xml:space="preserve">Ensino de ecoicos e </w:t>
      </w:r>
      <w:proofErr w:type="spellStart"/>
      <w:r w:rsidRPr="00D04938">
        <w:rPr>
          <w:rFonts w:ascii="Times New Roman" w:hAnsi="Times New Roman" w:cs="Times New Roman"/>
          <w:sz w:val="20"/>
          <w:szCs w:val="20"/>
        </w:rPr>
        <w:t>intraverbais</w:t>
      </w:r>
      <w:proofErr w:type="spellEnd"/>
      <w:r w:rsidRPr="00D04938">
        <w:rPr>
          <w:rFonts w:ascii="Times New Roman" w:hAnsi="Times New Roman" w:cs="Times New Roman"/>
          <w:sz w:val="20"/>
          <w:szCs w:val="20"/>
        </w:rPr>
        <w:t xml:space="preserve">. O gráfico superior representa o ensino de ecoicos de frases. O gráfico inferior da esquerda, o ensino de </w:t>
      </w:r>
      <w:proofErr w:type="spellStart"/>
      <w:r w:rsidRPr="00D04938">
        <w:rPr>
          <w:rFonts w:ascii="Times New Roman" w:hAnsi="Times New Roman" w:cs="Times New Roman"/>
          <w:sz w:val="20"/>
          <w:szCs w:val="20"/>
        </w:rPr>
        <w:t>intraverbais</w:t>
      </w:r>
      <w:proofErr w:type="spellEnd"/>
      <w:r w:rsidRPr="00D04938">
        <w:rPr>
          <w:rFonts w:ascii="Times New Roman" w:hAnsi="Times New Roman" w:cs="Times New Roman"/>
          <w:sz w:val="20"/>
          <w:szCs w:val="20"/>
        </w:rPr>
        <w:t xml:space="preserve"> sob controle de perguntas simples e, o inferior da direita, o ensino de </w:t>
      </w:r>
      <w:proofErr w:type="spellStart"/>
      <w:r w:rsidRPr="00D04938">
        <w:rPr>
          <w:rFonts w:ascii="Times New Roman" w:hAnsi="Times New Roman" w:cs="Times New Roman"/>
          <w:sz w:val="20"/>
          <w:szCs w:val="20"/>
        </w:rPr>
        <w:t>intraverbais</w:t>
      </w:r>
      <w:proofErr w:type="spellEnd"/>
      <w:r w:rsidRPr="00D04938">
        <w:rPr>
          <w:rFonts w:ascii="Times New Roman" w:hAnsi="Times New Roman" w:cs="Times New Roman"/>
          <w:sz w:val="20"/>
          <w:szCs w:val="20"/>
        </w:rPr>
        <w:t xml:space="preserve"> consistindo em relatos sobre com</w:t>
      </w:r>
      <w:r>
        <w:rPr>
          <w:rFonts w:ascii="Times New Roman" w:hAnsi="Times New Roman" w:cs="Times New Roman"/>
          <w:sz w:val="20"/>
          <w:szCs w:val="20"/>
        </w:rPr>
        <w:t>portamentos socialmente aceitos</w:t>
      </w:r>
    </w:p>
    <w:p w:rsidR="00F7512D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</w:p>
    <w:p w:rsidR="00F7512D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</w:p>
    <w:p w:rsidR="00F7512D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noProof/>
          <w:color w:val="000000" w:themeColor="text1"/>
        </w:rPr>
        <w:drawing>
          <wp:inline distT="0" distB="0" distL="0" distR="0" wp14:anchorId="03CCDCAE" wp14:editId="653ABA7A">
            <wp:extent cx="4168602" cy="2984436"/>
            <wp:effectExtent l="0" t="0" r="381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39" cy="3001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12D" w:rsidRPr="00CB48F5" w:rsidRDefault="00F7512D" w:rsidP="00F7512D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CB48F5">
        <w:rPr>
          <w:rFonts w:ascii="Times New Roman" w:hAnsi="Times New Roman" w:cs="Times New Roman"/>
          <w:b/>
          <w:sz w:val="20"/>
          <w:szCs w:val="20"/>
        </w:rPr>
        <w:t>Figura 4</w:t>
      </w:r>
      <w:r w:rsidRPr="00CB48F5">
        <w:rPr>
          <w:rFonts w:ascii="Times New Roman" w:hAnsi="Times New Roman" w:cs="Times New Roman"/>
          <w:sz w:val="20"/>
          <w:szCs w:val="20"/>
        </w:rPr>
        <w:t xml:space="preserve"> - Ensino de soletração vocal e de construção de sentenças. O gráfico superior representa o ensino de soletração. O gráfico inferior, o ensino de </w:t>
      </w:r>
      <w:r>
        <w:rPr>
          <w:rFonts w:ascii="Times New Roman" w:hAnsi="Times New Roman" w:cs="Times New Roman"/>
          <w:sz w:val="20"/>
          <w:szCs w:val="20"/>
        </w:rPr>
        <w:t>construção de sentenças</w:t>
      </w:r>
    </w:p>
    <w:p w:rsidR="00F7512D" w:rsidRPr="008A48C0" w:rsidRDefault="00F7512D" w:rsidP="00F7512D">
      <w:pPr>
        <w:pStyle w:val="Body1"/>
        <w:spacing w:line="360" w:lineRule="auto"/>
        <w:ind w:firstLine="1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</w:p>
    <w:p w:rsidR="00F7512D" w:rsidRDefault="00F7512D">
      <w:bookmarkStart w:id="0" w:name="_GoBack"/>
      <w:bookmarkEnd w:id="0"/>
    </w:p>
    <w:sectPr w:rsidR="00F7512D" w:rsidSect="00E94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60" w:rsidRDefault="00F751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60" w:rsidRDefault="00F751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60" w:rsidRDefault="00F7512D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60" w:rsidRDefault="00F751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60" w:rsidRDefault="00F751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60" w:rsidRDefault="00F751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2D"/>
    <w:rsid w:val="00F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07AF-41FB-47EC-9CFA-AD9A2A4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1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12D"/>
    <w:pPr>
      <w:tabs>
        <w:tab w:val="center" w:pos="4320"/>
        <w:tab w:val="right" w:pos="8640"/>
      </w:tabs>
    </w:pPr>
    <w:rPr>
      <w:rFonts w:ascii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512D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7512D"/>
    <w:pPr>
      <w:tabs>
        <w:tab w:val="center" w:pos="4320"/>
        <w:tab w:val="right" w:pos="8640"/>
      </w:tabs>
    </w:pPr>
    <w:rPr>
      <w:rFonts w:ascii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512D"/>
    <w:rPr>
      <w:rFonts w:eastAsiaTheme="minorEastAsia"/>
      <w:sz w:val="24"/>
      <w:szCs w:val="24"/>
    </w:rPr>
  </w:style>
  <w:style w:type="paragraph" w:styleId="SemEspaamento">
    <w:name w:val="No Spacing"/>
    <w:uiPriority w:val="1"/>
    <w:qFormat/>
    <w:rsid w:val="00F7512D"/>
    <w:pPr>
      <w:spacing w:after="0" w:line="240" w:lineRule="auto"/>
    </w:pPr>
  </w:style>
  <w:style w:type="paragraph" w:customStyle="1" w:styleId="Body1">
    <w:name w:val="Body 1"/>
    <w:rsid w:val="00F7512D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/>
      <vt:lpstr>/</vt:lpstr>
      <vt:lpstr/>
      <vt:lpstr/>
      <vt:lpstr>/</vt:lpstr>
      <vt:lpstr/>
      <vt:lpstr/>
      <vt:lpstr/>
      <vt:lpstr>/</vt:lpstr>
      <vt:lpstr/>
      <vt:lpstr/>
      <vt:lpstr>/</vt:lpstr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2018-10-16T06:31:00Z</dcterms:created>
  <dcterms:modified xsi:type="dcterms:W3CDTF">2018-10-16T06:32:00Z</dcterms:modified>
</cp:coreProperties>
</file>