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8D1" w:rsidRPr="0039154F" w:rsidRDefault="002538D1" w:rsidP="002538D1">
      <w:pPr>
        <w:spacing w:after="0" w:line="240" w:lineRule="auto"/>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EXPANSÃO DA EDUCAÇÃO SUPERIOR: INDICADORES DE QUALIDADE NA MODALIDADE A DISTÂNCIA </w:t>
      </w:r>
    </w:p>
    <w:p w:rsidR="002538D1" w:rsidRPr="0039154F" w:rsidRDefault="002538D1" w:rsidP="002538D1">
      <w:pPr>
        <w:spacing w:after="0" w:line="240" w:lineRule="auto"/>
        <w:rPr>
          <w:rFonts w:ascii="Times New Roman" w:eastAsia="Times New Roman" w:hAnsi="Times New Roman" w:cs="Times New Roman"/>
        </w:rPr>
      </w:pPr>
    </w:p>
    <w:p w:rsidR="002538D1" w:rsidRPr="0039154F" w:rsidRDefault="002538D1" w:rsidP="002538D1">
      <w:pPr>
        <w:spacing w:after="0" w:line="360" w:lineRule="auto"/>
        <w:jc w:val="both"/>
        <w:rPr>
          <w:rFonts w:ascii="Times New Roman" w:eastAsia="Times New Roman" w:hAnsi="Times New Roman" w:cs="Times New Roman"/>
          <w:b/>
          <w:sz w:val="24"/>
          <w:szCs w:val="24"/>
          <w:highlight w:val="white"/>
        </w:rPr>
      </w:pPr>
    </w:p>
    <w:p w:rsidR="002538D1" w:rsidRPr="0039154F" w:rsidRDefault="002538D1" w:rsidP="002538D1">
      <w:pPr>
        <w:spacing w:after="0" w:line="24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RESUMO</w:t>
      </w:r>
    </w:p>
    <w:p w:rsidR="002538D1" w:rsidRPr="0039154F" w:rsidRDefault="002538D1" w:rsidP="002538D1">
      <w:pPr>
        <w:spacing w:after="0" w:line="24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O artigo apresenta o processo de construção de indicadores de qualidade da Educação Superior na modalidade a distância. Realizou-se pesquisa quali-quantitativa, de análise descritiva por meio de um questionário elaborado para conhecer o perfil e expectativas dos alunos que ingressam na universidade, na modalidade estudada. O objetivo foi gerar um panorama preciso para identificar as principais dimensões de análise, extraídas do questionário elaborado, que possam subsidiar a construção dos indicadores. Conclui</w:t>
      </w:r>
      <w:r>
        <w:rPr>
          <w:rFonts w:ascii="Times New Roman" w:eastAsia="Times New Roman" w:hAnsi="Times New Roman" w:cs="Times New Roman"/>
          <w:sz w:val="24"/>
          <w:szCs w:val="24"/>
        </w:rPr>
        <w:t>u</w:t>
      </w:r>
      <w:r w:rsidRPr="0039154F">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q</w:t>
      </w:r>
      <w:r w:rsidRPr="0039154F">
        <w:rPr>
          <w:rFonts w:ascii="Times New Roman" w:eastAsia="Times New Roman" w:hAnsi="Times New Roman" w:cs="Times New Roman"/>
          <w:sz w:val="24"/>
          <w:szCs w:val="24"/>
          <w:highlight w:val="white"/>
        </w:rPr>
        <w:t xml:space="preserve">ue </w:t>
      </w:r>
      <w:r w:rsidRPr="0039154F">
        <w:rPr>
          <w:rFonts w:ascii="Times New Roman" w:eastAsia="Times New Roman" w:hAnsi="Times New Roman" w:cs="Times New Roman"/>
          <w:sz w:val="24"/>
          <w:szCs w:val="24"/>
        </w:rPr>
        <w:t xml:space="preserve">qualidade deve ser abordada como categoria multidimensional e dinâmica e que </w:t>
      </w:r>
      <w:r w:rsidRPr="0039154F">
        <w:rPr>
          <w:rFonts w:ascii="Times New Roman" w:eastAsia="Times New Roman" w:hAnsi="Times New Roman" w:cs="Times New Roman"/>
          <w:sz w:val="24"/>
          <w:szCs w:val="24"/>
          <w:highlight w:val="white"/>
        </w:rPr>
        <w:t>a construção de indicadores de qualidade é necessária para o planejamento de ações acadêmicas em um cenário de crescimento acelerado.</w:t>
      </w:r>
    </w:p>
    <w:p w:rsidR="002538D1" w:rsidRPr="0039154F" w:rsidRDefault="002538D1" w:rsidP="002538D1">
      <w:pPr>
        <w:spacing w:after="0" w:line="360" w:lineRule="auto"/>
        <w:jc w:val="both"/>
        <w:rPr>
          <w:rFonts w:ascii="Times New Roman" w:eastAsia="Times New Roman" w:hAnsi="Times New Roman" w:cs="Times New Roman"/>
          <w:b/>
          <w:sz w:val="24"/>
          <w:szCs w:val="24"/>
        </w:rPr>
      </w:pPr>
    </w:p>
    <w:p w:rsidR="002538D1" w:rsidRPr="0039154F" w:rsidRDefault="002538D1" w:rsidP="002538D1">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b/>
          <w:sz w:val="24"/>
          <w:szCs w:val="24"/>
        </w:rPr>
        <w:t>Palavras-chave</w:t>
      </w:r>
      <w:r w:rsidRPr="0039154F">
        <w:rPr>
          <w:rFonts w:ascii="Times New Roman" w:eastAsia="Times New Roman" w:hAnsi="Times New Roman" w:cs="Times New Roman"/>
          <w:sz w:val="24"/>
          <w:szCs w:val="24"/>
        </w:rPr>
        <w:t>: Educação Superior; Indicadores de Qualidade Acadêmica; Educação a Distância.</w:t>
      </w:r>
    </w:p>
    <w:p w:rsidR="002538D1" w:rsidRPr="004061C7" w:rsidRDefault="002538D1" w:rsidP="002538D1">
      <w:pPr>
        <w:spacing w:after="0" w:line="240" w:lineRule="auto"/>
        <w:jc w:val="both"/>
        <w:rPr>
          <w:rFonts w:ascii="Times New Roman" w:eastAsia="Times New Roman" w:hAnsi="Times New Roman" w:cs="Times New Roman"/>
          <w:b/>
          <w:sz w:val="24"/>
          <w:szCs w:val="24"/>
          <w:lang w:val="en-US"/>
        </w:rPr>
      </w:pPr>
      <w:r w:rsidRPr="004F528C">
        <w:rPr>
          <w:rFonts w:ascii="Times New Roman" w:hAnsi="Times New Roman" w:cs="Times New Roman"/>
          <w:b/>
          <w:sz w:val="24"/>
          <w:szCs w:val="24"/>
          <w:lang w:val="en-US"/>
        </w:rPr>
        <w:br/>
      </w:r>
      <w:r w:rsidRPr="004061C7">
        <w:rPr>
          <w:rFonts w:ascii="Times New Roman" w:hAnsi="Times New Roman" w:cs="Times New Roman"/>
          <w:b/>
          <w:color w:val="212121"/>
          <w:sz w:val="24"/>
          <w:szCs w:val="24"/>
          <w:shd w:val="clear" w:color="auto" w:fill="FFFFFF"/>
          <w:lang w:val="en-US"/>
        </w:rPr>
        <w:t>EXPANSION OF HIGHER EDUCATION: QUALITY INDICATORS IN THE DISTANCE MODE</w:t>
      </w:r>
    </w:p>
    <w:p w:rsidR="002538D1" w:rsidRPr="004061C7" w:rsidRDefault="002538D1" w:rsidP="002538D1">
      <w:pPr>
        <w:spacing w:after="0" w:line="240" w:lineRule="auto"/>
        <w:jc w:val="both"/>
        <w:rPr>
          <w:rFonts w:ascii="Times New Roman" w:eastAsia="Times New Roman" w:hAnsi="Times New Roman" w:cs="Times New Roman"/>
          <w:b/>
          <w:sz w:val="24"/>
          <w:szCs w:val="24"/>
          <w:lang w:val="en-US"/>
        </w:rPr>
      </w:pPr>
    </w:p>
    <w:p w:rsidR="002538D1" w:rsidRPr="004061C7" w:rsidRDefault="002538D1" w:rsidP="002538D1">
      <w:pPr>
        <w:spacing w:after="0" w:line="240" w:lineRule="auto"/>
        <w:jc w:val="both"/>
        <w:rPr>
          <w:rFonts w:ascii="Times New Roman" w:eastAsia="Times New Roman" w:hAnsi="Times New Roman" w:cs="Times New Roman"/>
          <w:b/>
          <w:sz w:val="24"/>
          <w:szCs w:val="24"/>
          <w:lang w:val="en-US"/>
        </w:rPr>
      </w:pPr>
      <w:r w:rsidRPr="004061C7">
        <w:rPr>
          <w:rFonts w:ascii="Times New Roman" w:eastAsia="Times New Roman" w:hAnsi="Times New Roman" w:cs="Times New Roman"/>
          <w:b/>
          <w:sz w:val="24"/>
          <w:szCs w:val="24"/>
          <w:lang w:val="en-US"/>
        </w:rPr>
        <w:t>ABSTRACT</w:t>
      </w:r>
    </w:p>
    <w:p w:rsidR="002538D1" w:rsidRPr="004061C7" w:rsidRDefault="002538D1" w:rsidP="002538D1">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rPr>
      </w:pPr>
      <w:r w:rsidRPr="007B3417">
        <w:rPr>
          <w:rFonts w:ascii="Times New Roman" w:eastAsia="Times New Roman" w:hAnsi="Times New Roman" w:cs="Times New Roman"/>
          <w:color w:val="212121"/>
          <w:sz w:val="24"/>
          <w:szCs w:val="24"/>
          <w:lang w:val="en"/>
        </w:rPr>
        <w:t>The article presents the process of construction of quality indicators of Higher Education in the distance modality. Qualitative and quantitative research was carried out through descriptive analysis through a questionnaire elaborated to know the profile and expectations of the students who entered the university in the modality studied. The objective was to generate a precise panorama to identify the main dimensions of analysis, extracted from the questionnaire elaborated, that can subsidize the construction of the indicators. It is concluded, among others, that quality must be approached as a multidimensional and dynamic category and that the construction of quality indicators is necessary for the planning of academic actions in a scenario of accelerated growth.</w:t>
      </w:r>
    </w:p>
    <w:p w:rsidR="002538D1" w:rsidRPr="004061C7" w:rsidRDefault="002538D1" w:rsidP="002538D1">
      <w:pPr>
        <w:spacing w:after="0" w:line="360" w:lineRule="auto"/>
        <w:jc w:val="both"/>
        <w:rPr>
          <w:rFonts w:ascii="Times New Roman" w:eastAsia="Times New Roman" w:hAnsi="Times New Roman" w:cs="Times New Roman"/>
          <w:b/>
          <w:sz w:val="24"/>
          <w:szCs w:val="24"/>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lang w:val="en-US"/>
        </w:rPr>
      </w:pPr>
      <w:r w:rsidRPr="004061C7">
        <w:rPr>
          <w:rFonts w:ascii="Times New Roman" w:eastAsia="Times New Roman" w:hAnsi="Times New Roman" w:cs="Times New Roman"/>
          <w:b/>
          <w:sz w:val="24"/>
          <w:szCs w:val="24"/>
          <w:lang w:val="en-US"/>
        </w:rPr>
        <w:t>Key words:</w:t>
      </w:r>
      <w:r w:rsidRPr="004061C7">
        <w:rPr>
          <w:rFonts w:ascii="Times New Roman" w:hAnsi="Times New Roman" w:cs="Times New Roman"/>
          <w:sz w:val="24"/>
          <w:szCs w:val="24"/>
          <w:lang w:val="en-US"/>
        </w:rPr>
        <w:t xml:space="preserve"> </w:t>
      </w:r>
      <w:r w:rsidRPr="004061C7">
        <w:rPr>
          <w:rFonts w:ascii="Times New Roman" w:hAnsi="Times New Roman" w:cs="Times New Roman"/>
          <w:color w:val="212121"/>
          <w:sz w:val="24"/>
          <w:szCs w:val="24"/>
          <w:shd w:val="clear" w:color="auto" w:fill="FFFFFF"/>
          <w:lang w:val="en-US"/>
        </w:rPr>
        <w:t>Higher Education; Indicators of Academic Quality; Distance Education.</w:t>
      </w: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4061C7" w:rsidRDefault="002538D1" w:rsidP="002538D1">
      <w:pPr>
        <w:spacing w:after="0" w:line="360" w:lineRule="auto"/>
        <w:jc w:val="both"/>
        <w:rPr>
          <w:rFonts w:ascii="Times New Roman" w:eastAsia="Times New Roman" w:hAnsi="Times New Roman" w:cs="Times New Roman"/>
          <w:b/>
          <w:sz w:val="24"/>
          <w:szCs w:val="24"/>
          <w:highlight w:val="white"/>
          <w:lang w:val="en-US"/>
        </w:rPr>
      </w:pPr>
    </w:p>
    <w:p w:rsidR="002538D1" w:rsidRPr="0039154F" w:rsidRDefault="002538D1" w:rsidP="002538D1">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b/>
          <w:sz w:val="24"/>
          <w:szCs w:val="24"/>
          <w:highlight w:val="white"/>
        </w:rPr>
        <w:lastRenderedPageBreak/>
        <w:t>INTRODUÇÃO</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As diretrizes legais buscam garantir o direito de todos à educação (CF, art. 205)</w:t>
      </w:r>
      <w:r>
        <w:rPr>
          <w:rFonts w:ascii="Times New Roman" w:eastAsia="Times New Roman" w:hAnsi="Times New Roman" w:cs="Times New Roman"/>
          <w:sz w:val="24"/>
          <w:szCs w:val="24"/>
        </w:rPr>
        <w:t>, sendo</w:t>
      </w:r>
      <w:r w:rsidRPr="0039154F">
        <w:rPr>
          <w:rFonts w:ascii="Times New Roman" w:eastAsia="Times New Roman" w:hAnsi="Times New Roman" w:cs="Times New Roman"/>
          <w:sz w:val="24"/>
          <w:szCs w:val="24"/>
        </w:rPr>
        <w:t xml:space="preserve"> dever do Estado em promover essa democratização (CF, art. 208). A Constituição Federal de 1988 (art. 206, inciso VII) e a LDBEN 9394/96 (Título II, art. 3º, parágrafo IX) determinam que o ensino no Brasil será ministrado com base no princípio da garantia de padrão de qualidade. A fim de assegurar ao cidadão esse princípio, foi previsto no art. 214 (CF) o Plano Nacional de Educação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PNE</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com fins de articular, definir diretrizes, objetivos, metas e estratégias de implementação, manutenção e desenvolvimento do ensino em seus diversos níveis, etapas e modalidades. O PNE-2 (2014-2024)</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seus incisos II e III</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destaca a universalização e a melhoria de qualidade do ensino. A meta 12 do PNE aponta para os desafios da política de expansão da Educação Superior em termos de inclusão e qualidade. Por isso</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propõe elevar a taxa bruta de matrícula na educação superior para promover um aumento médio da escolaridade da população, criar mecanismos de inclusão de populações marginalizadas e interiorizar as instituições.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Todavia, com relação à Educação Superior, observa-se um significativo aumento de matrículas nos últimos 10 anos, acompanhando o crescimento do PIB, porém mais expressivo na rede privada de ensino e na modalidade a distância (CENSO, 2016). A exceção foi o período entre 2015 e 2016</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quando ocorreu uma desaceleração de -0,2% seguindo os anos de recessão na economia conforme indicações do PIB de -3,8% e -3,6%, respectivamente. O número de matrículas (graduação e sequencial) se elevou de 4.944.877 em 2006 para 8.052.254 em 2016 (INEP, 2016). Esse crescimento teve significativa participação das instituições de ensino superior privadas, que</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2016</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respondiam por 75,3% (6.058.623) </w:t>
      </w:r>
      <w:r>
        <w:rPr>
          <w:rFonts w:ascii="Times New Roman" w:eastAsia="Times New Roman" w:hAnsi="Times New Roman" w:cs="Times New Roman"/>
          <w:sz w:val="24"/>
          <w:szCs w:val="24"/>
        </w:rPr>
        <w:t>d</w:t>
      </w:r>
      <w:r w:rsidRPr="0039154F">
        <w:rPr>
          <w:rFonts w:ascii="Times New Roman" w:eastAsia="Times New Roman" w:hAnsi="Times New Roman" w:cs="Times New Roman"/>
          <w:sz w:val="24"/>
          <w:szCs w:val="24"/>
        </w:rPr>
        <w:t>o total de matrículas de graduação. A rede pública participou com 24,7% (1.990.078). Nesse mesmo ano, das 2.407 instituições de educação superior existentes no Brasil, 87,7% (211) eram IES privadas e 12,3% (296) públicas (INEP, 2016). Por modalidade de ensino em 2016, 71,5% das matrículas de instituições presenciais e 91,8</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em cursos a distância </w:t>
      </w:r>
      <w:r>
        <w:rPr>
          <w:rFonts w:ascii="Times New Roman" w:eastAsia="Times New Roman" w:hAnsi="Times New Roman" w:cs="Times New Roman"/>
          <w:sz w:val="24"/>
          <w:szCs w:val="24"/>
        </w:rPr>
        <w:t>ocorreram</w:t>
      </w:r>
      <w:r w:rsidRPr="0039154F">
        <w:rPr>
          <w:rFonts w:ascii="Times New Roman" w:eastAsia="Times New Roman" w:hAnsi="Times New Roman" w:cs="Times New Roman"/>
          <w:sz w:val="24"/>
          <w:szCs w:val="24"/>
        </w:rPr>
        <w:t xml:space="preserve"> na rede privada (ABMES, 2018).</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Uma das ações adotadas para essa expansão foram os atos normativos do Conselho Nacional de Educação (CNE) </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indicações, pareceres, resoluções e relatos</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 expedidos no período de 1995 a 2013, que</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diante da demanda do PNE, formularam e implementaram políticas para a educação superior a distância no país. "As ações governamentais têm construído o caminho para consolidação da educação a distância </w:t>
      </w:r>
      <w:r w:rsidRPr="0039154F">
        <w:rPr>
          <w:rFonts w:ascii="Times New Roman" w:eastAsia="Times New Roman" w:hAnsi="Times New Roman" w:cs="Times New Roman"/>
          <w:sz w:val="24"/>
          <w:szCs w:val="24"/>
        </w:rPr>
        <w:lastRenderedPageBreak/>
        <w:t xml:space="preserve">(EaD) no Brasil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com o reconhecimento da EaD como modalidade da educação, e, portanto, como uma política pública educacional" (SOUSA; LIMA, 2015). Tal fenômeno mobilizou as instituições de ensino superior, em especial as instituições privadas, na oferta de matrículas e abertura de polos para cursos de graduação e superior tecnológico. A evolução das matrículas a distância registrou</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 2009 e 2013, um crescimento de 37,5%, sendo um aumento de 50% na rede privada. Entre 2012 e 2013</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esse crescimento nas IES privadas alcançou 7,2%, 932 mil matrículas para 999 mil (CENSO, 2016).</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Contudo, apesar da ampliação de matrículas indicar um cenário positivo e de aprimoramento dos indicadores de avaliação de instituições e cursos de ensino superior pelo Ministério da Educação, os desafios da meta 12 do PNE ainda colocam em juízo uma efetiva oferta e expansão de qualidade que se traduza em êxito acadêmico. A avaliação das instituições de ensino, para evitar uma precarização, é uma das principais dificuldades, em especial pela diversificação e a diferenciação dos formatos institucionais e facilitação de oferta de novos cursos diante de uma ampla mercantilização e competitividade (DOURADO; OLIVEIRA, 2009).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desse contexto,</w:t>
      </w:r>
      <w:r w:rsidRPr="00391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reforça-se,</w:t>
      </w:r>
      <w:r>
        <w:rPr>
          <w:rStyle w:val="Refdecomentrio"/>
        </w:rPr>
        <w:t xml:space="preserve"> </w:t>
      </w:r>
      <w:r w:rsidRPr="00DF5138">
        <w:rPr>
          <w:rStyle w:val="Refdecomentrio"/>
          <w:rFonts w:ascii="Times New Roman" w:hAnsi="Times New Roman" w:cs="Times New Roman"/>
          <w:sz w:val="24"/>
          <w:szCs w:val="24"/>
        </w:rPr>
        <w:t>nesse</w:t>
      </w:r>
      <w:r>
        <w:rPr>
          <w:rStyle w:val="Refdecomentrio"/>
        </w:rPr>
        <w:t xml:space="preserve"> </w:t>
      </w:r>
      <w:r w:rsidRPr="0039154F">
        <w:rPr>
          <w:rFonts w:ascii="Times New Roman" w:eastAsia="Times New Roman" w:hAnsi="Times New Roman" w:cs="Times New Roman"/>
          <w:sz w:val="24"/>
          <w:szCs w:val="24"/>
        </w:rPr>
        <w:t xml:space="preserve">estudo, a necessidade de construção de indicadores de qualidade acadêmica para estudantes da Educação Superior na modalidade a distância. A pesquisa, constituída em quatro fases, realizou nesta primeira etapa uma análise do processo de construção de indicadores, tendo como questão norteadora: </w:t>
      </w:r>
      <w:r>
        <w:rPr>
          <w:rFonts w:ascii="Times New Roman" w:eastAsia="Times New Roman" w:hAnsi="Times New Roman" w:cs="Times New Roman"/>
          <w:color w:val="auto"/>
          <w:sz w:val="24"/>
          <w:szCs w:val="24"/>
        </w:rPr>
        <w:t>c</w:t>
      </w:r>
      <w:r w:rsidRPr="0039154F">
        <w:rPr>
          <w:rFonts w:ascii="Times New Roman" w:eastAsia="Times New Roman" w:hAnsi="Times New Roman" w:cs="Times New Roman"/>
          <w:color w:val="auto"/>
          <w:sz w:val="24"/>
          <w:szCs w:val="24"/>
        </w:rPr>
        <w:t xml:space="preserve">omo garantir a qualidade expressa na meta 12 do PNE, considerando o acelerado crescimento de matrículas que se apresenta nas instituições privadas na modalidade a distância? </w:t>
      </w:r>
      <w:r w:rsidRPr="0039154F">
        <w:rPr>
          <w:rFonts w:ascii="Times New Roman" w:eastAsia="Times New Roman" w:hAnsi="Times New Roman" w:cs="Times New Roman"/>
          <w:sz w:val="24"/>
          <w:szCs w:val="24"/>
        </w:rPr>
        <w:t>Em termos metodológicos, para responder a esta questão, realizou-se pesquisa quali-quantitativa, de análise descritiva</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por meio d</w:t>
      </w:r>
      <w:r>
        <w:rPr>
          <w:rFonts w:ascii="Times New Roman" w:eastAsia="Times New Roman" w:hAnsi="Times New Roman" w:cs="Times New Roman"/>
          <w:sz w:val="24"/>
          <w:szCs w:val="24"/>
        </w:rPr>
        <w:t>e</w:t>
      </w:r>
      <w:r w:rsidRPr="0039154F">
        <w:rPr>
          <w:rFonts w:ascii="Times New Roman" w:eastAsia="Times New Roman" w:hAnsi="Times New Roman" w:cs="Times New Roman"/>
          <w:sz w:val="24"/>
          <w:szCs w:val="24"/>
        </w:rPr>
        <w:t xml:space="preserve"> elaboração e aplicação piloto de um questionário para conhecer o perfil e expectativas dos alunos que ingressam na educação superior, na modalidade estudada. O objetivo foi gerar um panorama claro e preciso para identificar as principais dimensões de análise, extraídas do questionário elaborado, que possam subsidiar a construção dos indicadores. </w:t>
      </w:r>
    </w:p>
    <w:p w:rsidR="002538D1" w:rsidRPr="0039154F" w:rsidRDefault="002538D1" w:rsidP="002538D1">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O estudo justifica-se dada a ausência de estudos e de propostas de modelos de avaliação da modalidade a distância, que se dará ao identificar as variáveis associadas ao sucesso e permanência nos cursos de Educação a Distância (EaD).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Articulado</w:t>
      </w:r>
      <w:r>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 à compreensão multidimensional da avaliação aqui defendida, são apresentados abaixo alguns indicadores considerados capazes de evidenciar diretrizes, </w:t>
      </w:r>
      <w:r w:rsidRPr="0039154F">
        <w:rPr>
          <w:rFonts w:ascii="Times New Roman" w:eastAsia="Times New Roman" w:hAnsi="Times New Roman" w:cs="Times New Roman"/>
          <w:sz w:val="24"/>
          <w:szCs w:val="24"/>
        </w:rPr>
        <w:lastRenderedPageBreak/>
        <w:t>situações e parâmetros vinculados a uma atuação qualificada e diferenciada por parte do trabalho desenvolvido pela instituição responsável pelas ofertas na modalidade a distância. Tais indicadores também estão associados à maneira como o trabalho desenvolvido pela instituição possibilita diferenciais no percurso acadêmico realizado pelos alunos dos cursos ofertados na modalidade.</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Tal percepção permite o avanço rumo à noção de qualidade social que tangencia as medições restritas às proficiências acadêmicas, considerando-as dentro de um contexto de formação ampliada por parte dos alunos. Como nos lembram Dalben e Almeida (2015)</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“qualidade é um conceito subjacente ao de avaliação, um delineamento que leva à qualidade social permitiria dar outro enfoque às avaliações externas” (p.</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18).</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Tomando como base o material disponibilizado pelo Ministério da Educação em 2015</w:t>
      </w:r>
      <w:r w:rsidRPr="0039154F">
        <w:rPr>
          <w:rStyle w:val="Refdenotaderodap"/>
          <w:rFonts w:ascii="Times New Roman" w:eastAsia="Times New Roman" w:hAnsi="Times New Roman" w:cs="Times New Roman"/>
          <w:color w:val="auto"/>
          <w:sz w:val="24"/>
          <w:szCs w:val="24"/>
        </w:rPr>
        <w:footnoteReference w:id="1"/>
      </w:r>
      <w:r w:rsidRPr="0039154F">
        <w:rPr>
          <w:rFonts w:ascii="Times New Roman" w:eastAsia="Times New Roman" w:hAnsi="Times New Roman" w:cs="Times New Roman"/>
          <w:color w:val="auto"/>
          <w:sz w:val="24"/>
          <w:szCs w:val="24"/>
        </w:rPr>
        <w:t>, chamam especial atenção os seguintes indicadores de qualidade estabelecidos:</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Gestão, envolvendo principalmente a corresponsabilização na construção e gestão do projeto político</w:t>
      </w:r>
      <w:r>
        <w:rPr>
          <w:rFonts w:ascii="Times New Roman" w:eastAsia="Times New Roman" w:hAnsi="Times New Roman" w:cs="Times New Roman"/>
          <w:color w:val="auto"/>
          <w:sz w:val="24"/>
          <w:szCs w:val="24"/>
        </w:rPr>
        <w:t>-</w:t>
      </w:r>
      <w:r w:rsidRPr="0039154F">
        <w:rPr>
          <w:rFonts w:ascii="Times New Roman" w:eastAsia="Times New Roman" w:hAnsi="Times New Roman" w:cs="Times New Roman"/>
          <w:color w:val="auto"/>
          <w:sz w:val="24"/>
          <w:szCs w:val="24"/>
        </w:rPr>
        <w:t>pedagógico e as garantias de que os critérios de natureza pedagógica sejam sempre preponderantes.</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Currículo, prevendo as possibilidades de um currículo inovador voltado à formação integral do aluno, à produção de conhecimento e cultura, à sustentabilidade por meio de estratégias pedagógicas que levem a uma nova forma de relação do ser humano com o contexto planetário.</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xml:space="preserve">- Ambiente que manifeste a intenção de educação humanizada, potencializadora da criatividade, com os recursos disponíveis para a exploração e a convivência enriquecedora das diferenças. </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Ênfase no protagonismo, permitindo ao estudante expressar sua singularidade e desenvolver projetos de seu interesse que impactem a comunidade e que contribuam para a sua futura formação profissional.</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rPr>
      </w:pPr>
      <w:r w:rsidRPr="0039154F">
        <w:rPr>
          <w:rFonts w:ascii="Times New Roman" w:eastAsia="Times New Roman" w:hAnsi="Times New Roman" w:cs="Times New Roman"/>
          <w:color w:val="auto"/>
          <w:sz w:val="24"/>
          <w:szCs w:val="24"/>
        </w:rPr>
        <w:t>- Articulação com outros agentes, possibilitando a formação de redes que envolvam os estudantes em questões relevantes à sua comunidade e que problematiz</w:t>
      </w:r>
      <w:r>
        <w:rPr>
          <w:rFonts w:ascii="Times New Roman" w:eastAsia="Times New Roman" w:hAnsi="Times New Roman" w:cs="Times New Roman"/>
          <w:color w:val="auto"/>
          <w:sz w:val="24"/>
          <w:szCs w:val="24"/>
        </w:rPr>
        <w:t>e</w:t>
      </w:r>
      <w:r w:rsidRPr="0039154F">
        <w:rPr>
          <w:rFonts w:ascii="Times New Roman" w:eastAsia="Times New Roman" w:hAnsi="Times New Roman" w:cs="Times New Roman"/>
          <w:color w:val="auto"/>
          <w:sz w:val="24"/>
          <w:szCs w:val="24"/>
        </w:rPr>
        <w:t>m seus espaços de atuação.</w:t>
      </w:r>
    </w:p>
    <w:p w:rsidR="002538D1" w:rsidRPr="0039154F" w:rsidRDefault="002538D1" w:rsidP="002538D1">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Claro está que esses indicadores foram escolhidos tendo por referência a atuação da educação no formato presencial. Na aproximação desses indicadores com os dados advindos da coleta realizada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resguardado o fato de que os retornos analisados </w:t>
      </w:r>
      <w:r w:rsidRPr="0039154F">
        <w:rPr>
          <w:rFonts w:ascii="Times New Roman" w:eastAsia="Times New Roman" w:hAnsi="Times New Roman" w:cs="Times New Roman"/>
          <w:sz w:val="24"/>
          <w:szCs w:val="24"/>
        </w:rPr>
        <w:lastRenderedPageBreak/>
        <w:t xml:space="preserve">compreendem somente manifestações de alunos ingressantes, </w:t>
      </w:r>
      <w:r>
        <w:rPr>
          <w:rFonts w:ascii="Times New Roman" w:eastAsia="Times New Roman" w:hAnsi="Times New Roman" w:cs="Times New Roman"/>
          <w:sz w:val="24"/>
          <w:szCs w:val="24"/>
        </w:rPr>
        <w:t>o que nos permite ter como referência somente os</w:t>
      </w:r>
      <w:r>
        <w:rPr>
          <w:rStyle w:val="Refdecomentrio"/>
        </w:rPr>
        <w:t xml:space="preserve"> </w:t>
      </w:r>
      <w:r>
        <w:rPr>
          <w:rStyle w:val="Refdecomentrio"/>
          <w:rFonts w:ascii="Times New Roman" w:hAnsi="Times New Roman" w:cs="Times New Roman"/>
          <w:sz w:val="24"/>
          <w:szCs w:val="24"/>
        </w:rPr>
        <w:t>s</w:t>
      </w:r>
      <w:r w:rsidRPr="00DF5138">
        <w:rPr>
          <w:rFonts w:ascii="Times New Roman" w:eastAsia="Times New Roman" w:hAnsi="Times New Roman" w:cs="Times New Roman"/>
          <w:sz w:val="24"/>
          <w:szCs w:val="24"/>
        </w:rPr>
        <w:t>eus</w:t>
      </w:r>
      <w:r w:rsidRPr="0039154F">
        <w:rPr>
          <w:rFonts w:ascii="Times New Roman" w:eastAsia="Times New Roman" w:hAnsi="Times New Roman" w:cs="Times New Roman"/>
          <w:sz w:val="24"/>
          <w:szCs w:val="24"/>
        </w:rPr>
        <w:t xml:space="preserve"> perfis </w:t>
      </w:r>
      <w:r>
        <w:rPr>
          <w:rFonts w:ascii="Times New Roman" w:eastAsia="Times New Roman" w:hAnsi="Times New Roman" w:cs="Times New Roman"/>
          <w:sz w:val="24"/>
          <w:szCs w:val="24"/>
        </w:rPr>
        <w:t xml:space="preserve">de ingresso, </w:t>
      </w:r>
      <w:r w:rsidRPr="0039154F">
        <w:rPr>
          <w:rFonts w:ascii="Times New Roman" w:eastAsia="Times New Roman" w:hAnsi="Times New Roman" w:cs="Times New Roman"/>
          <w:sz w:val="24"/>
          <w:szCs w:val="24"/>
        </w:rPr>
        <w:t xml:space="preserve">pretende-se evidenciar de que forma esses elementos podem ser abarcados pela </w:t>
      </w:r>
      <w:r>
        <w:rPr>
          <w:rFonts w:ascii="Times New Roman" w:eastAsia="Times New Roman" w:hAnsi="Times New Roman" w:cs="Times New Roman"/>
          <w:sz w:val="24"/>
          <w:szCs w:val="24"/>
        </w:rPr>
        <w:t>educação superior a distância</w:t>
      </w:r>
      <w:r>
        <w:rPr>
          <w:rStyle w:val="Refdecomentrio"/>
        </w:rPr>
        <w:t xml:space="preserve"> </w:t>
      </w:r>
      <w:r w:rsidRPr="00DF5138">
        <w:rPr>
          <w:rStyle w:val="Refdecomentrio"/>
          <w:rFonts w:ascii="Times New Roman" w:hAnsi="Times New Roman" w:cs="Times New Roman"/>
          <w:sz w:val="24"/>
          <w:szCs w:val="24"/>
        </w:rPr>
        <w:t>e</w:t>
      </w:r>
      <w:r w:rsidRPr="0039154F">
        <w:rPr>
          <w:rFonts w:ascii="Times New Roman" w:eastAsia="Times New Roman" w:hAnsi="Times New Roman" w:cs="Times New Roman"/>
          <w:sz w:val="24"/>
          <w:szCs w:val="24"/>
        </w:rPr>
        <w:t xml:space="preserve"> como se evidenciam os desafios para o avanço do trabalho realizado. </w:t>
      </w:r>
    </w:p>
    <w:p w:rsidR="002538D1" w:rsidRPr="0039154F" w:rsidRDefault="002538D1" w:rsidP="002538D1">
      <w:pPr>
        <w:spacing w:after="0" w:line="360" w:lineRule="auto"/>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INDICADORES DE QUALIDADE ACADÊMICA NA EDUCAÇÃO SUPERIOR A DISTÂNCIA</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 discussão da qualidade na educação se constitui nos anos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80 na Europa e nos Estados Unidos como consequência das teorias econômicas sobre educação das décadas de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60 e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70, em particular a teoria do capital humano de </w:t>
      </w:r>
      <w:r w:rsidRPr="0039154F">
        <w:rPr>
          <w:rFonts w:ascii="Times New Roman" w:eastAsia="Times New Roman" w:hAnsi="Times New Roman" w:cs="Times New Roman"/>
          <w:color w:val="auto"/>
          <w:highlight w:val="white"/>
        </w:rPr>
        <w:t>Theodore Schultz (1971)</w:t>
      </w:r>
      <w:r w:rsidRPr="0039154F">
        <w:rPr>
          <w:rFonts w:ascii="Times New Roman" w:eastAsia="Times New Roman" w:hAnsi="Times New Roman" w:cs="Times New Roman"/>
          <w:color w:val="auto"/>
          <w:sz w:val="24"/>
          <w:szCs w:val="24"/>
          <w:highlight w:val="white"/>
        </w:rPr>
        <w:t>. Tentava-se nessa época explicar os altos índices de crescimento econômico de alguns países do pós-guerra como produto não somente do aumento do capital e trabalho, mas como investimento nos indivíduos gerador</w:t>
      </w:r>
      <w:r>
        <w:rPr>
          <w:rFonts w:ascii="Times New Roman" w:eastAsia="Times New Roman" w:hAnsi="Times New Roman" w:cs="Times New Roman"/>
          <w:color w:val="auto"/>
          <w:sz w:val="24"/>
          <w:szCs w:val="24"/>
          <w:highlight w:val="white"/>
        </w:rPr>
        <w:t>es</w:t>
      </w:r>
      <w:r w:rsidRPr="0039154F">
        <w:rPr>
          <w:rFonts w:ascii="Times New Roman" w:eastAsia="Times New Roman" w:hAnsi="Times New Roman" w:cs="Times New Roman"/>
          <w:color w:val="auto"/>
          <w:sz w:val="24"/>
          <w:szCs w:val="24"/>
          <w:highlight w:val="white"/>
        </w:rPr>
        <w:t xml:space="preserve"> do sucesso econômico. Os teóricos dessa corrente destacavam a educação como fator explicativo das diferenças individuais de renda e de mobilidade soc</w:t>
      </w:r>
      <w:r>
        <w:rPr>
          <w:rFonts w:ascii="Times New Roman" w:eastAsia="Times New Roman" w:hAnsi="Times New Roman" w:cs="Times New Roman"/>
          <w:color w:val="auto"/>
          <w:sz w:val="24"/>
          <w:szCs w:val="24"/>
          <w:highlight w:val="white"/>
        </w:rPr>
        <w:t>ial e, como expressa Frigotto, “o investimento no fator humano</w:t>
      </w:r>
      <w:r>
        <w:rPr>
          <w:rFonts w:ascii="Times New Roman" w:eastAsia="Times New Roman" w:hAnsi="Times New Roman" w:cs="Times New Roman"/>
          <w:color w:val="auto"/>
          <w:sz w:val="24"/>
          <w:szCs w:val="24"/>
        </w:rPr>
        <w:t xml:space="preserve"> </w:t>
      </w:r>
      <w:r w:rsidRPr="00DF5138">
        <w:rPr>
          <w:rStyle w:val="Refdecomentrio"/>
          <w:rFonts w:ascii="Times New Roman" w:hAnsi="Times New Roman" w:cs="Times New Roman"/>
          <w:sz w:val="24"/>
          <w:szCs w:val="24"/>
        </w:rPr>
        <w:t>p</w:t>
      </w:r>
      <w:r w:rsidRPr="00DF5138">
        <w:rPr>
          <w:rFonts w:ascii="Times New Roman" w:eastAsia="Times New Roman" w:hAnsi="Times New Roman" w:cs="Times New Roman"/>
          <w:color w:val="auto"/>
          <w:sz w:val="24"/>
          <w:szCs w:val="24"/>
          <w:highlight w:val="white"/>
        </w:rPr>
        <w:t xml:space="preserve">assa </w:t>
      </w:r>
      <w:r w:rsidRPr="0039154F">
        <w:rPr>
          <w:rFonts w:ascii="Times New Roman" w:eastAsia="Times New Roman" w:hAnsi="Times New Roman" w:cs="Times New Roman"/>
          <w:color w:val="auto"/>
          <w:sz w:val="24"/>
          <w:szCs w:val="24"/>
          <w:highlight w:val="white"/>
        </w:rPr>
        <w:t>a significar um dos determinantes básicos para o aumento da produtividade e elemento de supera</w:t>
      </w:r>
      <w:r>
        <w:rPr>
          <w:rFonts w:ascii="Times New Roman" w:eastAsia="Times New Roman" w:hAnsi="Times New Roman" w:cs="Times New Roman"/>
          <w:color w:val="auto"/>
          <w:sz w:val="24"/>
          <w:szCs w:val="24"/>
          <w:highlight w:val="white"/>
        </w:rPr>
        <w:t>ção do atraso econômico”</w:t>
      </w:r>
      <w:r w:rsidRPr="0039154F">
        <w:rPr>
          <w:rFonts w:ascii="Times New Roman" w:eastAsia="Times New Roman" w:hAnsi="Times New Roman" w:cs="Times New Roman"/>
          <w:color w:val="auto"/>
          <w:sz w:val="24"/>
          <w:szCs w:val="24"/>
          <w:highlight w:val="white"/>
        </w:rPr>
        <w:t xml:space="preserve"> (1993,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41). Nos anos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 xml:space="preserve">80 e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90</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essa tese é reeditada p</w:t>
      </w:r>
      <w:r>
        <w:rPr>
          <w:rFonts w:ascii="Times New Roman" w:eastAsia="Times New Roman" w:hAnsi="Times New Roman" w:cs="Times New Roman"/>
          <w:color w:val="auto"/>
          <w:sz w:val="24"/>
          <w:szCs w:val="24"/>
          <w:highlight w:val="white"/>
        </w:rPr>
        <w:t>or</w:t>
      </w:r>
      <w:r w:rsidRPr="0039154F">
        <w:rPr>
          <w:rFonts w:ascii="Times New Roman" w:eastAsia="Times New Roman" w:hAnsi="Times New Roman" w:cs="Times New Roman"/>
          <w:color w:val="auto"/>
          <w:sz w:val="24"/>
          <w:szCs w:val="24"/>
          <w:highlight w:val="white"/>
        </w:rPr>
        <w:t xml:space="preserve"> agências internacionais como o Banco Mundial e a Organização das Nações Unidas para a Educação, a Ciência e a Cultura (Unesco) como estratégia para os países pobres superarem as alarmantes taxas de pobreza a partir de investimentos em educação (UNESCO, 2005). </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No contexto da educação superior, o estudo de Bertolin (2009) destaca que o cenário nos primeiros anos do século XXI é hostil para os resultados esperados em termos de produtividade do trabalho como resposta às demandas do capitalismo. As universidades de todo o mundo passaram a defrontar-se com “limitação de financiamento, competição entre instituições, massificação dos sistemas, desmotivação dos docentes, autonomia institucional”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128), o que tornou a educação superior um ambiente propício para aplicar programas de qualidade seguindo os moldes desenvolvidos nos setores industriais. Nesse escopo, qualidade está vinculada a aspectos como eficiência, produtividade, redução de custos, criação de planos estratégicos, concepções de qualidade total, modelos de auditoria e certificações. Por outro lado, após a Declaração Mundial sobre Educação para Todos (1990) e o Marco de Ação de Dacar (2000), duas declarações </w:t>
      </w:r>
      <w:r w:rsidRPr="0039154F">
        <w:rPr>
          <w:rFonts w:ascii="Times New Roman" w:eastAsia="Times New Roman" w:hAnsi="Times New Roman" w:cs="Times New Roman"/>
          <w:color w:val="auto"/>
          <w:sz w:val="24"/>
          <w:szCs w:val="24"/>
          <w:highlight w:val="white"/>
        </w:rPr>
        <w:lastRenderedPageBreak/>
        <w:t xml:space="preserve">de conferências das Nações Unidas voltadas para a educação, </w:t>
      </w:r>
      <w:r>
        <w:rPr>
          <w:rFonts w:ascii="Times New Roman" w:eastAsia="Times New Roman" w:hAnsi="Times New Roman" w:cs="Times New Roman"/>
          <w:color w:val="auto"/>
          <w:sz w:val="24"/>
          <w:szCs w:val="24"/>
          <w:highlight w:val="white"/>
        </w:rPr>
        <w:t xml:space="preserve">a busca por </w:t>
      </w:r>
      <w:r w:rsidRPr="0039154F">
        <w:rPr>
          <w:rFonts w:ascii="Times New Roman" w:eastAsia="Times New Roman" w:hAnsi="Times New Roman" w:cs="Times New Roman"/>
          <w:color w:val="auto"/>
          <w:sz w:val="24"/>
          <w:szCs w:val="24"/>
          <w:highlight w:val="white"/>
        </w:rPr>
        <w:t>qualidade torna-se “condição essencial para que venhamos a alcançar Educação para Todos” (UNESCO, 2005,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6). Nesse documento consolida-se o receituário da qualidade da educação como meio de desenvolvimento econômico e social. O objetivo 6 de Educação para Todos que trata da qualidade a define a partir de dois indicadores: o êxito do desenvolvimento cognitivo dos alunos alcançado por um sistema com relação a esse objetivo, e o segundo indicador comparativo sendo o papel da educação “na promoção de valores e atitudes de cidadania responsável e no cultivo do desenvolvimento criativo e emocional” (Idem,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2).</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Assim, a partir da década de </w:t>
      </w:r>
      <w:r>
        <w:rPr>
          <w:rFonts w:ascii="Times New Roman" w:eastAsia="Times New Roman" w:hAnsi="Times New Roman" w:cs="Times New Roman"/>
          <w:color w:val="auto"/>
          <w:sz w:val="24"/>
          <w:szCs w:val="24"/>
          <w:highlight w:val="white"/>
        </w:rPr>
        <w:t>19</w:t>
      </w:r>
      <w:r w:rsidRPr="0039154F">
        <w:rPr>
          <w:rFonts w:ascii="Times New Roman" w:eastAsia="Times New Roman" w:hAnsi="Times New Roman" w:cs="Times New Roman"/>
          <w:color w:val="auto"/>
          <w:sz w:val="24"/>
          <w:szCs w:val="24"/>
          <w:highlight w:val="white"/>
        </w:rPr>
        <w:t>90 vários pesquisadores procuraram classificar qualidade. O trabalho de Julio Bertolin</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 </w:t>
      </w:r>
      <w:r>
        <w:rPr>
          <w:rFonts w:ascii="Times New Roman" w:eastAsia="Times New Roman" w:hAnsi="Times New Roman" w:cs="Times New Roman"/>
          <w:color w:val="auto"/>
          <w:sz w:val="24"/>
          <w:szCs w:val="24"/>
          <w:highlight w:val="white"/>
        </w:rPr>
        <w:t xml:space="preserve">(2009) traz </w:t>
      </w:r>
      <w:r w:rsidRPr="0039154F">
        <w:rPr>
          <w:rFonts w:ascii="Times New Roman" w:eastAsia="Times New Roman" w:hAnsi="Times New Roman" w:cs="Times New Roman"/>
          <w:color w:val="auto"/>
          <w:sz w:val="24"/>
          <w:szCs w:val="24"/>
          <w:highlight w:val="white"/>
        </w:rPr>
        <w:t>também um</w:t>
      </w:r>
      <w:r>
        <w:rPr>
          <w:rFonts w:ascii="Times New Roman" w:eastAsia="Times New Roman" w:hAnsi="Times New Roman" w:cs="Times New Roman"/>
          <w:color w:val="auto"/>
          <w:sz w:val="24"/>
          <w:szCs w:val="24"/>
          <w:highlight w:val="white"/>
        </w:rPr>
        <w:t>a</w:t>
      </w:r>
      <w:r w:rsidRPr="0039154F">
        <w:rPr>
          <w:rFonts w:ascii="Times New Roman" w:eastAsia="Times New Roman" w:hAnsi="Times New Roman" w:cs="Times New Roman"/>
          <w:color w:val="auto"/>
          <w:sz w:val="24"/>
          <w:szCs w:val="24"/>
          <w:highlight w:val="white"/>
        </w:rPr>
        <w:t xml:space="preserve"> revisão atualizada dessas abordagens, passando de uma perspectiva objetivista, relativista, desenvolvimentista </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na qual os membros da organização realizam uma autoavaliação, com foco na melhoria da qualidade da instituição </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até a definição de indicadores que variam de excelência (superação de </w:t>
      </w:r>
      <w:r w:rsidRPr="0039154F">
        <w:rPr>
          <w:rFonts w:ascii="Times New Roman" w:eastAsia="Times New Roman" w:hAnsi="Times New Roman" w:cs="Times New Roman"/>
          <w:i/>
          <w:color w:val="auto"/>
          <w:sz w:val="24"/>
          <w:szCs w:val="24"/>
          <w:highlight w:val="white"/>
        </w:rPr>
        <w:t>standards</w:t>
      </w:r>
      <w:r w:rsidRPr="0039154F">
        <w:rPr>
          <w:rFonts w:ascii="Times New Roman" w:eastAsia="Times New Roman" w:hAnsi="Times New Roman" w:cs="Times New Roman"/>
          <w:color w:val="auto"/>
          <w:sz w:val="24"/>
          <w:szCs w:val="24"/>
          <w:highlight w:val="white"/>
        </w:rPr>
        <w:t>), satisfação de um conjunto de requisitos, como perfeição ou coerência,  ajuste a um propósito, relação custo-benefício,  efetivação do êxito das metas institucionais, satisfação dos clientes, transformação dos alunos mediante mudança na “capacidade de incrementar no aluno a lucidez, a autoconfiança e o pensamento crítico”(2009,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131). </w:t>
      </w:r>
      <w:r>
        <w:rPr>
          <w:rFonts w:ascii="Times New Roman" w:eastAsia="Times New Roman" w:hAnsi="Times New Roman" w:cs="Times New Roman"/>
          <w:color w:val="auto"/>
          <w:sz w:val="24"/>
          <w:szCs w:val="24"/>
          <w:highlight w:val="white"/>
        </w:rPr>
        <w:t>Contudo,</w:t>
      </w:r>
      <w:r w:rsidRPr="0039154F">
        <w:rPr>
          <w:rFonts w:ascii="Times New Roman" w:eastAsia="Times New Roman" w:hAnsi="Times New Roman" w:cs="Times New Roman"/>
          <w:color w:val="auto"/>
          <w:sz w:val="24"/>
          <w:szCs w:val="24"/>
          <w:highlight w:val="white"/>
        </w:rPr>
        <w:t xml:space="preserve"> segundo o autor, no panorama internacional os termos sobre qualidade mais utilizados são: </w:t>
      </w:r>
      <w:r>
        <w:rPr>
          <w:rFonts w:ascii="Times New Roman" w:eastAsia="Times New Roman" w:hAnsi="Times New Roman" w:cs="Times New Roman"/>
          <w:color w:val="auto"/>
          <w:sz w:val="24"/>
          <w:szCs w:val="24"/>
          <w:highlight w:val="white"/>
        </w:rPr>
        <w:t>visão economicista (associada à empregabilidade e eficiência), visão pluralista (d</w:t>
      </w:r>
      <w:r w:rsidRPr="0039154F">
        <w:rPr>
          <w:rFonts w:ascii="Times New Roman" w:eastAsia="Times New Roman" w:hAnsi="Times New Roman" w:cs="Times New Roman"/>
          <w:color w:val="auto"/>
          <w:sz w:val="24"/>
          <w:szCs w:val="24"/>
          <w:highlight w:val="white"/>
        </w:rPr>
        <w:t>iferenciação</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econômic</w:t>
      </w:r>
      <w:r>
        <w:rPr>
          <w:rFonts w:ascii="Times New Roman" w:eastAsia="Times New Roman" w:hAnsi="Times New Roman" w:cs="Times New Roman"/>
          <w:color w:val="auto"/>
          <w:sz w:val="24"/>
          <w:szCs w:val="24"/>
          <w:highlight w:val="white"/>
        </w:rPr>
        <w:t>a, social, cultural, política, pertinência e r</w:t>
      </w:r>
      <w:r w:rsidRPr="0039154F">
        <w:rPr>
          <w:rFonts w:ascii="Times New Roman" w:eastAsia="Times New Roman" w:hAnsi="Times New Roman" w:cs="Times New Roman"/>
          <w:color w:val="auto"/>
          <w:sz w:val="24"/>
          <w:szCs w:val="24"/>
          <w:highlight w:val="white"/>
        </w:rPr>
        <w:t>elevânci</w:t>
      </w:r>
      <w:r>
        <w:rPr>
          <w:rFonts w:ascii="Times New Roman" w:eastAsia="Times New Roman" w:hAnsi="Times New Roman" w:cs="Times New Roman"/>
          <w:color w:val="auto"/>
          <w:sz w:val="24"/>
          <w:szCs w:val="24"/>
          <w:highlight w:val="white"/>
        </w:rPr>
        <w:t>a)</w:t>
      </w:r>
      <w:r w:rsidRPr="0039154F">
        <w:rPr>
          <w:rFonts w:ascii="Times New Roman" w:eastAsia="Times New Roman" w:hAnsi="Times New Roman" w:cs="Times New Roman"/>
          <w:color w:val="auto"/>
          <w:sz w:val="24"/>
          <w:szCs w:val="24"/>
          <w:highlight w:val="white"/>
        </w:rPr>
        <w:t xml:space="preserve"> e visão de equidade </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contribuição para coesão social. </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Por isso</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rPr>
        <w:t>sinalizar se uma instituição educacional tem qualidade coloca cada pesquisador diante de uma gama de conceitos, representações ou concepções de qualidade que devem embasar as práticas, as políticas educativas, as dimensões e os fatores que apontam para essa construção almejada.</w:t>
      </w:r>
      <w:r w:rsidRPr="0039154F">
        <w:rPr>
          <w:rFonts w:ascii="Times New Roman" w:eastAsia="Times New Roman" w:hAnsi="Times New Roman" w:cs="Times New Roman"/>
          <w:color w:val="auto"/>
          <w:sz w:val="24"/>
          <w:szCs w:val="24"/>
          <w:highlight w:val="white"/>
        </w:rPr>
        <w:t xml:space="preserve"> Observa-se por exemplo, que na delimitação do perfil dos egressos nos projetos pedagógicos institucionais e cursos de Graduação e Superior Tecnológico, é frequente encontrar a preocupação em formar cidadãos críticos, éticos, capazes de contribuir para o desenvolvimento humano, para o bem-estar da sociedade e aptos a exercer</w:t>
      </w:r>
      <w:r>
        <w:rPr>
          <w:rFonts w:ascii="Times New Roman" w:eastAsia="Times New Roman" w:hAnsi="Times New Roman" w:cs="Times New Roman"/>
          <w:color w:val="auto"/>
          <w:sz w:val="24"/>
          <w:szCs w:val="24"/>
          <w:highlight w:val="white"/>
        </w:rPr>
        <w:t>em</w:t>
      </w:r>
      <w:r w:rsidRPr="0039154F">
        <w:rPr>
          <w:rFonts w:ascii="Times New Roman" w:eastAsia="Times New Roman" w:hAnsi="Times New Roman" w:cs="Times New Roman"/>
          <w:color w:val="auto"/>
          <w:sz w:val="24"/>
          <w:szCs w:val="24"/>
          <w:highlight w:val="white"/>
        </w:rPr>
        <w:t xml:space="preserve"> profissões atuais e futuras. De certa forma</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vinculam</w:t>
      </w:r>
      <w:r>
        <w:rPr>
          <w:rFonts w:ascii="Times New Roman" w:eastAsia="Times New Roman" w:hAnsi="Times New Roman" w:cs="Times New Roman"/>
          <w:color w:val="auto"/>
          <w:sz w:val="24"/>
          <w:szCs w:val="24"/>
          <w:highlight w:val="white"/>
        </w:rPr>
        <w:t>-se</w:t>
      </w:r>
      <w:r w:rsidRPr="0039154F">
        <w:rPr>
          <w:rFonts w:ascii="Times New Roman" w:eastAsia="Times New Roman" w:hAnsi="Times New Roman" w:cs="Times New Roman"/>
          <w:color w:val="auto"/>
          <w:sz w:val="24"/>
          <w:szCs w:val="24"/>
          <w:highlight w:val="white"/>
        </w:rPr>
        <w:t xml:space="preserve"> entre uma visão economicista e de equidade. Des</w:t>
      </w:r>
      <w:r>
        <w:rPr>
          <w:rFonts w:ascii="Times New Roman" w:eastAsia="Times New Roman" w:hAnsi="Times New Roman" w:cs="Times New Roman"/>
          <w:color w:val="auto"/>
          <w:sz w:val="24"/>
          <w:szCs w:val="24"/>
          <w:highlight w:val="white"/>
        </w:rPr>
        <w:t>s</w:t>
      </w:r>
      <w:r w:rsidRPr="0039154F">
        <w:rPr>
          <w:rFonts w:ascii="Times New Roman" w:eastAsia="Times New Roman" w:hAnsi="Times New Roman" w:cs="Times New Roman"/>
          <w:color w:val="auto"/>
          <w:sz w:val="24"/>
          <w:szCs w:val="24"/>
          <w:highlight w:val="white"/>
        </w:rPr>
        <w:t>e modo</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compreende</w:t>
      </w:r>
      <w:r>
        <w:rPr>
          <w:rFonts w:ascii="Times New Roman" w:eastAsia="Times New Roman" w:hAnsi="Times New Roman" w:cs="Times New Roman"/>
          <w:color w:val="auto"/>
          <w:sz w:val="24"/>
          <w:szCs w:val="24"/>
          <w:highlight w:val="white"/>
        </w:rPr>
        <w:t>-se</w:t>
      </w:r>
      <w:r w:rsidRPr="0039154F">
        <w:rPr>
          <w:rFonts w:ascii="Times New Roman" w:eastAsia="Times New Roman" w:hAnsi="Times New Roman" w:cs="Times New Roman"/>
          <w:color w:val="auto"/>
          <w:sz w:val="24"/>
          <w:szCs w:val="24"/>
          <w:highlight w:val="white"/>
        </w:rPr>
        <w:t xml:space="preserve"> a percepção de que, como destacam Lousada e Martins (2005, p.75), “as universidades são depositárias </w:t>
      </w:r>
      <w:r w:rsidRPr="0039154F">
        <w:rPr>
          <w:rFonts w:ascii="Times New Roman" w:eastAsia="Times New Roman" w:hAnsi="Times New Roman" w:cs="Times New Roman"/>
          <w:color w:val="auto"/>
          <w:sz w:val="24"/>
          <w:szCs w:val="24"/>
          <w:highlight w:val="white"/>
        </w:rPr>
        <w:lastRenderedPageBreak/>
        <w:t xml:space="preserve">das esperanças sociais de grande parte da população, que espera e cobra resultados, benefícios sociais e culturais efetivos das IES”. </w:t>
      </w:r>
      <w:r>
        <w:rPr>
          <w:rFonts w:ascii="Times New Roman" w:eastAsia="Times New Roman" w:hAnsi="Times New Roman" w:cs="Times New Roman"/>
          <w:color w:val="auto"/>
          <w:sz w:val="24"/>
          <w:szCs w:val="24"/>
          <w:highlight w:val="white"/>
        </w:rPr>
        <w:t>Nessa perspectiva, a</w:t>
      </w:r>
      <w:r w:rsidRPr="0039154F">
        <w:rPr>
          <w:rFonts w:ascii="Times New Roman" w:eastAsia="Times New Roman" w:hAnsi="Times New Roman" w:cs="Times New Roman"/>
          <w:color w:val="auto"/>
          <w:sz w:val="24"/>
          <w:szCs w:val="24"/>
          <w:highlight w:val="white"/>
        </w:rPr>
        <w:t>s instituições passam a delimitar planejamentos, operações e mecanismos de acompanhamento dos ingressantes, concluintes e egressos</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A construção de indicadores para sinalizar ações de ajustes e mudanças torna-se imperativo </w:t>
      </w:r>
      <w:r>
        <w:rPr>
          <w:rFonts w:ascii="Times New Roman" w:eastAsia="Times New Roman" w:hAnsi="Times New Roman" w:cs="Times New Roman"/>
          <w:sz w:val="24"/>
          <w:szCs w:val="24"/>
          <w:highlight w:val="white"/>
        </w:rPr>
        <w:t xml:space="preserve">em um </w:t>
      </w:r>
      <w:r w:rsidRPr="0039154F">
        <w:rPr>
          <w:rFonts w:ascii="Times New Roman" w:eastAsia="Times New Roman" w:hAnsi="Times New Roman" w:cs="Times New Roman"/>
          <w:sz w:val="24"/>
          <w:szCs w:val="24"/>
          <w:highlight w:val="white"/>
        </w:rPr>
        <w:t>cenário em processo de crescimento acelerado. Neste trabalho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a definição, o tratamento e a utilização do conceito de qualidade no campo educacional, em particular no ensino superior no contexto da educação a distância, se constitui a partir de uma concepção polissêmica e contextualizada do termo por sua vinculação às demandas e exigências sociais de um dado processo histórico (SOUZA, 2017). Essa assertiva reforça o entendimento presente em Dourado e Oliveira (2007), segundo o qual qualidade da educação envolve múltiplos aspectos como “os diferentes atores, a dinâmica pedagógica, ou seja, os processos de ensino-aprendizagem, os currículos, as expectativas de aprendizagem” (p.</w:t>
      </w:r>
      <w:r>
        <w:rPr>
          <w:rFonts w:ascii="Times New Roman" w:eastAsia="Times New Roman" w:hAnsi="Times New Roman" w:cs="Times New Roman"/>
          <w:sz w:val="24"/>
          <w:szCs w:val="24"/>
          <w:highlight w:val="white"/>
        </w:rPr>
        <w:t xml:space="preserve"> </w:t>
      </w:r>
      <w:r w:rsidRPr="0039154F">
        <w:rPr>
          <w:rFonts w:ascii="Times New Roman" w:eastAsia="Times New Roman" w:hAnsi="Times New Roman" w:cs="Times New Roman"/>
          <w:sz w:val="24"/>
          <w:szCs w:val="24"/>
          <w:highlight w:val="white"/>
        </w:rPr>
        <w:t xml:space="preserve">205). Esses e outros diversos fatores que interferem direta ou indiretamente nos resultados educativos não esgotam as possibilidades de uso do conceito para servir como parâmetro de avaliação do desempenho acadêmico de cursos e instituições. Tais fatores poderiam ser tomados como independentes, na integralidade, parcialmente ou em variadas combinações. Também </w:t>
      </w:r>
      <w:r>
        <w:rPr>
          <w:rFonts w:ascii="Times New Roman" w:eastAsia="Times New Roman" w:hAnsi="Times New Roman" w:cs="Times New Roman"/>
          <w:sz w:val="24"/>
          <w:szCs w:val="24"/>
          <w:highlight w:val="white"/>
        </w:rPr>
        <w:t xml:space="preserve">é </w:t>
      </w:r>
      <w:r w:rsidRPr="0039154F">
        <w:rPr>
          <w:rFonts w:ascii="Times New Roman" w:eastAsia="Times New Roman" w:hAnsi="Times New Roman" w:cs="Times New Roman"/>
          <w:sz w:val="24"/>
          <w:szCs w:val="24"/>
          <w:highlight w:val="white"/>
        </w:rPr>
        <w:t>importante estabelecer que dimensões e valores, conforme Darl</w:t>
      </w:r>
      <w:r>
        <w:rPr>
          <w:rFonts w:ascii="Times New Roman" w:eastAsia="Times New Roman" w:hAnsi="Times New Roman" w:cs="Times New Roman"/>
          <w:sz w:val="24"/>
          <w:szCs w:val="24"/>
          <w:highlight w:val="white"/>
        </w:rPr>
        <w:t>ing-Hammond e Ascher (1991), conforme citado por</w:t>
      </w:r>
      <w:r w:rsidRPr="0039154F">
        <w:rPr>
          <w:rFonts w:ascii="Times New Roman" w:eastAsia="Times New Roman" w:hAnsi="Times New Roman" w:cs="Times New Roman"/>
          <w:sz w:val="24"/>
          <w:szCs w:val="24"/>
          <w:highlight w:val="white"/>
        </w:rPr>
        <w:t xml:space="preserve"> Dourado e Oliveira (2007), </w:t>
      </w:r>
      <w:r>
        <w:rPr>
          <w:rFonts w:ascii="Times New Roman" w:eastAsia="Times New Roman" w:hAnsi="Times New Roman" w:cs="Times New Roman"/>
          <w:sz w:val="24"/>
          <w:szCs w:val="24"/>
          <w:highlight w:val="white"/>
        </w:rPr>
        <w:t>d</w:t>
      </w:r>
      <w:r w:rsidRPr="0039154F">
        <w:rPr>
          <w:rFonts w:ascii="Times New Roman" w:eastAsia="Times New Roman" w:hAnsi="Times New Roman" w:cs="Times New Roman"/>
          <w:sz w:val="24"/>
          <w:szCs w:val="24"/>
          <w:highlight w:val="white"/>
        </w:rPr>
        <w:t xml:space="preserve">evem expressar relações de validade (entre objetivos e resultados), credibilidade (elementos confiáveis no campo educacional), incorruptibilidade (fatores com menor margem de distorção) e comparabilidade (fatores que permitam avaliar a instituição ao longo do tempo).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t xml:space="preserve"> Estudos recentes definem dimensões, analisadores, marcadores e indicadores de qualidade considerando aspectos como internacionalização, docência universitária, ambiência institucional, aprendizagem e formação docente, inclusão e diversidade, protagonismo discente, territorialidade, práticas pedagógicas, avaliação e muitas outras que expressam problemas concretos institucionais e seus marcos regulatórios. Como expressam os autores que abordaram o tema em profundidade</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“a </w:t>
      </w:r>
      <w:r w:rsidRPr="0039154F">
        <w:rPr>
          <w:rFonts w:ascii="Times New Roman" w:eastAsia="Times New Roman" w:hAnsi="Times New Roman" w:cs="Times New Roman"/>
          <w:sz w:val="24"/>
          <w:szCs w:val="24"/>
        </w:rPr>
        <w:t>questão da qualidade foi revisada à exaustão. As publicações da pesquisa, parte delas on-line, reconhecem que os conceitos envolvidos neste debate são multidimensionais e complexos e, portanto, exigem investimentos e constante reflexão” (MOROSINI, 2016, p.</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31).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lastRenderedPageBreak/>
        <w:t xml:space="preserve">Por sua vez, seguindo a linha </w:t>
      </w:r>
      <w:r>
        <w:rPr>
          <w:rFonts w:ascii="Times New Roman" w:eastAsia="Times New Roman" w:hAnsi="Times New Roman" w:cs="Times New Roman"/>
          <w:sz w:val="24"/>
          <w:szCs w:val="24"/>
          <w:highlight w:val="white"/>
        </w:rPr>
        <w:t xml:space="preserve">do </w:t>
      </w:r>
      <w:r w:rsidRPr="0039154F">
        <w:rPr>
          <w:rFonts w:ascii="Times New Roman" w:eastAsia="Times New Roman" w:hAnsi="Times New Roman" w:cs="Times New Roman"/>
          <w:sz w:val="24"/>
          <w:szCs w:val="24"/>
          <w:highlight w:val="white"/>
        </w:rPr>
        <w:t xml:space="preserve">perfil dos egressos e seu êxito acadêmico, os recentes estudos tratam o tema práticas institucionais extracurriculares e aptidões físicas (SILVA; EHRENBERG, 2017; CASTRO; OLIVEIRA, 2016), trajetórias escolares de estudantes das classes populares, o efeito dos cursos pré-universitários populares e o impacto de ser estudante trabalhador (DIAS, 2017; NIQUINI et al., 2015), efeitos das políticas como o Sisu e a evasão dos alunos e políticas de inclusão (NOGUEIRA et al., 2017; QUEIROZ et al., 2016; MARTINS; LACERDA, 2015), até as expectativas acadêmicas dos estudantes, projetos e aspirações de continuidade dos estudos de alunos e vivências acadêmicas (COSTA et al., 2012; BRAGA; XAVIER, 2016; SOARES et al, 2014). Esses fatores também foram observados na construção de categorias e indicadores deste estudo. </w:t>
      </w:r>
    </w:p>
    <w:p w:rsidR="002538D1" w:rsidRPr="0039154F" w:rsidRDefault="002538D1" w:rsidP="002538D1">
      <w:pPr>
        <w:spacing w:after="0" w:line="360" w:lineRule="auto"/>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EXPANSÃO DO ENSINO SUPERIOR NA MODALIDADE EAD</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Ao tratar da investigação de indicadores de qualidade na educação a distância, faz mister compreender o processo de expansão deste segmento, considerando as escritas legais e dados censitários. </w:t>
      </w:r>
    </w:p>
    <w:p w:rsidR="002538D1"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Em 25 de junho de 2014 foi sancionado o projeto de Lei nº 8.035, de 2010, transformado na Lei nº 13.005 que aprovou o Plano Nacional de Educação (PNE-2) para o próximo decênio. As diretrizes do PNE elencadas no artigo 2º entre outros parágrafos determina de forma indiscutível a universalização (parágrafo II), a “IV - melhoria da qualidade da educação” e o “VIII - estabelecimento de meta de aplicação de recursos públicos em educação como proporção do Produto Interno Bruto – PIB, que assegure atendimento às necessidades de expansão, com padrão de qualidade e equidade”. Por sua vez</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o artigo 5º dispõe que a “execução do PNE e o cumprimento de suas metas serão objeto de monitoramento contínuo e de avaliações periódicas” e prevê que, a cada dois anos, o Instituto Nacional de Estudos e Pesquisas Educacionais Anísio Teixeira (Inep) deverá construir instrumentos de monitoramento e avaliação e “publicará estudos para aferir a evolução no cumprimento das metas” do PNE-2 (BRASIL, 2014).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PNE estabelece 20 metas e 254 estratégias. Cinco metas são dedicadas à educação superior: 12,13,14,16 e 20. Este estudo concentrou atenção nesses aspectos e, especialmente, na meta 12: “</w:t>
      </w:r>
      <w:r>
        <w:rPr>
          <w:rFonts w:ascii="Times New Roman" w:eastAsia="Times New Roman" w:hAnsi="Times New Roman" w:cs="Times New Roman"/>
          <w:sz w:val="24"/>
          <w:szCs w:val="24"/>
          <w:highlight w:val="white"/>
        </w:rPr>
        <w:t>E</w:t>
      </w:r>
      <w:r w:rsidRPr="0039154F">
        <w:rPr>
          <w:rFonts w:ascii="Times New Roman" w:eastAsia="Times New Roman" w:hAnsi="Times New Roman" w:cs="Times New Roman"/>
          <w:sz w:val="24"/>
          <w:szCs w:val="24"/>
          <w:highlight w:val="white"/>
        </w:rPr>
        <w:t xml:space="preserve">levar a taxa bruta de matrícula na educação superior para 50% e a taxa líquida para 33% da população de 18 a 24 anos, assegurada a qualidade da </w:t>
      </w:r>
      <w:r w:rsidRPr="0039154F">
        <w:rPr>
          <w:rFonts w:ascii="Times New Roman" w:eastAsia="Times New Roman" w:hAnsi="Times New Roman" w:cs="Times New Roman"/>
          <w:sz w:val="24"/>
          <w:szCs w:val="24"/>
          <w:highlight w:val="white"/>
        </w:rPr>
        <w:lastRenderedPageBreak/>
        <w:t>oferta e expansão para, pelo menos, 40% das novas matrículas, no segmento público” (BRASIL, 2014).</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Ao analisar a evolução das políticas públicas de educação, há que se destacar as ações governamentais nas últimas décadas</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 conforme registra o Relatório Anual de Avaliação do Plano Plurianual do Ministério do Planejamento, ano</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 xml:space="preserve">base 2015, para atender essas metas. Segundo o Relatório, “a educação superior passou por um significativo processo de expansão na última década, com especial participação das instituições federais de ensino superior (Ifes)” (2016, p. 412) alicerçada nos princípios da democratização e inclusão do acesso à educação superior de qualidade a partir do “reconhecimento do papel estratégico das universidades para o desenvolvimento econômico e social do país” (Ibidem). O documento apresenta diversas ações e programas para promover esse cenário, como o Catálogo Nacional de Cursos Superiores de Tecnologia, com o propósito de aprimorar e fortalecer os cursos superiores de tecnologia; o Programa de Apoio a Planos de Reestruturação e Expansão das Universidades Federais (Reuni), a oferta de vagas de 75.563 em cursos noturnos em 2014, ou seja, 30% do total de vagas ofertadas, investimentos das Instituições Federais de Educação Superior (Ifes), com a implantação de 56 novos campi (2011-2015) e </w:t>
      </w:r>
      <w:r>
        <w:rPr>
          <w:rFonts w:ascii="Times New Roman" w:eastAsia="Times New Roman" w:hAnsi="Times New Roman" w:cs="Times New Roman"/>
          <w:color w:val="auto"/>
          <w:sz w:val="24"/>
          <w:szCs w:val="24"/>
          <w:highlight w:val="white"/>
        </w:rPr>
        <w:t>quatro</w:t>
      </w:r>
      <w:r w:rsidRPr="0039154F">
        <w:rPr>
          <w:rFonts w:ascii="Times New Roman" w:eastAsia="Times New Roman" w:hAnsi="Times New Roman" w:cs="Times New Roman"/>
          <w:color w:val="auto"/>
          <w:sz w:val="24"/>
          <w:szCs w:val="24"/>
          <w:highlight w:val="white"/>
        </w:rPr>
        <w:t xml:space="preserve"> novas universidades para garantir a  interiorização, bem como a edição de cerca de 10.620 atos regulatórios (2012), 10.040 (2013), 7.152 (2014) e 9260 (2015), 1.796 autorizações de cursos, 5.906 reconhecimentos e renovações de reconhecimento de cursos e 1.372 aditamentos, 590 atos de supervisão que visam ao cumprimento da legislação educacional e à indução de melhorias dos padrões de qualidade da educação superior (ibidem, p. 413-414). Ainda segundo o relatório, para estender a participação da população ao ensino superior, foram consolidados o Sistema de Seleção Unificada (Sisu), o Programa Universidade para Todos (ProUni) e o Fundo de Financiamento Estudantil (Fies). Estes últimos concedendo bolsas de estudos e financiamento, respectivamente, a estudantes de instituições privadas. No período entre “2010 e 2015, o Fies registrou a assinatura de 2,18 milhões de novos contratos” (p.</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414), o que elevou as matrículas e</w:t>
      </w:r>
      <w:r>
        <w:rPr>
          <w:rFonts w:ascii="Times New Roman" w:eastAsia="Times New Roman" w:hAnsi="Times New Roman" w:cs="Times New Roman"/>
          <w:color w:val="auto"/>
          <w:sz w:val="24"/>
          <w:szCs w:val="24"/>
          <w:highlight w:val="white"/>
        </w:rPr>
        <w:t>m</w:t>
      </w:r>
      <w:r w:rsidRPr="0039154F">
        <w:rPr>
          <w:rFonts w:ascii="Times New Roman" w:eastAsia="Times New Roman" w:hAnsi="Times New Roman" w:cs="Times New Roman"/>
          <w:color w:val="auto"/>
          <w:sz w:val="24"/>
          <w:szCs w:val="24"/>
          <w:highlight w:val="white"/>
        </w:rPr>
        <w:t xml:space="preserve"> 2003 de 3,94 milhões para 7,8 milhões em 2014. </w:t>
      </w:r>
    </w:p>
    <w:p w:rsidR="002538D1"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No entanto, a mudança da política do Fundo de Financiamento Estudantil (Fies) entre 2015-2017 afetou os ingressantes nos cursos presenciais nas instituições privadas. De acordo com a portaria publicada no Diário Oficial em 2015, as ofertas de vagas no </w:t>
      </w:r>
      <w:r w:rsidRPr="0039154F">
        <w:rPr>
          <w:rFonts w:ascii="Times New Roman" w:eastAsia="Times New Roman" w:hAnsi="Times New Roman" w:cs="Times New Roman"/>
          <w:sz w:val="24"/>
          <w:szCs w:val="24"/>
          <w:highlight w:val="white"/>
        </w:rPr>
        <w:lastRenderedPageBreak/>
        <w:t>Fies se destinavam</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prioritariamente</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para cursos com notas 5 e 4 no Sistema Nacional de Avaliação</w:t>
      </w:r>
      <w:r>
        <w:rPr>
          <w:rFonts w:ascii="Times New Roman" w:eastAsia="Times New Roman" w:hAnsi="Times New Roman" w:cs="Times New Roman"/>
          <w:sz w:val="24"/>
          <w:szCs w:val="24"/>
          <w:highlight w:val="white"/>
        </w:rPr>
        <w:t xml:space="preserve"> da Educação Superior (Sinaes),</w:t>
      </w:r>
      <w:r w:rsidRPr="0039154F">
        <w:rPr>
          <w:rFonts w:ascii="Times New Roman" w:eastAsia="Times New Roman" w:hAnsi="Times New Roman" w:cs="Times New Roman"/>
          <w:sz w:val="24"/>
          <w:szCs w:val="24"/>
          <w:highlight w:val="white"/>
        </w:rPr>
        <w:t xml:space="preserve"> fator que reduziria a possibilidade de oferta para cursos principalmente da rede privada e em EaD para as regiões Norte, Nordeste e Centro-Oeste </w:t>
      </w:r>
      <w:r>
        <w:rPr>
          <w:rFonts w:ascii="Times New Roman" w:eastAsia="Times New Roman" w:hAnsi="Times New Roman" w:cs="Times New Roman"/>
          <w:sz w:val="24"/>
          <w:szCs w:val="24"/>
          <w:highlight w:val="white"/>
        </w:rPr>
        <w:t>(excluindo Distrito Federal). A</w:t>
      </w:r>
      <w:r w:rsidRPr="0039154F">
        <w:rPr>
          <w:rFonts w:ascii="Times New Roman" w:eastAsia="Times New Roman" w:hAnsi="Times New Roman" w:cs="Times New Roman"/>
          <w:sz w:val="24"/>
          <w:szCs w:val="24"/>
          <w:highlight w:val="white"/>
        </w:rPr>
        <w:t>nteriormente</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60% estavam concentrados nas regiões Sul, Sudeste e DF e em carreiras como formação de professores, engenharia e áreas da saúde. Apesar de diminuir a taxa de juros de 9% para 6,5%, as exigências para o estudante aumentaram. </w:t>
      </w:r>
      <w:r>
        <w:rPr>
          <w:rFonts w:ascii="Times New Roman" w:eastAsia="Times New Roman" w:hAnsi="Times New Roman" w:cs="Times New Roman"/>
          <w:sz w:val="24"/>
          <w:szCs w:val="24"/>
          <w:highlight w:val="white"/>
        </w:rPr>
        <w:t>Em vez</w:t>
      </w:r>
      <w:r w:rsidRPr="0039154F">
        <w:rPr>
          <w:rFonts w:ascii="Times New Roman" w:eastAsia="Times New Roman" w:hAnsi="Times New Roman" w:cs="Times New Roman"/>
          <w:sz w:val="24"/>
          <w:szCs w:val="24"/>
          <w:highlight w:val="white"/>
        </w:rPr>
        <w:t xml:space="preserve"> de uma renda familiar bruta de 20 salários mínimos passou a ser solicitada uma renda per capita de 2,5 salários mínimos. Além disso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se antes só era preciso ter prestado o Exame Nac</w:t>
      </w:r>
      <w:r>
        <w:rPr>
          <w:rFonts w:ascii="Times New Roman" w:eastAsia="Times New Roman" w:hAnsi="Times New Roman" w:cs="Times New Roman"/>
          <w:sz w:val="24"/>
          <w:szCs w:val="24"/>
          <w:highlight w:val="white"/>
        </w:rPr>
        <w:t>ional de Ensino Médio (Enem)</w:t>
      </w:r>
      <w:r w:rsidRPr="0039154F">
        <w:rPr>
          <w:rFonts w:ascii="Times New Roman" w:eastAsia="Times New Roman" w:hAnsi="Times New Roman" w:cs="Times New Roman"/>
          <w:sz w:val="24"/>
          <w:szCs w:val="24"/>
          <w:highlight w:val="white"/>
        </w:rPr>
        <w:t xml:space="preserve">, a partir da portaria o estudante deveria obter ao menos 450 pontos na média do </w:t>
      </w:r>
      <w:r>
        <w:rPr>
          <w:rFonts w:ascii="Times New Roman" w:eastAsia="Times New Roman" w:hAnsi="Times New Roman" w:cs="Times New Roman"/>
          <w:sz w:val="24"/>
          <w:szCs w:val="24"/>
          <w:highlight w:val="white"/>
        </w:rPr>
        <w:t xml:space="preserve">exame </w:t>
      </w:r>
      <w:r w:rsidRPr="0039154F">
        <w:rPr>
          <w:rFonts w:ascii="Times New Roman" w:eastAsia="Times New Roman" w:hAnsi="Times New Roman" w:cs="Times New Roman"/>
          <w:sz w:val="24"/>
          <w:szCs w:val="24"/>
          <w:highlight w:val="white"/>
        </w:rPr>
        <w:t>e nota diferente de zero na redação (BRASIL, Portaria, 2015). Os critérios estabelecidos para d</w:t>
      </w:r>
      <w:r>
        <w:rPr>
          <w:rFonts w:ascii="Times New Roman" w:eastAsia="Times New Roman" w:hAnsi="Times New Roman" w:cs="Times New Roman"/>
          <w:sz w:val="24"/>
          <w:szCs w:val="24"/>
          <w:highlight w:val="white"/>
        </w:rPr>
        <w:t>irecionar os recursos constituíram</w:t>
      </w:r>
      <w:r w:rsidRPr="0039154F">
        <w:rPr>
          <w:rFonts w:ascii="Times New Roman" w:eastAsia="Times New Roman" w:hAnsi="Times New Roman" w:cs="Times New Roman"/>
          <w:sz w:val="24"/>
          <w:szCs w:val="24"/>
          <w:highlight w:val="white"/>
        </w:rPr>
        <w:t xml:space="preserve">-se no contexto dos ajustes orçamentários do governo federal para atender aos cortes do ajuste fiscal, considerando o quadro recessivo na economia entre 2015-2016. </w:t>
      </w:r>
    </w:p>
    <w:p w:rsidR="002538D1" w:rsidRPr="00E5793E"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sz w:val="24"/>
          <w:szCs w:val="24"/>
          <w:highlight w:val="white"/>
        </w:rPr>
        <w:t xml:space="preserve">Em 2017 foi publicada uma nova portaria (BRASIL, 2017) que determinava novas regras para o Fies e o P-Fies (Programa de Financiamento Estudantil). A renda foi alterada para até </w:t>
      </w:r>
      <w:r>
        <w:rPr>
          <w:rFonts w:ascii="Times New Roman" w:eastAsia="Times New Roman" w:hAnsi="Times New Roman" w:cs="Times New Roman"/>
          <w:sz w:val="24"/>
          <w:szCs w:val="24"/>
          <w:highlight w:val="white"/>
        </w:rPr>
        <w:t>três</w:t>
      </w:r>
      <w:r w:rsidRPr="0039154F">
        <w:rPr>
          <w:rFonts w:ascii="Times New Roman" w:eastAsia="Times New Roman" w:hAnsi="Times New Roman" w:cs="Times New Roman"/>
          <w:sz w:val="24"/>
          <w:szCs w:val="24"/>
          <w:highlight w:val="white"/>
        </w:rPr>
        <w:t xml:space="preserve"> salários mínimos, na modalidade de financiamento do Fies e até </w:t>
      </w:r>
      <w:r>
        <w:rPr>
          <w:rFonts w:ascii="Times New Roman" w:eastAsia="Times New Roman" w:hAnsi="Times New Roman" w:cs="Times New Roman"/>
          <w:sz w:val="24"/>
          <w:szCs w:val="24"/>
          <w:highlight w:val="white"/>
        </w:rPr>
        <w:t>cinco</w:t>
      </w:r>
      <w:r w:rsidRPr="0039154F">
        <w:rPr>
          <w:rFonts w:ascii="Times New Roman" w:eastAsia="Times New Roman" w:hAnsi="Times New Roman" w:cs="Times New Roman"/>
          <w:sz w:val="24"/>
          <w:szCs w:val="24"/>
          <w:highlight w:val="white"/>
        </w:rPr>
        <w:t xml:space="preserve"> salários mínimos, na modalidade de financiamento do P-Fies. Como isso cria</w:t>
      </w:r>
      <w:r>
        <w:rPr>
          <w:rFonts w:ascii="Times New Roman" w:eastAsia="Times New Roman" w:hAnsi="Times New Roman" w:cs="Times New Roman"/>
          <w:sz w:val="24"/>
          <w:szCs w:val="24"/>
          <w:highlight w:val="white"/>
        </w:rPr>
        <w:t>ra</w:t>
      </w:r>
      <w:r w:rsidRPr="0039154F">
        <w:rPr>
          <w:rFonts w:ascii="Times New Roman" w:eastAsia="Times New Roman" w:hAnsi="Times New Roman" w:cs="Times New Roman"/>
          <w:sz w:val="24"/>
          <w:szCs w:val="24"/>
          <w:highlight w:val="white"/>
        </w:rPr>
        <w:t xml:space="preserve">m-se três categorias de ingressantes pelo financiamento: os estudantes até </w:t>
      </w:r>
      <w:r>
        <w:rPr>
          <w:rFonts w:ascii="Times New Roman" w:eastAsia="Times New Roman" w:hAnsi="Times New Roman" w:cs="Times New Roman"/>
          <w:sz w:val="24"/>
          <w:szCs w:val="24"/>
          <w:highlight w:val="white"/>
        </w:rPr>
        <w:t>três</w:t>
      </w:r>
      <w:r w:rsidRPr="0039154F">
        <w:rPr>
          <w:rFonts w:ascii="Times New Roman" w:eastAsia="Times New Roman" w:hAnsi="Times New Roman" w:cs="Times New Roman"/>
          <w:sz w:val="24"/>
          <w:szCs w:val="24"/>
          <w:highlight w:val="white"/>
        </w:rPr>
        <w:t xml:space="preserve"> salários mínimos e, neste caso, seguindo a norma de 2015, acaba a carência de 18 meses após o fim do curso e o estudante terá que começar a pagar assim que se formar; estudantes até </w:t>
      </w:r>
      <w:r>
        <w:rPr>
          <w:rFonts w:ascii="Times New Roman" w:eastAsia="Times New Roman" w:hAnsi="Times New Roman" w:cs="Times New Roman"/>
          <w:sz w:val="24"/>
          <w:szCs w:val="24"/>
          <w:highlight w:val="white"/>
        </w:rPr>
        <w:t>cinco</w:t>
      </w:r>
      <w:r w:rsidRPr="0039154F">
        <w:rPr>
          <w:rFonts w:ascii="Times New Roman" w:eastAsia="Times New Roman" w:hAnsi="Times New Roman" w:cs="Times New Roman"/>
          <w:sz w:val="24"/>
          <w:szCs w:val="24"/>
          <w:highlight w:val="white"/>
        </w:rPr>
        <w:t xml:space="preserve"> salários mínimos as taxas serão de 2,5% a 3%, mas somente para cursos nas regiões Norte, Nordeste e Centro-Oeste; e para estudantes des</w:t>
      </w:r>
      <w:r>
        <w:rPr>
          <w:rFonts w:ascii="Times New Roman" w:eastAsia="Times New Roman" w:hAnsi="Times New Roman" w:cs="Times New Roman"/>
          <w:sz w:val="24"/>
          <w:szCs w:val="24"/>
          <w:highlight w:val="white"/>
        </w:rPr>
        <w:t>s</w:t>
      </w:r>
      <w:r w:rsidRPr="0039154F">
        <w:rPr>
          <w:rFonts w:ascii="Times New Roman" w:eastAsia="Times New Roman" w:hAnsi="Times New Roman" w:cs="Times New Roman"/>
          <w:sz w:val="24"/>
          <w:szCs w:val="24"/>
          <w:highlight w:val="white"/>
        </w:rPr>
        <w:t xml:space="preserve">a mesma faixa de renda, mas para todo o país, que poderão solicitar recursos de bancos privados. Quanto ao ProUni, iniciado em 2004, para obter as bolsas integrais é preciso ter renda familiar mensal de até 1,5 salário mínimo e para as bolsas parciais de 50%, a renda não </w:t>
      </w:r>
      <w:r>
        <w:rPr>
          <w:rFonts w:ascii="Times New Roman" w:eastAsia="Times New Roman" w:hAnsi="Times New Roman" w:cs="Times New Roman"/>
          <w:sz w:val="24"/>
          <w:szCs w:val="24"/>
          <w:highlight w:val="white"/>
        </w:rPr>
        <w:t>pode exceder</w:t>
      </w:r>
      <w:r w:rsidRPr="0039154F">
        <w:rPr>
          <w:rFonts w:ascii="Times New Roman" w:eastAsia="Times New Roman" w:hAnsi="Times New Roman" w:cs="Times New Roman"/>
          <w:sz w:val="24"/>
          <w:szCs w:val="24"/>
          <w:highlight w:val="white"/>
        </w:rPr>
        <w:t xml:space="preserve"> três salários mínimos. As mudanças projetadas para 2018 buscam direcionar as ofertas para cursos de formação de professores</w:t>
      </w:r>
      <w:r>
        <w:rPr>
          <w:rFonts w:ascii="Times New Roman" w:eastAsia="Times New Roman" w:hAnsi="Times New Roman" w:cs="Times New Roman"/>
          <w:sz w:val="24"/>
          <w:szCs w:val="24"/>
          <w:highlight w:val="white"/>
        </w:rPr>
        <w:t xml:space="preserve"> </w:t>
      </w:r>
      <w:r w:rsidRPr="00E5793E">
        <w:rPr>
          <w:rFonts w:ascii="Times New Roman" w:eastAsia="Times New Roman" w:hAnsi="Times New Roman" w:cs="Times New Roman"/>
          <w:color w:val="auto"/>
          <w:sz w:val="24"/>
          <w:szCs w:val="24"/>
          <w:highlight w:val="white"/>
        </w:rPr>
        <w:t xml:space="preserve">(BRASIL, 2018).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gráfico de matrículas</w:t>
      </w:r>
      <w:r w:rsidRPr="00A50F8B">
        <w:rPr>
          <w:rStyle w:val="Refdenotaderodap"/>
          <w:rFonts w:ascii="Times New Roman" w:eastAsia="Times New Roman" w:hAnsi="Times New Roman" w:cs="Times New Roman"/>
          <w:color w:val="auto"/>
          <w:sz w:val="24"/>
          <w:szCs w:val="24"/>
          <w:highlight w:val="white"/>
        </w:rPr>
        <w:footnoteReference w:id="2"/>
      </w:r>
      <w:r w:rsidRPr="0039154F">
        <w:rPr>
          <w:rFonts w:ascii="Times New Roman" w:eastAsia="Times New Roman" w:hAnsi="Times New Roman" w:cs="Times New Roman"/>
          <w:sz w:val="24"/>
          <w:szCs w:val="24"/>
          <w:highlight w:val="white"/>
        </w:rPr>
        <w:t xml:space="preserve"> no ensino superior nesse período </w:t>
      </w:r>
      <w:r>
        <w:rPr>
          <w:rFonts w:ascii="Times New Roman" w:eastAsia="Times New Roman" w:hAnsi="Times New Roman" w:cs="Times New Roman"/>
          <w:sz w:val="24"/>
          <w:szCs w:val="24"/>
          <w:highlight w:val="white"/>
        </w:rPr>
        <w:t>de alterações</w:t>
      </w:r>
      <w:r w:rsidRPr="0039154F">
        <w:rPr>
          <w:rFonts w:ascii="Times New Roman" w:eastAsia="Times New Roman" w:hAnsi="Times New Roman" w:cs="Times New Roman"/>
          <w:sz w:val="24"/>
          <w:szCs w:val="24"/>
          <w:highlight w:val="white"/>
        </w:rPr>
        <w:t xml:space="preserve"> nas </w:t>
      </w:r>
      <w:r w:rsidRPr="00A50F8B">
        <w:rPr>
          <w:rFonts w:ascii="Times New Roman" w:eastAsia="Times New Roman" w:hAnsi="Times New Roman" w:cs="Times New Roman"/>
          <w:color w:val="auto"/>
          <w:sz w:val="24"/>
          <w:szCs w:val="24"/>
          <w:highlight w:val="white"/>
        </w:rPr>
        <w:t xml:space="preserve">políticas educacionais </w:t>
      </w:r>
      <w:r>
        <w:rPr>
          <w:rFonts w:ascii="Times New Roman" w:eastAsia="Times New Roman" w:hAnsi="Times New Roman" w:cs="Times New Roman"/>
          <w:color w:val="auto"/>
          <w:sz w:val="24"/>
          <w:szCs w:val="24"/>
          <w:highlight w:val="white"/>
        </w:rPr>
        <w:t>demonstra</w:t>
      </w:r>
      <w:r w:rsidRPr="00A50F8B">
        <w:rPr>
          <w:rFonts w:ascii="Times New Roman" w:eastAsia="Times New Roman" w:hAnsi="Times New Roman" w:cs="Times New Roman"/>
          <w:color w:val="auto"/>
          <w:sz w:val="24"/>
          <w:szCs w:val="24"/>
          <w:highlight w:val="white"/>
        </w:rPr>
        <w:t xml:space="preserve"> o impacto dessas mudanças</w:t>
      </w:r>
      <w:r>
        <w:rPr>
          <w:rFonts w:ascii="Times New Roman" w:eastAsia="Times New Roman" w:hAnsi="Times New Roman" w:cs="Times New Roman"/>
          <w:strike/>
          <w:color w:val="FF0000"/>
          <w:sz w:val="24"/>
          <w:szCs w:val="24"/>
          <w:highlight w:val="white"/>
        </w:rPr>
        <w:t xml:space="preserve">.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Default="002538D1" w:rsidP="002538D1">
      <w:pPr>
        <w:spacing w:after="0" w:line="240" w:lineRule="auto"/>
        <w:jc w:val="both"/>
        <w:rPr>
          <w:rFonts w:ascii="Times New Roman" w:eastAsia="Times New Roman" w:hAnsi="Times New Roman" w:cs="Times New Roman"/>
          <w:sz w:val="20"/>
          <w:szCs w:val="20"/>
          <w:highlight w:val="white"/>
        </w:rPr>
      </w:pPr>
      <w:r w:rsidRPr="0039154F">
        <w:rPr>
          <w:rFonts w:ascii="Times New Roman" w:hAnsi="Times New Roman" w:cs="Times New Roman"/>
          <w:noProof/>
        </w:rPr>
        <w:drawing>
          <wp:inline distT="0" distB="0" distL="0" distR="0" wp14:anchorId="557FFD45" wp14:editId="2A243448">
            <wp:extent cx="5238750" cy="3105150"/>
            <wp:effectExtent l="0" t="0" r="0" b="0"/>
            <wp:docPr id="4" name="Gráfico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FAA58B-B79A-47A4-9C60-044E36C1B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538D1" w:rsidRDefault="002538D1" w:rsidP="002538D1">
      <w:pPr>
        <w:spacing w:after="0" w:line="240" w:lineRule="auto"/>
        <w:jc w:val="both"/>
        <w:rPr>
          <w:rFonts w:ascii="Times New Roman" w:eastAsia="Times New Roman" w:hAnsi="Times New Roman" w:cs="Times New Roman"/>
          <w:sz w:val="20"/>
          <w:szCs w:val="20"/>
          <w:highlight w:val="white"/>
        </w:rPr>
      </w:pPr>
    </w:p>
    <w:p w:rsidR="002538D1" w:rsidRPr="0039154F" w:rsidRDefault="002538D1" w:rsidP="002538D1">
      <w:pPr>
        <w:spacing w:after="0" w:line="240" w:lineRule="auto"/>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t>Fonte: Elaborado pelas autoras</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 xml:space="preserve"> com base nos dados do Censo de Ensino Superior 2016 e Sinopse Estatística Educação Superior </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Pr="0039154F" w:rsidRDefault="002538D1" w:rsidP="002538D1">
      <w:pPr>
        <w:spacing w:after="0" w:line="360" w:lineRule="auto"/>
        <w:jc w:val="both"/>
        <w:rPr>
          <w:rFonts w:ascii="Times New Roman" w:eastAsia="Times New Roman" w:hAnsi="Times New Roman" w:cs="Times New Roman"/>
          <w:b/>
          <w:highlight w:val="white"/>
        </w:rPr>
      </w:pP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No período 2012-2016 (SINOPSE, 2012-2016; CENSO 2016), apesar da crise em 2015, há um crescimento total de 12.6% nas matrículas, passando </w:t>
      </w:r>
      <w:r>
        <w:rPr>
          <w:rFonts w:ascii="Times New Roman" w:eastAsia="Times New Roman" w:hAnsi="Times New Roman" w:cs="Times New Roman"/>
          <w:sz w:val="24"/>
          <w:szCs w:val="24"/>
          <w:highlight w:val="white"/>
        </w:rPr>
        <w:t xml:space="preserve">de </w:t>
      </w:r>
      <w:r w:rsidRPr="0039154F">
        <w:rPr>
          <w:rFonts w:ascii="Times New Roman" w:eastAsia="Times New Roman" w:hAnsi="Times New Roman" w:cs="Times New Roman"/>
          <w:sz w:val="24"/>
          <w:szCs w:val="24"/>
          <w:highlight w:val="white"/>
        </w:rPr>
        <w:t>7.037.688 matrículas em 2012 para 8.048.701 estudantes matriculados nas redes pública e privada em 2016. A partir do gráfico, observa-se uma prevalência de crescimento para as matrículas na rede privada</w:t>
      </w:r>
      <w:r>
        <w:rPr>
          <w:rFonts w:ascii="Times New Roman" w:eastAsia="Times New Roman" w:hAnsi="Times New Roman" w:cs="Times New Roman"/>
          <w:sz w:val="24"/>
          <w:szCs w:val="24"/>
          <w:highlight w:val="white"/>
        </w:rPr>
        <w:t>, o</w:t>
      </w:r>
      <w:r w:rsidRPr="0039154F">
        <w:rPr>
          <w:rFonts w:ascii="Times New Roman" w:eastAsia="Times New Roman" w:hAnsi="Times New Roman" w:cs="Times New Roman"/>
          <w:sz w:val="24"/>
          <w:szCs w:val="24"/>
          <w:highlight w:val="white"/>
        </w:rPr>
        <w:t xml:space="preserve"> que pode indicar que</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mesmo nesse contexto adverso, as instituições privadas apresentaram um maior número de matrículas se comparadas com a rede pública. Esse quadro se consolida quando em interseção com dados do ano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base 2016</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que apontam o investimento da rede privada.  Em 2016</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o ensino superior particular ofereceu 184.158 vagas a mais em relação ao ano de 2015. Além disso, nesse mesmo período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entre 2015 e 2016</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houve um aumento na contratação de professores com doutorado, com novos 2.077 professores nessa condição. Isso foi mais expressivo nas universidades (se comparado com centros universitários e faculdades, mesmo que esta</w:t>
      </w:r>
      <w:r>
        <w:rPr>
          <w:rFonts w:ascii="Times New Roman" w:eastAsia="Times New Roman" w:hAnsi="Times New Roman" w:cs="Times New Roman"/>
          <w:sz w:val="24"/>
          <w:szCs w:val="24"/>
          <w:highlight w:val="white"/>
        </w:rPr>
        <w:t>s</w:t>
      </w:r>
      <w:r w:rsidRPr="0039154F">
        <w:rPr>
          <w:rFonts w:ascii="Times New Roman" w:eastAsia="Times New Roman" w:hAnsi="Times New Roman" w:cs="Times New Roman"/>
          <w:sz w:val="24"/>
          <w:szCs w:val="24"/>
          <w:highlight w:val="white"/>
        </w:rPr>
        <w:t xml:space="preserve"> ainda ofertem mais vagas) e nas regiões Sudeste, Sul e Nordeste (ABMES, 2018), o que reforça a melhoria das avaliações das instituições no Sinaes.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lastRenderedPageBreak/>
        <w:t>Com as políticas de ampliação de vagas, projeta</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se um crescimento das matrículas nos próximos anos nas instituições, com maiores perspectivas das matrículas de cursos a distância se comparado com o crescimento dos cursos presenciais entre 2012 e 2016, conforme aponta o gráfico 2.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hAnsi="Times New Roman" w:cs="Times New Roman"/>
          <w:noProof/>
        </w:rPr>
        <w:drawing>
          <wp:inline distT="0" distB="0" distL="0" distR="0" wp14:anchorId="49F67D6E" wp14:editId="1036C58C">
            <wp:extent cx="4572000" cy="27432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4572000" cy="2743200"/>
                    </a:xfrm>
                    <a:prstGeom prst="rect">
                      <a:avLst/>
                    </a:prstGeom>
                    <a:ln/>
                  </pic:spPr>
                </pic:pic>
              </a:graphicData>
            </a:graphic>
          </wp:inline>
        </w:drawing>
      </w:r>
    </w:p>
    <w:p w:rsidR="002538D1" w:rsidRDefault="002538D1" w:rsidP="002538D1">
      <w:pPr>
        <w:spacing w:after="0" w:line="240" w:lineRule="auto"/>
        <w:ind w:left="708"/>
        <w:jc w:val="center"/>
        <w:rPr>
          <w:rFonts w:ascii="Times New Roman" w:eastAsia="Times New Roman" w:hAnsi="Times New Roman" w:cs="Times New Roman"/>
          <w:sz w:val="20"/>
          <w:szCs w:val="20"/>
          <w:highlight w:val="white"/>
        </w:rPr>
      </w:pPr>
    </w:p>
    <w:p w:rsidR="002538D1" w:rsidRPr="0039154F" w:rsidRDefault="002538D1" w:rsidP="002538D1">
      <w:pPr>
        <w:spacing w:after="0" w:line="240" w:lineRule="auto"/>
        <w:ind w:left="708"/>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t xml:space="preserve">Fonte: Elaborado pelas autoras com base nos dados do Censo de Ensino Superior 2016 e Sinopse Estatística Educação Superior </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O ano de 2016 é significativo na contribuição da modalidade a distância para os dados gerais de matrículas.</w:t>
      </w:r>
    </w:p>
    <w:p w:rsidR="002538D1" w:rsidRDefault="002538D1" w:rsidP="002538D1">
      <w:pPr>
        <w:spacing w:after="0" w:line="240" w:lineRule="auto"/>
        <w:ind w:left="708"/>
        <w:jc w:val="both"/>
        <w:rPr>
          <w:rFonts w:ascii="Times New Roman" w:eastAsia="Times New Roman" w:hAnsi="Times New Roman" w:cs="Times New Roman"/>
          <w:sz w:val="20"/>
          <w:szCs w:val="20"/>
          <w:highlight w:val="white"/>
        </w:rPr>
      </w:pPr>
      <w:r w:rsidRPr="0039154F">
        <w:rPr>
          <w:rFonts w:ascii="Times New Roman" w:hAnsi="Times New Roman" w:cs="Times New Roman"/>
          <w:noProof/>
        </w:rPr>
        <w:drawing>
          <wp:inline distT="0" distB="0" distL="0" distR="0" wp14:anchorId="20454482" wp14:editId="1C61EEFE">
            <wp:extent cx="5400040" cy="2590800"/>
            <wp:effectExtent l="0" t="0" r="10160" b="0"/>
            <wp:docPr id="5" name="Gráfico 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6B3FCF-4DCD-4C1A-AFA8-1AD88F43F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38D1" w:rsidRDefault="002538D1" w:rsidP="002538D1">
      <w:pPr>
        <w:spacing w:after="0" w:line="240" w:lineRule="auto"/>
        <w:ind w:left="708"/>
        <w:jc w:val="both"/>
        <w:rPr>
          <w:rFonts w:ascii="Times New Roman" w:eastAsia="Times New Roman" w:hAnsi="Times New Roman" w:cs="Times New Roman"/>
          <w:sz w:val="20"/>
          <w:szCs w:val="20"/>
          <w:highlight w:val="white"/>
        </w:rPr>
      </w:pPr>
    </w:p>
    <w:p w:rsidR="002538D1" w:rsidRPr="0039154F" w:rsidRDefault="002538D1" w:rsidP="002538D1">
      <w:pPr>
        <w:spacing w:after="0" w:line="240" w:lineRule="auto"/>
        <w:ind w:left="708"/>
        <w:jc w:val="center"/>
        <w:rPr>
          <w:rFonts w:ascii="Times New Roman" w:eastAsia="Times New Roman" w:hAnsi="Times New Roman" w:cs="Times New Roman"/>
          <w:sz w:val="20"/>
          <w:szCs w:val="20"/>
          <w:highlight w:val="white"/>
        </w:rPr>
      </w:pPr>
      <w:r w:rsidRPr="0039154F">
        <w:rPr>
          <w:rFonts w:ascii="Times New Roman" w:eastAsia="Times New Roman" w:hAnsi="Times New Roman" w:cs="Times New Roman"/>
          <w:sz w:val="20"/>
          <w:szCs w:val="20"/>
          <w:highlight w:val="white"/>
        </w:rPr>
        <w:lastRenderedPageBreak/>
        <w:t xml:space="preserve">Fonte: Elaborado pelas autoras com base nos dados do Censo de Ensino Superior 2016 e Sinopse Estatística Educação Superior </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2012-2016</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t xml:space="preserve">Enquanto o ensino presencial teve uma redução de 1,2% nas matrículas em relação ao ano anterior, o ensino a distância teve expansão de 7,2%. </w:t>
      </w:r>
      <w:r w:rsidRPr="0039154F">
        <w:rPr>
          <w:rFonts w:ascii="Times New Roman" w:eastAsia="Times New Roman" w:hAnsi="Times New Roman" w:cs="Times New Roman"/>
          <w:sz w:val="24"/>
          <w:szCs w:val="24"/>
        </w:rPr>
        <w:t>Com isso, os cursos a distância atingem a participação de</w:t>
      </w:r>
      <w:r w:rsidRPr="0039154F">
        <w:rPr>
          <w:rFonts w:ascii="Times New Roman" w:eastAsia="Times New Roman" w:hAnsi="Times New Roman" w:cs="Times New Roman"/>
          <w:color w:val="00B050"/>
          <w:sz w:val="24"/>
          <w:szCs w:val="24"/>
        </w:rPr>
        <w:t xml:space="preserve"> </w:t>
      </w:r>
      <w:r w:rsidRPr="0039154F">
        <w:rPr>
          <w:rFonts w:ascii="Times New Roman" w:eastAsia="Times New Roman" w:hAnsi="Times New Roman" w:cs="Times New Roman"/>
          <w:sz w:val="24"/>
          <w:szCs w:val="24"/>
        </w:rPr>
        <w:t>18,6% do total de matrículas da educação superior. E o</w:t>
      </w:r>
      <w:r w:rsidRPr="0039154F">
        <w:rPr>
          <w:rFonts w:ascii="Times New Roman" w:eastAsia="Times New Roman" w:hAnsi="Times New Roman" w:cs="Times New Roman"/>
          <w:sz w:val="24"/>
          <w:szCs w:val="24"/>
          <w:highlight w:val="white"/>
        </w:rPr>
        <w:t xml:space="preserve"> setor privado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com relação aos cursos a distância, representa 72,9% dessa modalidade (ABMES, 2018).  </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Vale destacar que a oferta de cursos a distância já estava prevista no Art. 80 da Lei de Diretrizes e Bases da Educação (LDB), nº 9.394, de 20 de dezembro de 1996, e passou pela última atualização pelo Decreto nº 5.622, de 19 de dezembro de 2005. Nesse período, a educação a distância cresceu fortemente no país. De acordo com informativo do Ministério da Educação, em 2015 havia 1.473 mil cursos EaD, o que representou um crescimento de 10% ao ano desde 2010, com 1,3 milhão de estudantes matriculados, ou seja, uma elevação de 50% entre os anos indicados (PORTAL MEC, 2017). </w:t>
      </w:r>
    </w:p>
    <w:p w:rsidR="002538D1" w:rsidRPr="0039154F"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A legislação que regula o setor da EaD Superior determina a existência de polos para atendimento e apoio pedagógico ao estudante, mas </w:t>
      </w:r>
      <w:r>
        <w:rPr>
          <w:rFonts w:ascii="Times New Roman" w:eastAsia="Times New Roman" w:hAnsi="Times New Roman" w:cs="Times New Roman"/>
          <w:color w:val="auto"/>
          <w:sz w:val="24"/>
          <w:szCs w:val="24"/>
          <w:highlight w:val="white"/>
        </w:rPr>
        <w:t>essa legislação</w:t>
      </w:r>
      <w:r w:rsidRPr="0039154F">
        <w:rPr>
          <w:rFonts w:ascii="Times New Roman" w:eastAsia="Times New Roman" w:hAnsi="Times New Roman" w:cs="Times New Roman"/>
          <w:color w:val="auto"/>
          <w:sz w:val="24"/>
          <w:szCs w:val="24"/>
          <w:highlight w:val="white"/>
        </w:rPr>
        <w:t xml:space="preserve"> sofreu significativa alteração entre 2005 e 2017. O </w:t>
      </w:r>
      <w:r>
        <w:rPr>
          <w:rFonts w:ascii="Times New Roman" w:eastAsia="Times New Roman" w:hAnsi="Times New Roman" w:cs="Times New Roman"/>
          <w:color w:val="auto"/>
          <w:sz w:val="24"/>
          <w:szCs w:val="24"/>
          <w:highlight w:val="white"/>
        </w:rPr>
        <w:t>D</w:t>
      </w:r>
      <w:r w:rsidRPr="0039154F">
        <w:rPr>
          <w:rFonts w:ascii="Times New Roman" w:eastAsia="Times New Roman" w:hAnsi="Times New Roman" w:cs="Times New Roman"/>
          <w:color w:val="auto"/>
          <w:sz w:val="24"/>
          <w:szCs w:val="24"/>
          <w:highlight w:val="white"/>
        </w:rPr>
        <w:t xml:space="preserve">ecreto </w:t>
      </w:r>
      <w:r>
        <w:rPr>
          <w:rFonts w:ascii="Times New Roman" w:eastAsia="Times New Roman" w:hAnsi="Times New Roman" w:cs="Times New Roman"/>
          <w:color w:val="auto"/>
          <w:sz w:val="24"/>
          <w:szCs w:val="24"/>
          <w:highlight w:val="white"/>
        </w:rPr>
        <w:t xml:space="preserve">nº </w:t>
      </w:r>
      <w:r w:rsidRPr="0039154F">
        <w:rPr>
          <w:rFonts w:ascii="Times New Roman" w:eastAsia="Times New Roman" w:hAnsi="Times New Roman" w:cs="Times New Roman"/>
          <w:color w:val="auto"/>
          <w:sz w:val="24"/>
          <w:szCs w:val="24"/>
          <w:highlight w:val="white"/>
        </w:rPr>
        <w:t>5.622/2005, no seu artigo 26, regula</w:t>
      </w:r>
      <w:r>
        <w:rPr>
          <w:rFonts w:ascii="Times New Roman" w:eastAsia="Times New Roman" w:hAnsi="Times New Roman" w:cs="Times New Roman"/>
          <w:color w:val="auto"/>
          <w:sz w:val="24"/>
          <w:szCs w:val="24"/>
          <w:highlight w:val="white"/>
        </w:rPr>
        <w:t>mentando o artigo 80 da LDB, ger</w:t>
      </w:r>
      <w:r w:rsidRPr="0039154F">
        <w:rPr>
          <w:rFonts w:ascii="Times New Roman" w:eastAsia="Times New Roman" w:hAnsi="Times New Roman" w:cs="Times New Roman"/>
          <w:color w:val="auto"/>
          <w:sz w:val="24"/>
          <w:szCs w:val="24"/>
          <w:highlight w:val="white"/>
        </w:rPr>
        <w:t>ou dificuldades para que as próprias instituições criassem polos de EaD e fossem credenciadas na modalidade sem a exigência do credenciamento prévio para a oferta presencial. No entanto, sucessivos decretos e portarias</w:t>
      </w:r>
      <w:r>
        <w:rPr>
          <w:rStyle w:val="Refdenotaderodap"/>
          <w:rFonts w:ascii="Times New Roman" w:eastAsia="Times New Roman" w:hAnsi="Times New Roman" w:cs="Times New Roman"/>
          <w:color w:val="auto"/>
          <w:sz w:val="24"/>
          <w:szCs w:val="24"/>
          <w:highlight w:val="white"/>
        </w:rPr>
        <w:footnoteReference w:id="3"/>
      </w:r>
      <w:r w:rsidRPr="0039154F">
        <w:rPr>
          <w:rFonts w:ascii="Times New Roman" w:eastAsia="Times New Roman" w:hAnsi="Times New Roman" w:cs="Times New Roman"/>
          <w:color w:val="auto"/>
          <w:sz w:val="24"/>
          <w:szCs w:val="24"/>
          <w:highlight w:val="white"/>
        </w:rPr>
        <w:t xml:space="preserve"> flexibiliz</w:t>
      </w:r>
      <w:r>
        <w:rPr>
          <w:rFonts w:ascii="Times New Roman" w:eastAsia="Times New Roman" w:hAnsi="Times New Roman" w:cs="Times New Roman"/>
          <w:color w:val="auto"/>
          <w:sz w:val="24"/>
          <w:szCs w:val="24"/>
          <w:highlight w:val="white"/>
        </w:rPr>
        <w:t>aram</w:t>
      </w:r>
      <w:r w:rsidRPr="0039154F">
        <w:rPr>
          <w:rFonts w:ascii="Times New Roman" w:eastAsia="Times New Roman" w:hAnsi="Times New Roman" w:cs="Times New Roman"/>
          <w:color w:val="auto"/>
          <w:sz w:val="24"/>
          <w:szCs w:val="24"/>
          <w:highlight w:val="white"/>
        </w:rPr>
        <w:t xml:space="preserve"> essa oferta</w:t>
      </w:r>
      <w:r>
        <w:rPr>
          <w:rFonts w:ascii="Times New Roman" w:eastAsia="Times New Roman" w:hAnsi="Times New Roman" w:cs="Times New Roman"/>
          <w:color w:val="auto"/>
          <w:sz w:val="24"/>
          <w:szCs w:val="24"/>
          <w:highlight w:val="white"/>
        </w:rPr>
        <w:t xml:space="preserve">. </w:t>
      </w:r>
      <w:r w:rsidRPr="0039154F">
        <w:rPr>
          <w:rFonts w:ascii="Times New Roman" w:eastAsia="Times New Roman" w:hAnsi="Times New Roman" w:cs="Times New Roman"/>
          <w:color w:val="auto"/>
          <w:sz w:val="24"/>
          <w:szCs w:val="24"/>
          <w:highlight w:val="white"/>
        </w:rPr>
        <w:t xml:space="preserve">Se antes a </w:t>
      </w:r>
      <w:r>
        <w:rPr>
          <w:rFonts w:ascii="Times New Roman" w:eastAsia="Times New Roman" w:hAnsi="Times New Roman" w:cs="Times New Roman"/>
          <w:color w:val="auto"/>
          <w:sz w:val="24"/>
          <w:szCs w:val="24"/>
          <w:highlight w:val="white"/>
        </w:rPr>
        <w:t xml:space="preserve">regra determinava que a </w:t>
      </w:r>
      <w:r w:rsidRPr="0039154F">
        <w:rPr>
          <w:rFonts w:ascii="Times New Roman" w:eastAsia="Times New Roman" w:hAnsi="Times New Roman" w:cs="Times New Roman"/>
          <w:color w:val="auto"/>
          <w:sz w:val="24"/>
          <w:szCs w:val="24"/>
          <w:highlight w:val="white"/>
        </w:rPr>
        <w:t xml:space="preserve">instituição de ensino </w:t>
      </w:r>
      <w:r>
        <w:rPr>
          <w:rFonts w:ascii="Times New Roman" w:eastAsia="Times New Roman" w:hAnsi="Times New Roman" w:cs="Times New Roman"/>
          <w:color w:val="auto"/>
          <w:sz w:val="24"/>
          <w:szCs w:val="24"/>
          <w:highlight w:val="white"/>
        </w:rPr>
        <w:t xml:space="preserve">deveria ter </w:t>
      </w:r>
      <w:r w:rsidRPr="0039154F">
        <w:rPr>
          <w:rFonts w:ascii="Times New Roman" w:eastAsia="Times New Roman" w:hAnsi="Times New Roman" w:cs="Times New Roman"/>
          <w:color w:val="auto"/>
          <w:sz w:val="24"/>
          <w:szCs w:val="24"/>
          <w:highlight w:val="white"/>
        </w:rPr>
        <w:t>curso presencial e todos os polos visitados pelo M</w:t>
      </w:r>
      <w:r>
        <w:rPr>
          <w:rFonts w:ascii="Times New Roman" w:eastAsia="Times New Roman" w:hAnsi="Times New Roman" w:cs="Times New Roman"/>
          <w:color w:val="auto"/>
          <w:sz w:val="24"/>
          <w:szCs w:val="24"/>
          <w:highlight w:val="white"/>
        </w:rPr>
        <w:t>inistério da Educação,</w:t>
      </w:r>
      <w:r w:rsidRPr="0039154F">
        <w:rPr>
          <w:rFonts w:ascii="Times New Roman" w:eastAsia="Times New Roman" w:hAnsi="Times New Roman" w:cs="Times New Roman"/>
          <w:color w:val="auto"/>
          <w:sz w:val="24"/>
          <w:szCs w:val="24"/>
          <w:highlight w:val="white"/>
        </w:rPr>
        <w:t xml:space="preserve"> o atual processo permite que as visitas obrigatórias aconteçam apenas na sede da instituição, que não terá mais a limitação de ofertar curso presencial, reduzindo o tempo de abertura de dois anos para seis meses. Por sua vez, </w:t>
      </w:r>
      <w:r>
        <w:rPr>
          <w:rFonts w:ascii="Times New Roman" w:eastAsia="Times New Roman" w:hAnsi="Times New Roman" w:cs="Times New Roman"/>
          <w:color w:val="auto"/>
          <w:sz w:val="24"/>
          <w:szCs w:val="24"/>
          <w:highlight w:val="white"/>
        </w:rPr>
        <w:t>estabelece</w:t>
      </w:r>
      <w:r w:rsidRPr="0039154F">
        <w:rPr>
          <w:rFonts w:ascii="Times New Roman" w:eastAsia="Times New Roman" w:hAnsi="Times New Roman" w:cs="Times New Roman"/>
          <w:color w:val="auto"/>
          <w:sz w:val="24"/>
          <w:szCs w:val="24"/>
          <w:highlight w:val="white"/>
        </w:rPr>
        <w:t xml:space="preserve"> o quantitativo anual de polos por conceito institucional, qual seja, conceito 3 com 50 polos, conceito 4 com 150 e conceito 5 com 250. </w:t>
      </w:r>
      <w:r>
        <w:rPr>
          <w:rFonts w:ascii="Times New Roman" w:eastAsia="Times New Roman" w:hAnsi="Times New Roman" w:cs="Times New Roman"/>
          <w:color w:val="auto"/>
          <w:sz w:val="24"/>
          <w:szCs w:val="24"/>
          <w:highlight w:val="white"/>
        </w:rPr>
        <w:t>H</w:t>
      </w:r>
      <w:r w:rsidRPr="0039154F">
        <w:rPr>
          <w:rFonts w:ascii="Times New Roman" w:eastAsia="Times New Roman" w:hAnsi="Times New Roman" w:cs="Times New Roman"/>
          <w:color w:val="auto"/>
          <w:sz w:val="24"/>
          <w:szCs w:val="24"/>
          <w:highlight w:val="white"/>
        </w:rPr>
        <w:t xml:space="preserve">á, </w:t>
      </w:r>
      <w:r>
        <w:rPr>
          <w:rFonts w:ascii="Times New Roman" w:eastAsia="Times New Roman" w:hAnsi="Times New Roman" w:cs="Times New Roman"/>
          <w:color w:val="auto"/>
          <w:sz w:val="24"/>
          <w:szCs w:val="24"/>
          <w:highlight w:val="white"/>
        </w:rPr>
        <w:t xml:space="preserve">pois, </w:t>
      </w:r>
      <w:r w:rsidRPr="0039154F">
        <w:rPr>
          <w:rFonts w:ascii="Times New Roman" w:eastAsia="Times New Roman" w:hAnsi="Times New Roman" w:cs="Times New Roman"/>
          <w:color w:val="auto"/>
          <w:sz w:val="24"/>
          <w:szCs w:val="24"/>
          <w:highlight w:val="white"/>
        </w:rPr>
        <w:t xml:space="preserve">uma evidente sinalização para a expansão dos polos de educação a distância. No </w:t>
      </w:r>
      <w:r>
        <w:rPr>
          <w:rFonts w:ascii="Times New Roman" w:eastAsia="Times New Roman" w:hAnsi="Times New Roman" w:cs="Times New Roman"/>
          <w:color w:val="auto"/>
          <w:sz w:val="24"/>
          <w:szCs w:val="24"/>
          <w:highlight w:val="white"/>
        </w:rPr>
        <w:t>D</w:t>
      </w:r>
      <w:r w:rsidRPr="0039154F">
        <w:rPr>
          <w:rFonts w:ascii="Times New Roman" w:eastAsia="Times New Roman" w:hAnsi="Times New Roman" w:cs="Times New Roman"/>
          <w:color w:val="auto"/>
          <w:sz w:val="24"/>
          <w:szCs w:val="24"/>
          <w:highlight w:val="white"/>
        </w:rPr>
        <w:t xml:space="preserve">ecreto </w:t>
      </w:r>
      <w:r>
        <w:rPr>
          <w:rFonts w:ascii="Times New Roman" w:eastAsia="Times New Roman" w:hAnsi="Times New Roman" w:cs="Times New Roman"/>
          <w:color w:val="auto"/>
          <w:sz w:val="24"/>
          <w:szCs w:val="24"/>
          <w:highlight w:val="white"/>
        </w:rPr>
        <w:t xml:space="preserve">nº </w:t>
      </w:r>
      <w:r w:rsidRPr="0039154F">
        <w:rPr>
          <w:rFonts w:ascii="Times New Roman" w:eastAsia="Times New Roman" w:hAnsi="Times New Roman" w:cs="Times New Roman"/>
          <w:color w:val="auto"/>
          <w:sz w:val="24"/>
          <w:szCs w:val="24"/>
          <w:highlight w:val="white"/>
        </w:rPr>
        <w:t xml:space="preserve">9.057/2017 o polo tornou-se uma “unidade descentralizada da instituição de educação superior, no País ou no exterior, para o </w:t>
      </w:r>
      <w:r w:rsidRPr="0039154F">
        <w:rPr>
          <w:rFonts w:ascii="Times New Roman" w:eastAsia="Times New Roman" w:hAnsi="Times New Roman" w:cs="Times New Roman"/>
          <w:color w:val="auto"/>
          <w:sz w:val="24"/>
          <w:szCs w:val="24"/>
          <w:highlight w:val="white"/>
        </w:rPr>
        <w:lastRenderedPageBreak/>
        <w:t xml:space="preserve">desenvolvimento de atividades presenciais relativas aos cursos ofertados na modalidade a distância” (BRASIL, 2017). </w:t>
      </w:r>
    </w:p>
    <w:p w:rsidR="002538D1" w:rsidRPr="00E5793E" w:rsidRDefault="002538D1" w:rsidP="002538D1">
      <w:pPr>
        <w:spacing w:after="0" w:line="360" w:lineRule="auto"/>
        <w:ind w:firstLine="709"/>
        <w:jc w:val="both"/>
        <w:rPr>
          <w:rFonts w:ascii="Times New Roman" w:eastAsia="Times New Roman" w:hAnsi="Times New Roman" w:cs="Times New Roman"/>
          <w:color w:val="auto"/>
          <w:sz w:val="24"/>
          <w:szCs w:val="24"/>
          <w:highlight w:val="white"/>
        </w:rPr>
      </w:pPr>
      <w:r w:rsidRPr="0039154F">
        <w:rPr>
          <w:rFonts w:ascii="Times New Roman" w:eastAsia="Times New Roman" w:hAnsi="Times New Roman" w:cs="Times New Roman"/>
          <w:color w:val="auto"/>
          <w:sz w:val="24"/>
          <w:szCs w:val="24"/>
          <w:highlight w:val="white"/>
        </w:rPr>
        <w:t xml:space="preserve">Por esses rearranjos legais </w:t>
      </w:r>
      <w:r>
        <w:rPr>
          <w:rFonts w:ascii="Times New Roman" w:eastAsia="Times New Roman" w:hAnsi="Times New Roman" w:cs="Times New Roman"/>
          <w:color w:val="auto"/>
          <w:sz w:val="24"/>
          <w:szCs w:val="24"/>
          <w:highlight w:val="white"/>
        </w:rPr>
        <w:t>pode-</w:t>
      </w:r>
      <w:r w:rsidRPr="0039154F">
        <w:rPr>
          <w:rFonts w:ascii="Times New Roman" w:eastAsia="Times New Roman" w:hAnsi="Times New Roman" w:cs="Times New Roman"/>
          <w:color w:val="auto"/>
          <w:sz w:val="24"/>
          <w:szCs w:val="24"/>
          <w:highlight w:val="white"/>
        </w:rPr>
        <w:t>se compreende</w:t>
      </w:r>
      <w:r>
        <w:rPr>
          <w:rFonts w:ascii="Times New Roman" w:eastAsia="Times New Roman" w:hAnsi="Times New Roman" w:cs="Times New Roman"/>
          <w:color w:val="auto"/>
          <w:sz w:val="24"/>
          <w:szCs w:val="24"/>
          <w:highlight w:val="white"/>
        </w:rPr>
        <w:t>r</w:t>
      </w:r>
      <w:r w:rsidRPr="0039154F">
        <w:rPr>
          <w:rFonts w:ascii="Times New Roman" w:eastAsia="Times New Roman" w:hAnsi="Times New Roman" w:cs="Times New Roman"/>
          <w:color w:val="auto"/>
          <w:sz w:val="24"/>
          <w:szCs w:val="24"/>
          <w:highlight w:val="white"/>
        </w:rPr>
        <w:t xml:space="preserve"> </w:t>
      </w:r>
      <w:r>
        <w:rPr>
          <w:rFonts w:ascii="Times New Roman" w:eastAsia="Times New Roman" w:hAnsi="Times New Roman" w:cs="Times New Roman"/>
          <w:color w:val="auto"/>
          <w:sz w:val="24"/>
          <w:szCs w:val="24"/>
          <w:highlight w:val="white"/>
        </w:rPr>
        <w:t xml:space="preserve">os dados apresentados pelo </w:t>
      </w:r>
      <w:r w:rsidRPr="0039154F">
        <w:rPr>
          <w:rFonts w:ascii="Times New Roman" w:eastAsia="Times New Roman" w:hAnsi="Times New Roman" w:cs="Times New Roman"/>
          <w:color w:val="auto"/>
          <w:sz w:val="24"/>
          <w:szCs w:val="24"/>
          <w:highlight w:val="white"/>
        </w:rPr>
        <w:t>portal do Ministério da Educação</w:t>
      </w:r>
      <w:r>
        <w:rPr>
          <w:rFonts w:ascii="Times New Roman" w:eastAsia="Times New Roman" w:hAnsi="Times New Roman" w:cs="Times New Roman"/>
          <w:color w:val="auto"/>
          <w:sz w:val="24"/>
          <w:szCs w:val="24"/>
          <w:highlight w:val="white"/>
        </w:rPr>
        <w:t xml:space="preserve"> relativos a </w:t>
      </w:r>
      <w:r w:rsidRPr="0039154F">
        <w:rPr>
          <w:rFonts w:ascii="Times New Roman" w:eastAsia="Times New Roman" w:hAnsi="Times New Roman" w:cs="Times New Roman"/>
          <w:color w:val="auto"/>
          <w:sz w:val="24"/>
          <w:szCs w:val="24"/>
          <w:highlight w:val="white"/>
        </w:rPr>
        <w:t>março de 2009</w:t>
      </w:r>
      <w:r>
        <w:rPr>
          <w:rFonts w:ascii="Times New Roman" w:eastAsia="Times New Roman" w:hAnsi="Times New Roman" w:cs="Times New Roman"/>
          <w:color w:val="auto"/>
          <w:sz w:val="24"/>
          <w:szCs w:val="24"/>
          <w:highlight w:val="white"/>
        </w:rPr>
        <w:t xml:space="preserve">. Segundo o informe, </w:t>
      </w:r>
      <w:r w:rsidRPr="0039154F">
        <w:rPr>
          <w:rFonts w:ascii="Times New Roman" w:eastAsia="Times New Roman" w:hAnsi="Times New Roman" w:cs="Times New Roman"/>
          <w:color w:val="auto"/>
          <w:sz w:val="24"/>
          <w:szCs w:val="24"/>
          <w:highlight w:val="white"/>
        </w:rPr>
        <w:t>havia</w:t>
      </w:r>
      <w:r>
        <w:rPr>
          <w:rFonts w:ascii="Times New Roman" w:eastAsia="Times New Roman" w:hAnsi="Times New Roman" w:cs="Times New Roman"/>
          <w:color w:val="auto"/>
          <w:sz w:val="24"/>
          <w:szCs w:val="24"/>
          <w:highlight w:val="white"/>
        </w:rPr>
        <w:t xml:space="preserve"> nesse período</w:t>
      </w:r>
      <w:r w:rsidRPr="0039154F">
        <w:rPr>
          <w:rFonts w:ascii="Times New Roman" w:eastAsia="Times New Roman" w:hAnsi="Times New Roman" w:cs="Times New Roman"/>
          <w:color w:val="auto"/>
          <w:sz w:val="24"/>
          <w:szCs w:val="24"/>
          <w:highlight w:val="white"/>
        </w:rPr>
        <w:t xml:space="preserve"> </w:t>
      </w:r>
      <w:r>
        <w:rPr>
          <w:rFonts w:ascii="Times New Roman" w:eastAsia="Times New Roman" w:hAnsi="Times New Roman" w:cs="Times New Roman"/>
          <w:color w:val="auto"/>
          <w:sz w:val="24"/>
          <w:szCs w:val="24"/>
          <w:highlight w:val="white"/>
        </w:rPr>
        <w:t>“</w:t>
      </w:r>
      <w:r w:rsidRPr="0039154F">
        <w:rPr>
          <w:rFonts w:ascii="Times New Roman" w:eastAsia="Times New Roman" w:hAnsi="Times New Roman" w:cs="Times New Roman"/>
          <w:color w:val="auto"/>
          <w:sz w:val="24"/>
          <w:szCs w:val="24"/>
          <w:highlight w:val="white"/>
        </w:rPr>
        <w:t>o registro de 5.636 polos de apoio presencial vinculados a 145 instituições credenciadas para a modalidade</w:t>
      </w:r>
      <w:r>
        <w:rPr>
          <w:rFonts w:ascii="Times New Roman" w:eastAsia="Times New Roman" w:hAnsi="Times New Roman" w:cs="Times New Roman"/>
          <w:color w:val="auto"/>
          <w:sz w:val="24"/>
          <w:szCs w:val="24"/>
          <w:highlight w:val="white"/>
        </w:rPr>
        <w:t>”</w:t>
      </w:r>
      <w:r w:rsidRPr="00090E6B">
        <w:rPr>
          <w:rFonts w:ascii="Times New Roman" w:eastAsia="Times New Roman" w:hAnsi="Times New Roman" w:cs="Times New Roman"/>
          <w:color w:val="auto"/>
          <w:sz w:val="24"/>
          <w:szCs w:val="24"/>
          <w:highlight w:val="white"/>
        </w:rPr>
        <w:t xml:space="preserve"> </w:t>
      </w:r>
      <w:r>
        <w:rPr>
          <w:rFonts w:ascii="Times New Roman" w:eastAsia="Times New Roman" w:hAnsi="Times New Roman" w:cs="Times New Roman"/>
          <w:color w:val="auto"/>
          <w:sz w:val="24"/>
          <w:szCs w:val="24"/>
          <w:highlight w:val="white"/>
        </w:rPr>
        <w:t>(PORTAL MEC, 2018)</w:t>
      </w:r>
      <w:r>
        <w:rPr>
          <w:rStyle w:val="Refdenotaderodap"/>
          <w:rFonts w:ascii="Times New Roman" w:eastAsia="Times New Roman" w:hAnsi="Times New Roman" w:cs="Times New Roman"/>
          <w:color w:val="auto"/>
          <w:sz w:val="24"/>
          <w:szCs w:val="24"/>
          <w:highlight w:val="white"/>
        </w:rPr>
        <w:footnoteReference w:id="4"/>
      </w:r>
      <w:r>
        <w:rPr>
          <w:rFonts w:ascii="Times New Roman" w:eastAsia="Times New Roman" w:hAnsi="Times New Roman" w:cs="Times New Roman"/>
          <w:color w:val="auto"/>
          <w:sz w:val="24"/>
          <w:szCs w:val="24"/>
          <w:highlight w:val="white"/>
        </w:rPr>
        <w:t xml:space="preserve">. A estratégia governamental com essas ações seria </w:t>
      </w:r>
      <w:r>
        <w:rPr>
          <w:rFonts w:ascii="Times New Roman" w:eastAsia="Times New Roman" w:hAnsi="Times New Roman" w:cs="Times New Roman"/>
          <w:color w:val="auto"/>
          <w:sz w:val="24"/>
          <w:szCs w:val="24"/>
        </w:rPr>
        <w:t>“</w:t>
      </w:r>
      <w:r w:rsidRPr="009167BB">
        <w:rPr>
          <w:rFonts w:ascii="Times New Roman" w:eastAsia="Times New Roman" w:hAnsi="Times New Roman" w:cs="Times New Roman"/>
          <w:color w:val="auto"/>
          <w:sz w:val="24"/>
          <w:szCs w:val="24"/>
        </w:rPr>
        <w:t>ajudar o país a atingir a Meta 12 do Plano Nacional de Educação (PNE), que determina a elevação da taxa bruta de matrícula na educação superior para 50% e a taxa líquida em 33% da população de 18 a 24 ano</w:t>
      </w:r>
      <w:r>
        <w:rPr>
          <w:rFonts w:ascii="Times New Roman" w:eastAsia="Times New Roman" w:hAnsi="Times New Roman" w:cs="Times New Roman"/>
          <w:color w:val="auto"/>
          <w:sz w:val="24"/>
          <w:szCs w:val="24"/>
        </w:rPr>
        <w:t xml:space="preserve">s” (PORTAL, 2015). </w:t>
      </w:r>
      <w:r w:rsidRPr="00E5793E">
        <w:rPr>
          <w:rFonts w:ascii="Times New Roman" w:eastAsia="Times New Roman" w:hAnsi="Times New Roman" w:cs="Times New Roman"/>
          <w:color w:val="auto"/>
          <w:sz w:val="24"/>
          <w:szCs w:val="24"/>
          <w:highlight w:val="white"/>
        </w:rPr>
        <w:t>Apesar d</w:t>
      </w:r>
      <w:r>
        <w:rPr>
          <w:rFonts w:ascii="Times New Roman" w:eastAsia="Times New Roman" w:hAnsi="Times New Roman" w:cs="Times New Roman"/>
          <w:color w:val="auto"/>
          <w:sz w:val="24"/>
          <w:szCs w:val="24"/>
          <w:highlight w:val="white"/>
        </w:rPr>
        <w:t xml:space="preserve">e </w:t>
      </w:r>
      <w:r w:rsidRPr="00E5793E">
        <w:rPr>
          <w:rFonts w:ascii="Times New Roman" w:eastAsia="Times New Roman" w:hAnsi="Times New Roman" w:cs="Times New Roman"/>
          <w:color w:val="auto"/>
          <w:sz w:val="24"/>
          <w:szCs w:val="24"/>
          <w:highlight w:val="white"/>
        </w:rPr>
        <w:t xml:space="preserve">o crescimento expressar as tentativas de atingir as estratégias 12. 1 e 12.2 da meta 12, é possível considerar que estas, apesar de serem um norte de intervenção para as políticas públicas destinadas ao ensino superior, devem ser relativizadas em sua efetividade, por não contemplar de forma objetiva a qualidade do processo de ensino e aprendizagem.   </w:t>
      </w:r>
    </w:p>
    <w:p w:rsidR="002538D1"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E5793E">
        <w:rPr>
          <w:rFonts w:ascii="Times New Roman" w:eastAsia="Times New Roman" w:hAnsi="Times New Roman" w:cs="Times New Roman"/>
          <w:color w:val="auto"/>
          <w:sz w:val="24"/>
          <w:szCs w:val="24"/>
          <w:highlight w:val="white"/>
        </w:rPr>
        <w:t xml:space="preserve">Vale relembrar </w:t>
      </w:r>
      <w:r>
        <w:rPr>
          <w:rFonts w:ascii="Times New Roman" w:eastAsia="Times New Roman" w:hAnsi="Times New Roman" w:cs="Times New Roman"/>
          <w:color w:val="auto"/>
          <w:sz w:val="24"/>
          <w:szCs w:val="24"/>
          <w:highlight w:val="white"/>
        </w:rPr>
        <w:t>os</w:t>
      </w:r>
      <w:r w:rsidRPr="00E5793E">
        <w:rPr>
          <w:rFonts w:ascii="Times New Roman" w:eastAsia="Times New Roman" w:hAnsi="Times New Roman" w:cs="Times New Roman"/>
          <w:color w:val="auto"/>
          <w:sz w:val="24"/>
          <w:szCs w:val="24"/>
          <w:highlight w:val="white"/>
        </w:rPr>
        <w:t xml:space="preserve"> objetivos</w:t>
      </w:r>
      <w:r>
        <w:rPr>
          <w:rFonts w:ascii="Times New Roman" w:eastAsia="Times New Roman" w:hAnsi="Times New Roman" w:cs="Times New Roman"/>
          <w:color w:val="auto"/>
          <w:sz w:val="24"/>
          <w:szCs w:val="24"/>
          <w:highlight w:val="white"/>
        </w:rPr>
        <w:t xml:space="preserve"> postos pelo PNE. E</w:t>
      </w:r>
      <w:r>
        <w:rPr>
          <w:rFonts w:ascii="Times New Roman" w:eastAsia="Times New Roman" w:hAnsi="Times New Roman" w:cs="Times New Roman"/>
          <w:sz w:val="24"/>
          <w:szCs w:val="24"/>
          <w:highlight w:val="white"/>
        </w:rPr>
        <w:t>stratégia 12.1: “O</w:t>
      </w:r>
      <w:r w:rsidRPr="0039154F">
        <w:rPr>
          <w:rFonts w:ascii="Times New Roman" w:eastAsia="Times New Roman" w:hAnsi="Times New Roman" w:cs="Times New Roman"/>
          <w:sz w:val="24"/>
          <w:szCs w:val="24"/>
          <w:highlight w:val="white"/>
        </w:rPr>
        <w:t>timizar a capacidade instalada da estrutura física e de recursos humanos das instituições públicas de educação superior, mediante ações planejadas e coordenadas, de forma a ampliar e interiorizar o acesso à g</w:t>
      </w:r>
      <w:r>
        <w:rPr>
          <w:rFonts w:ascii="Times New Roman" w:eastAsia="Times New Roman" w:hAnsi="Times New Roman" w:cs="Times New Roman"/>
          <w:sz w:val="24"/>
          <w:szCs w:val="24"/>
          <w:highlight w:val="white"/>
        </w:rPr>
        <w:t xml:space="preserve">raduação.”  </w:t>
      </w:r>
      <w:r w:rsidRPr="0039154F">
        <w:rPr>
          <w:rFonts w:ascii="Times New Roman" w:eastAsia="Times New Roman" w:hAnsi="Times New Roman" w:cs="Times New Roman"/>
          <w:sz w:val="24"/>
          <w:szCs w:val="24"/>
          <w:highlight w:val="white"/>
        </w:rPr>
        <w:t>Estratégia 12.2</w:t>
      </w:r>
      <w:r>
        <w:rPr>
          <w:rFonts w:ascii="Times New Roman" w:eastAsia="Times New Roman" w:hAnsi="Times New Roman" w:cs="Times New Roman"/>
          <w:sz w:val="24"/>
          <w:szCs w:val="24"/>
          <w:highlight w:val="white"/>
        </w:rPr>
        <w:t>: “A</w:t>
      </w:r>
      <w:r w:rsidRPr="0039154F">
        <w:rPr>
          <w:rFonts w:ascii="Times New Roman" w:eastAsia="Times New Roman" w:hAnsi="Times New Roman" w:cs="Times New Roman"/>
          <w:sz w:val="24"/>
          <w:szCs w:val="24"/>
          <w:highlight w:val="white"/>
        </w:rPr>
        <w:t xml:space="preserve">mpliar a oferta de vagas, por meio da expansão e interiorização da rede federal de educação superior, da Rede Federal de Educação Profissional, Científica e Tecnológica e do sistema Universidade Aberta do Brasil, considerando a densidade populacional” </w:t>
      </w:r>
      <w:r>
        <w:rPr>
          <w:rFonts w:ascii="Times New Roman" w:eastAsia="Times New Roman" w:hAnsi="Times New Roman" w:cs="Times New Roman"/>
          <w:sz w:val="24"/>
          <w:szCs w:val="24"/>
          <w:highlight w:val="white"/>
        </w:rPr>
        <w:t>(BRASIL, 2014).</w:t>
      </w:r>
    </w:p>
    <w:p w:rsidR="002538D1" w:rsidRPr="00095635"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1C2A3A">
        <w:rPr>
          <w:rFonts w:ascii="Times New Roman" w:eastAsia="Times New Roman" w:hAnsi="Times New Roman" w:cs="Times New Roman"/>
          <w:color w:val="auto"/>
          <w:sz w:val="24"/>
          <w:szCs w:val="24"/>
          <w:highlight w:val="white"/>
        </w:rPr>
        <w:t xml:space="preserve">Assim, apesar do discurso oficial apresentar os procedimentos governamentais para ampliar a oferta de ensino superior no país e atingir a Meta 12 do PNE, é em função dessa ideia de expansão contida nos documentos que se torna imperativo </w:t>
      </w:r>
      <w:r w:rsidRPr="001C2A3A">
        <w:rPr>
          <w:rFonts w:ascii="Times New Roman" w:eastAsia="Times New Roman" w:hAnsi="Times New Roman" w:cs="Times New Roman"/>
          <w:color w:val="auto"/>
          <w:sz w:val="24"/>
          <w:szCs w:val="24"/>
        </w:rPr>
        <w:t xml:space="preserve">avaliar se mais polos, nesses termos, podem </w:t>
      </w:r>
      <w:r w:rsidRPr="0039154F">
        <w:rPr>
          <w:rFonts w:ascii="Times New Roman" w:eastAsia="Times New Roman" w:hAnsi="Times New Roman" w:cs="Times New Roman"/>
          <w:color w:val="auto"/>
          <w:sz w:val="24"/>
          <w:szCs w:val="24"/>
        </w:rPr>
        <w:t>comprometer a qualidade já constituída dos cursos e formação discente. Tal cenário reforça a preocupação com a criação de indicadores de qualidade consistentes e coerentes, capazes de fornecer um mapeamento objetivo do trabalho que vem sendo desenvolvido nas instituições e sob que condições.</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highlight w:val="white"/>
        </w:rPr>
        <w:lastRenderedPageBreak/>
        <w:t>Esse quadro do setor nos últimos anos gerou a necessidade de ações regulatórias e avaliativas dos órgãos do poder público e das próprias instituições a fim de acompanhar o processo de expansão na EaD</w:t>
      </w:r>
      <w:r>
        <w:rPr>
          <w:rFonts w:ascii="Times New Roman" w:eastAsia="Times New Roman" w:hAnsi="Times New Roman" w:cs="Times New Roman"/>
          <w:sz w:val="24"/>
          <w:szCs w:val="24"/>
          <w:highlight w:val="white"/>
        </w:rPr>
        <w:t>, e</w:t>
      </w:r>
      <w:r w:rsidRPr="0039154F">
        <w:rPr>
          <w:rFonts w:ascii="Times New Roman" w:eastAsia="Times New Roman" w:hAnsi="Times New Roman" w:cs="Times New Roman"/>
          <w:sz w:val="24"/>
          <w:szCs w:val="24"/>
          <w:highlight w:val="white"/>
        </w:rPr>
        <w:t xml:space="preserve">m especial para criar mecanismos de permanência e excelência nos cursos a distância. </w:t>
      </w:r>
      <w:r>
        <w:rPr>
          <w:rFonts w:ascii="Times New Roman" w:eastAsia="Times New Roman" w:hAnsi="Times New Roman" w:cs="Times New Roman"/>
          <w:sz w:val="24"/>
          <w:szCs w:val="24"/>
          <w:highlight w:val="white"/>
        </w:rPr>
        <w:t>U</w:t>
      </w:r>
      <w:r w:rsidRPr="0039154F">
        <w:rPr>
          <w:rFonts w:ascii="Times New Roman" w:eastAsia="Times New Roman" w:hAnsi="Times New Roman" w:cs="Times New Roman"/>
          <w:sz w:val="24"/>
          <w:szCs w:val="24"/>
          <w:highlight w:val="white"/>
        </w:rPr>
        <w:t>m dos fatores que mais pesam na permanência dos estudantes é o relacionamento com os alunos. Para estabelecer essa relação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é chave conhecer o perfil dos ingressantes, como já apontam diversas pesquisas sobre transição (FAGUNDES et al</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2014).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red"/>
        </w:rPr>
      </w:pPr>
      <w:r w:rsidRPr="0039154F">
        <w:rPr>
          <w:rFonts w:ascii="Times New Roman" w:eastAsia="Times New Roman" w:hAnsi="Times New Roman" w:cs="Times New Roman"/>
          <w:sz w:val="24"/>
          <w:szCs w:val="24"/>
          <w:highlight w:val="white"/>
        </w:rPr>
        <w:t xml:space="preserve">Não obstante, ao analisar os dados coletados nos </w:t>
      </w:r>
      <w:r w:rsidRPr="0039154F">
        <w:rPr>
          <w:rFonts w:ascii="Times New Roman" w:eastAsia="Times New Roman" w:hAnsi="Times New Roman" w:cs="Times New Roman"/>
          <w:sz w:val="24"/>
          <w:szCs w:val="24"/>
        </w:rPr>
        <w:t>Censos da Educação Superior 2016</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ainda há indicações de mais de 140 mil vagas ociosas na rede federal de ensino por um lado, e por outro uma demanda por mão de obra qualificada na sociedade. Além das políticas de ocupação de vagas ociosas nas públicas, é central analisar o perfil do</w:t>
      </w:r>
      <w:r>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 ingressantes na educação a distância. Por </w:t>
      </w:r>
      <w:r>
        <w:rPr>
          <w:rFonts w:ascii="Times New Roman" w:eastAsia="Times New Roman" w:hAnsi="Times New Roman" w:cs="Times New Roman"/>
          <w:sz w:val="24"/>
          <w:szCs w:val="24"/>
        </w:rPr>
        <w:t>intermédio d</w:t>
      </w:r>
      <w:r w:rsidRPr="0039154F">
        <w:rPr>
          <w:rFonts w:ascii="Times New Roman" w:eastAsia="Times New Roman" w:hAnsi="Times New Roman" w:cs="Times New Roman"/>
          <w:sz w:val="24"/>
          <w:szCs w:val="24"/>
        </w:rPr>
        <w:t>eles também será possível verificar os fatores que levam a essa realidade ou se houve uma migração de setor administrativo e modalidade, e se a característica da educação a distância atende as necessidades desse novo público, bem como garantir que</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ao ingressar</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não ocorra evasão. A análise de transição é fator</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chave para chegar a esses dados, bem como </w:t>
      </w:r>
      <w:r w:rsidRPr="0039154F">
        <w:rPr>
          <w:rFonts w:ascii="Times New Roman" w:eastAsia="Times New Roman" w:hAnsi="Times New Roman" w:cs="Times New Roman"/>
          <w:sz w:val="24"/>
          <w:szCs w:val="24"/>
          <w:highlight w:val="white"/>
        </w:rPr>
        <w:t xml:space="preserve">sinalizar os caminhos adotados nas instituições para atender as necessidades da realidade contemporânea. </w:t>
      </w:r>
      <w:r w:rsidRPr="0039154F">
        <w:rPr>
          <w:rFonts w:ascii="Times New Roman" w:eastAsia="Times New Roman" w:hAnsi="Times New Roman" w:cs="Times New Roman"/>
          <w:sz w:val="24"/>
          <w:szCs w:val="24"/>
        </w:rPr>
        <w:t xml:space="preserve">Em síntese: a educação a distância de fato não pode mais ser percebida como um apêndice ou como uma solução emergencial para formações aligeiradas, como infelizmente foi percebida em vários momentos. Aos desafios da distância física precisam incorporar-se </w:t>
      </w:r>
      <w:r>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 xml:space="preserve">s possibilidades das tecnologias e de outras formas de aprendizagem. A qualidade das mesmas discussões que pautam os desafios do ensino presencial precisa </w:t>
      </w:r>
      <w:r>
        <w:rPr>
          <w:rFonts w:ascii="Times New Roman" w:eastAsia="Times New Roman" w:hAnsi="Times New Roman" w:cs="Times New Roman"/>
          <w:sz w:val="24"/>
          <w:szCs w:val="24"/>
        </w:rPr>
        <w:t>compor e estar</w:t>
      </w:r>
      <w:r w:rsidRPr="0039154F">
        <w:rPr>
          <w:rFonts w:ascii="Times New Roman" w:eastAsia="Times New Roman" w:hAnsi="Times New Roman" w:cs="Times New Roman"/>
          <w:sz w:val="24"/>
          <w:szCs w:val="24"/>
        </w:rPr>
        <w:t xml:space="preserve"> presente no avanço das propostas a distância. Entre eles, os desafios da qualidade e da avaliação.</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highlight w:val="white"/>
        </w:rPr>
      </w:pPr>
    </w:p>
    <w:p w:rsidR="002538D1" w:rsidRPr="0039154F" w:rsidRDefault="002538D1" w:rsidP="002538D1">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OBJETIVOS E PROCEDIMENTOS METODOLÓGICOS</w:t>
      </w:r>
    </w:p>
    <w:p w:rsidR="002538D1" w:rsidRDefault="002538D1" w:rsidP="002538D1">
      <w:pPr>
        <w:spacing w:after="0" w:line="360" w:lineRule="auto"/>
        <w:ind w:firstLine="709"/>
        <w:jc w:val="both"/>
        <w:rPr>
          <w:rFonts w:ascii="Times New Roman" w:eastAsia="Times New Roman" w:hAnsi="Times New Roman" w:cs="Times New Roman"/>
          <w:sz w:val="24"/>
          <w:szCs w:val="24"/>
        </w:rPr>
      </w:pPr>
      <w:bookmarkStart w:id="0" w:name="_30j0zll" w:colFirst="0" w:colLast="0"/>
      <w:bookmarkEnd w:id="0"/>
      <w:r w:rsidRPr="0039154F">
        <w:rPr>
          <w:rFonts w:ascii="Times New Roman" w:eastAsia="Times New Roman" w:hAnsi="Times New Roman" w:cs="Times New Roman"/>
          <w:sz w:val="24"/>
          <w:szCs w:val="24"/>
        </w:rPr>
        <w:t>O objetivo deste estudo</w:t>
      </w:r>
      <w:r>
        <w:rPr>
          <w:rFonts w:ascii="Times New Roman" w:eastAsia="Times New Roman" w:hAnsi="Times New Roman" w:cs="Times New Roman"/>
          <w:sz w:val="24"/>
          <w:szCs w:val="24"/>
        </w:rPr>
        <w:t xml:space="preserve"> </w:t>
      </w:r>
      <w:r w:rsidRPr="001C2A3A">
        <w:rPr>
          <w:rFonts w:ascii="Times New Roman" w:eastAsia="Times New Roman" w:hAnsi="Times New Roman" w:cs="Times New Roman"/>
          <w:color w:val="auto"/>
          <w:sz w:val="24"/>
          <w:szCs w:val="24"/>
        </w:rPr>
        <w:t>foi evidenciar o quadro atual da expansão do EaD no Ensino Superior brasileiro a fim de</w:t>
      </w:r>
      <w:r>
        <w:rPr>
          <w:rFonts w:ascii="Times New Roman" w:eastAsia="Times New Roman" w:hAnsi="Times New Roman" w:cs="Times New Roman"/>
          <w:color w:val="auto"/>
          <w:sz w:val="24"/>
          <w:szCs w:val="24"/>
        </w:rPr>
        <w:t xml:space="preserve"> </w:t>
      </w:r>
      <w:r w:rsidRPr="0039154F">
        <w:rPr>
          <w:rFonts w:ascii="Times New Roman" w:eastAsia="Times New Roman" w:hAnsi="Times New Roman" w:cs="Times New Roman"/>
          <w:sz w:val="24"/>
          <w:szCs w:val="24"/>
        </w:rPr>
        <w:t>identificar as principais dimensões de análise, extraídas de um questionário elaborado, que possa subsidiar a construção dos indicadores</w:t>
      </w:r>
      <w:r>
        <w:rPr>
          <w:rFonts w:ascii="Times New Roman" w:eastAsia="Times New Roman" w:hAnsi="Times New Roman" w:cs="Times New Roman"/>
          <w:sz w:val="24"/>
          <w:szCs w:val="24"/>
        </w:rPr>
        <w:t xml:space="preserve"> </w:t>
      </w:r>
      <w:r w:rsidRPr="001C2A3A">
        <w:rPr>
          <w:rFonts w:ascii="Times New Roman" w:eastAsia="Times New Roman" w:hAnsi="Times New Roman" w:cs="Times New Roman"/>
          <w:color w:val="auto"/>
          <w:sz w:val="24"/>
          <w:szCs w:val="24"/>
        </w:rPr>
        <w:t>de qualidade.</w:t>
      </w:r>
      <w:r w:rsidRPr="0039154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highlight w:val="white"/>
        </w:rPr>
        <w:t xml:space="preserve">Para tratar da questão proposta, valeu-se de um estudo de caso exploratório em uma universidade da rede privada do Estado do Rio de Janeiro. </w:t>
      </w:r>
      <w:r>
        <w:rPr>
          <w:rFonts w:ascii="Times New Roman" w:eastAsia="Times New Roman" w:hAnsi="Times New Roman" w:cs="Times New Roman"/>
          <w:sz w:val="24"/>
          <w:szCs w:val="24"/>
          <w:highlight w:val="white"/>
        </w:rPr>
        <w:t>O</w:t>
      </w:r>
      <w:r w:rsidRPr="0039154F">
        <w:rPr>
          <w:rFonts w:ascii="Times New Roman" w:eastAsia="Times New Roman" w:hAnsi="Times New Roman" w:cs="Times New Roman"/>
          <w:sz w:val="24"/>
          <w:szCs w:val="24"/>
          <w:highlight w:val="white"/>
        </w:rPr>
        <w:t xml:space="preserve"> estudo de caso se justifica pela contemporaneidade dos sujeitos que serve, </w:t>
      </w:r>
      <w:r>
        <w:rPr>
          <w:rFonts w:ascii="Times New Roman" w:eastAsia="Times New Roman" w:hAnsi="Times New Roman" w:cs="Times New Roman"/>
          <w:sz w:val="24"/>
          <w:szCs w:val="24"/>
          <w:highlight w:val="white"/>
        </w:rPr>
        <w:t>por dar base à</w:t>
      </w:r>
      <w:r w:rsidRPr="0039154F">
        <w:rPr>
          <w:rFonts w:ascii="Times New Roman" w:eastAsia="Times New Roman" w:hAnsi="Times New Roman" w:cs="Times New Roman"/>
          <w:sz w:val="24"/>
          <w:szCs w:val="24"/>
          <w:highlight w:val="white"/>
        </w:rPr>
        <w:t xml:space="preserve"> investigação e por </w:t>
      </w:r>
      <w:r w:rsidRPr="0039154F">
        <w:rPr>
          <w:rFonts w:ascii="Times New Roman" w:eastAsia="Times New Roman" w:hAnsi="Times New Roman" w:cs="Times New Roman"/>
          <w:sz w:val="24"/>
          <w:szCs w:val="24"/>
          <w:highlight w:val="white"/>
        </w:rPr>
        <w:lastRenderedPageBreak/>
        <w:t xml:space="preserve">sua capacidade de lidar com uma série de evidências procedentes dos questionários aplicados aos </w:t>
      </w:r>
      <w:r w:rsidRPr="0039154F">
        <w:rPr>
          <w:rFonts w:ascii="Times New Roman" w:eastAsia="Times New Roman" w:hAnsi="Times New Roman" w:cs="Times New Roman"/>
          <w:sz w:val="24"/>
          <w:szCs w:val="24"/>
        </w:rPr>
        <w:t xml:space="preserve">estudantes. </w:t>
      </w:r>
      <w:r>
        <w:rPr>
          <w:rFonts w:ascii="Times New Roman" w:eastAsia="Times New Roman" w:hAnsi="Times New Roman" w:cs="Times New Roman"/>
          <w:sz w:val="24"/>
          <w:szCs w:val="24"/>
        </w:rPr>
        <w:t>Como instrumento para a coleta de dados</w:t>
      </w:r>
      <w:r w:rsidRPr="0039154F">
        <w:rPr>
          <w:rFonts w:ascii="Times New Roman" w:eastAsia="Times New Roman" w:hAnsi="Times New Roman" w:cs="Times New Roman"/>
          <w:sz w:val="24"/>
          <w:szCs w:val="24"/>
        </w:rPr>
        <w:t xml:space="preserve">, elaborou-se um questionário </w:t>
      </w:r>
      <w:r>
        <w:rPr>
          <w:rFonts w:ascii="Times New Roman" w:eastAsia="Times New Roman" w:hAnsi="Times New Roman" w:cs="Times New Roman"/>
          <w:sz w:val="24"/>
          <w:szCs w:val="24"/>
        </w:rPr>
        <w:t>in</w:t>
      </w:r>
      <w:r w:rsidRPr="0039154F">
        <w:rPr>
          <w:rFonts w:ascii="Times New Roman" w:eastAsia="Times New Roman" w:hAnsi="Times New Roman" w:cs="Times New Roman"/>
          <w:sz w:val="24"/>
          <w:szCs w:val="24"/>
        </w:rPr>
        <w:t>titulado “Momento 1 - A transição para a Universidade”, para os alunos ingressantes nos diversos cursos a distânci</w:t>
      </w:r>
      <w:r>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 xml:space="preserve"> oferecidos pela instituição em análise. </w:t>
      </w:r>
    </w:p>
    <w:p w:rsidR="002538D1" w:rsidRPr="0039154F" w:rsidRDefault="002538D1" w:rsidP="002538D1">
      <w:pPr>
        <w:spacing w:after="0" w:line="360" w:lineRule="auto"/>
        <w:ind w:firstLine="709"/>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Hernández, Fernández e Baptista (1991) definem o questionário como “um conjunto de perguntas sobre uma ou mais variávei</w:t>
      </w:r>
      <w:r>
        <w:rPr>
          <w:rFonts w:ascii="Times New Roman" w:eastAsia="Times New Roman" w:hAnsi="Times New Roman" w:cs="Times New Roman"/>
          <w:sz w:val="24"/>
          <w:szCs w:val="24"/>
        </w:rPr>
        <w:t xml:space="preserve">s a serem medidas (categorias a </w:t>
      </w:r>
      <w:r w:rsidRPr="0039154F">
        <w:rPr>
          <w:rFonts w:ascii="Times New Roman" w:eastAsia="Times New Roman" w:hAnsi="Times New Roman" w:cs="Times New Roman"/>
          <w:sz w:val="24"/>
          <w:szCs w:val="24"/>
        </w:rPr>
        <w:t>descrever)”. Trata-se de um instrumento que tem capacidade de coletar informações variadas em uma única aplicação. Assim, o questionário é um recurso útil por sua aceitação conjunta de seções estruturadas, semiestruturadas e abertas (CABRERA; ESPIN, 1986). O questionário elaborado pretende coletar os dados referentes a acesso e expectativas dos alunos matriculados nos cursos a distância, e estabelece dimensões em relação ao perfil do aluno</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bem como suas expectativas com o curso e modalidade escolhidos. Ele contém um total de 33 perguntas organizadas em 4 dimensões. Em conjunto, compõe-se de 158 variáveis e um total de 125 categorias, como se pode observar no quadro abaixo:</w:t>
      </w:r>
    </w:p>
    <w:tbl>
      <w:tblPr>
        <w:tblW w:w="9633" w:type="dxa"/>
        <w:tblInd w:w="3"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firstRow="0" w:lastRow="0" w:firstColumn="0" w:lastColumn="0" w:noHBand="0" w:noVBand="0"/>
      </w:tblPr>
      <w:tblGrid>
        <w:gridCol w:w="1984"/>
        <w:gridCol w:w="3255"/>
        <w:gridCol w:w="1418"/>
        <w:gridCol w:w="2976"/>
      </w:tblGrid>
      <w:tr w:rsidR="002538D1" w:rsidRPr="0039154F" w:rsidTr="00DB19EF">
        <w:trPr>
          <w:trHeight w:val="300"/>
        </w:trPr>
        <w:tc>
          <w:tcPr>
            <w:tcW w:w="9633" w:type="dxa"/>
            <w:gridSpan w:val="4"/>
            <w:tcBorders>
              <w:bottom w:val="single" w:sz="4" w:space="0" w:color="D1D3D4"/>
            </w:tcBorders>
          </w:tcPr>
          <w:p w:rsidR="002538D1" w:rsidRPr="004A0BCD" w:rsidRDefault="002538D1" w:rsidP="00DB19EF">
            <w:pPr>
              <w:spacing w:before="35" w:after="0" w:line="240" w:lineRule="auto"/>
              <w:ind w:left="2987"/>
              <w:rPr>
                <w:rFonts w:ascii="Times New Roman" w:hAnsi="Times New Roman" w:cs="Times New Roman"/>
                <w:sz w:val="24"/>
                <w:szCs w:val="24"/>
              </w:rPr>
            </w:pPr>
            <w:r w:rsidRPr="004A0BCD">
              <w:rPr>
                <w:rFonts w:ascii="Times New Roman" w:hAnsi="Times New Roman" w:cs="Times New Roman"/>
                <w:b/>
                <w:color w:val="231F20"/>
                <w:sz w:val="24"/>
                <w:szCs w:val="24"/>
              </w:rPr>
              <w:t xml:space="preserve">Quadro 1 </w:t>
            </w:r>
            <w:r w:rsidRPr="004A0BCD">
              <w:rPr>
                <w:rFonts w:ascii="Times New Roman" w:hAnsi="Times New Roman" w:cs="Times New Roman"/>
                <w:color w:val="231F20"/>
                <w:sz w:val="24"/>
                <w:szCs w:val="24"/>
              </w:rPr>
              <w:t xml:space="preserve">- </w:t>
            </w:r>
            <w:r w:rsidRPr="004A0BCD">
              <w:rPr>
                <w:rFonts w:ascii="Times New Roman" w:hAnsi="Times New Roman" w:cs="Times New Roman"/>
                <w:b/>
                <w:color w:val="231F20"/>
                <w:sz w:val="24"/>
                <w:szCs w:val="24"/>
              </w:rPr>
              <w:t xml:space="preserve">Questionário: variáveis e categorias </w:t>
            </w:r>
            <w:r w:rsidRPr="004A0BCD">
              <w:rPr>
                <w:rFonts w:ascii="Times New Roman" w:hAnsi="Times New Roman" w:cs="Times New Roman"/>
                <w:color w:val="231F20"/>
                <w:sz w:val="24"/>
                <w:szCs w:val="24"/>
              </w:rPr>
              <w:t xml:space="preserve"> </w:t>
            </w:r>
          </w:p>
        </w:tc>
      </w:tr>
      <w:tr w:rsidR="002538D1" w:rsidRPr="0039154F" w:rsidTr="00DB19EF">
        <w:trPr>
          <w:trHeight w:val="300"/>
        </w:trPr>
        <w:tc>
          <w:tcPr>
            <w:tcW w:w="1984"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jc w:val="center"/>
              <w:rPr>
                <w:rFonts w:ascii="Times New Roman" w:hAnsi="Times New Roman" w:cs="Times New Roman"/>
                <w:b/>
                <w:sz w:val="20"/>
                <w:szCs w:val="20"/>
              </w:rPr>
            </w:pPr>
            <w:r w:rsidRPr="0039154F">
              <w:rPr>
                <w:rFonts w:ascii="Times New Roman" w:hAnsi="Times New Roman" w:cs="Times New Roman"/>
                <w:b/>
                <w:color w:val="231F20"/>
                <w:sz w:val="20"/>
                <w:szCs w:val="20"/>
              </w:rPr>
              <w:t>Dimensões</w:t>
            </w: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jc w:val="center"/>
              <w:rPr>
                <w:rFonts w:ascii="Times New Roman" w:hAnsi="Times New Roman" w:cs="Times New Roman"/>
                <w:b/>
                <w:sz w:val="20"/>
                <w:szCs w:val="20"/>
              </w:rPr>
            </w:pPr>
            <w:r w:rsidRPr="0039154F">
              <w:rPr>
                <w:rFonts w:ascii="Times New Roman" w:hAnsi="Times New Roman" w:cs="Times New Roman"/>
                <w:b/>
                <w:color w:val="231F20"/>
                <w:sz w:val="20"/>
                <w:szCs w:val="20"/>
              </w:rPr>
              <w:t>Indicadores</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79"/>
              <w:jc w:val="center"/>
              <w:rPr>
                <w:rFonts w:ascii="Times New Roman" w:hAnsi="Times New Roman" w:cs="Times New Roman"/>
                <w:b/>
                <w:sz w:val="20"/>
                <w:szCs w:val="20"/>
              </w:rPr>
            </w:pPr>
            <w:r w:rsidRPr="0039154F">
              <w:rPr>
                <w:rFonts w:ascii="Times New Roman" w:hAnsi="Times New Roman" w:cs="Times New Roman"/>
                <w:b/>
                <w:sz w:val="20"/>
                <w:szCs w:val="20"/>
              </w:rPr>
              <w:t>Itens</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79"/>
              <w:jc w:val="center"/>
              <w:rPr>
                <w:rFonts w:ascii="Times New Roman" w:hAnsi="Times New Roman" w:cs="Times New Roman"/>
                <w:b/>
                <w:sz w:val="20"/>
                <w:szCs w:val="20"/>
              </w:rPr>
            </w:pPr>
            <w:r w:rsidRPr="0039154F">
              <w:rPr>
                <w:rFonts w:ascii="Times New Roman" w:hAnsi="Times New Roman" w:cs="Times New Roman"/>
                <w:b/>
                <w:color w:val="231F20"/>
                <w:sz w:val="20"/>
                <w:szCs w:val="20"/>
              </w:rPr>
              <w:t>Tipo de questão</w:t>
            </w:r>
          </w:p>
        </w:tc>
      </w:tr>
      <w:tr w:rsidR="002538D1" w:rsidRPr="0039154F" w:rsidTr="00DB19EF">
        <w:trPr>
          <w:trHeight w:val="260"/>
        </w:trPr>
        <w:tc>
          <w:tcPr>
            <w:tcW w:w="1984" w:type="dxa"/>
            <w:vMerge w:val="restart"/>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r w:rsidRPr="0039154F">
              <w:rPr>
                <w:rFonts w:ascii="Times New Roman" w:hAnsi="Times New Roman" w:cs="Times New Roman"/>
                <w:sz w:val="20"/>
                <w:szCs w:val="20"/>
              </w:rPr>
              <w:t xml:space="preserve">Perfil dos estudantes </w:t>
            </w: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1. Sexo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2. Idade</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2. Portador de Necessidade Especial</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Pr>
                <w:rFonts w:ascii="Times New Roman" w:hAnsi="Times New Roman" w:cs="Times New Roman"/>
                <w:sz w:val="20"/>
                <w:szCs w:val="20"/>
              </w:rPr>
              <w:t>Múltipla escolha e a</w:t>
            </w:r>
            <w:r w:rsidRPr="0039154F">
              <w:rPr>
                <w:rFonts w:ascii="Times New Roman" w:hAnsi="Times New Roman" w:cs="Times New Roman"/>
                <w:sz w:val="20"/>
                <w:szCs w:val="20"/>
              </w:rPr>
              <w:t>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4. País de procedência</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5. Cidade de procedência</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6. Local de moradia</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7. Grupo de convívio direto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7</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Pr>
                <w:rFonts w:ascii="Times New Roman" w:hAnsi="Times New Roman" w:cs="Times New Roman"/>
                <w:sz w:val="20"/>
                <w:szCs w:val="20"/>
              </w:rPr>
              <w:t>Múltipla escolha e a</w:t>
            </w:r>
            <w:r w:rsidRPr="0039154F">
              <w:rPr>
                <w:rFonts w:ascii="Times New Roman" w:hAnsi="Times New Roman" w:cs="Times New Roman"/>
                <w:sz w:val="20"/>
                <w:szCs w:val="20"/>
              </w:rPr>
              <w:t>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8. Opção de curso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9. Forma de ingresso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 e 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10. Tentativas de ingresso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11. Nota de ingresso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12.</w:t>
            </w:r>
            <w:r>
              <w:rPr>
                <w:rFonts w:ascii="Times New Roman" w:hAnsi="Times New Roman" w:cs="Times New Roman"/>
                <w:color w:val="231F20"/>
                <w:sz w:val="20"/>
                <w:szCs w:val="20"/>
              </w:rPr>
              <w:t xml:space="preserve"> </w:t>
            </w:r>
            <w:r w:rsidRPr="0039154F">
              <w:rPr>
                <w:rFonts w:ascii="Times New Roman" w:hAnsi="Times New Roman" w:cs="Times New Roman"/>
                <w:color w:val="231F20"/>
                <w:sz w:val="20"/>
                <w:szCs w:val="20"/>
              </w:rPr>
              <w:t>Experiência em EaD</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Dicotômica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13.</w:t>
            </w:r>
            <w:r>
              <w:rPr>
                <w:rFonts w:ascii="Times New Roman" w:hAnsi="Times New Roman" w:cs="Times New Roman"/>
                <w:color w:val="231F20"/>
                <w:sz w:val="20"/>
                <w:szCs w:val="20"/>
              </w:rPr>
              <w:t xml:space="preserve"> </w:t>
            </w:r>
            <w:r w:rsidRPr="0039154F">
              <w:rPr>
                <w:rFonts w:ascii="Times New Roman" w:hAnsi="Times New Roman" w:cs="Times New Roman"/>
                <w:color w:val="231F20"/>
                <w:sz w:val="20"/>
                <w:szCs w:val="20"/>
              </w:rPr>
              <w:t>Background familiar</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10</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14. Quantitativo de irmãos</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15. Irmão e acesso à universidade</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 xml:space="preserve">16. Fonte de sustento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6</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Dicotômica e 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17. Carga horária de trabalho seminal</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Encadeada e Aberta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color w:val="231F20"/>
                <w:sz w:val="20"/>
                <w:szCs w:val="20"/>
              </w:rPr>
            </w:pPr>
            <w:r w:rsidRPr="0039154F">
              <w:rPr>
                <w:rFonts w:ascii="Times New Roman" w:hAnsi="Times New Roman" w:cs="Times New Roman"/>
                <w:color w:val="231F20"/>
                <w:sz w:val="20"/>
                <w:szCs w:val="20"/>
              </w:rPr>
              <w:t>18. Carga horária de trabalho final de semana</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after="0" w:line="240" w:lineRule="auto"/>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Encadeada e Aberta</w:t>
            </w:r>
          </w:p>
        </w:tc>
      </w:tr>
      <w:tr w:rsidR="002538D1" w:rsidRPr="0039154F" w:rsidTr="00DB19EF">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rPr>
                <w:rFonts w:ascii="Times New Roman" w:hAnsi="Times New Roman" w:cs="Times New Roman"/>
                <w:sz w:val="20"/>
                <w:szCs w:val="20"/>
              </w:rPr>
            </w:pPr>
            <w:r w:rsidRPr="0039154F">
              <w:rPr>
                <w:rFonts w:ascii="Times New Roman" w:hAnsi="Times New Roman" w:cs="Times New Roman"/>
                <w:color w:val="231F20"/>
                <w:sz w:val="20"/>
                <w:szCs w:val="20"/>
              </w:rPr>
              <w:t xml:space="preserve">Experiência educativa prévia </w:t>
            </w: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19. Tipo de Ensino Médio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20. Rede de Ensino Médio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21. Turno de Ensino Médio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Múltipla Escolha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43" w:after="0" w:line="240" w:lineRule="auto"/>
              <w:ind w:left="80" w:right="54"/>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22. Ano de conclusão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color w:val="231F20"/>
                <w:sz w:val="20"/>
                <w:szCs w:val="20"/>
              </w:rPr>
              <w:t>Aberta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23. Satisfação com o ensino médio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color w:val="231F20"/>
                <w:sz w:val="20"/>
                <w:szCs w:val="20"/>
              </w:rPr>
              <w:t>Dicotômica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24. Graduação anterior</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 e aberta</w:t>
            </w:r>
          </w:p>
        </w:tc>
      </w:tr>
      <w:tr w:rsidR="002538D1" w:rsidRPr="0039154F" w:rsidTr="00DB19EF">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43" w:after="0" w:line="240" w:lineRule="auto"/>
              <w:ind w:left="80" w:right="102"/>
              <w:rPr>
                <w:rFonts w:ascii="Times New Roman" w:hAnsi="Times New Roman" w:cs="Times New Roman"/>
                <w:sz w:val="20"/>
                <w:szCs w:val="20"/>
              </w:rPr>
            </w:pPr>
            <w:r w:rsidRPr="0039154F">
              <w:rPr>
                <w:rFonts w:ascii="Times New Roman" w:hAnsi="Times New Roman" w:cs="Times New Roman"/>
                <w:sz w:val="20"/>
                <w:szCs w:val="20"/>
              </w:rPr>
              <w:t xml:space="preserve">Escolha dos estudos universitários </w:t>
            </w: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25. Grau de influência para escolha de graduação EaD</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20</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color w:val="231F20"/>
                <w:sz w:val="20"/>
                <w:szCs w:val="20"/>
              </w:rPr>
              <w:t>Classificatória e aberta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26. Grau de influência para escolha de </w:t>
            </w:r>
            <w:r>
              <w:rPr>
                <w:rFonts w:ascii="Times New Roman" w:hAnsi="Times New Roman" w:cs="Times New Roman"/>
                <w:sz w:val="20"/>
                <w:szCs w:val="20"/>
              </w:rPr>
              <w:t>u</w:t>
            </w:r>
            <w:r w:rsidRPr="0039154F">
              <w:rPr>
                <w:rFonts w:ascii="Times New Roman" w:hAnsi="Times New Roman" w:cs="Times New Roman"/>
                <w:sz w:val="20"/>
                <w:szCs w:val="20"/>
              </w:rPr>
              <w:t>niversidade</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2538D1" w:rsidRPr="0039154F" w:rsidTr="00DB19EF">
        <w:trPr>
          <w:trHeight w:val="300"/>
        </w:trPr>
        <w:tc>
          <w:tcPr>
            <w:tcW w:w="1984" w:type="dxa"/>
            <w:vMerge w:val="restart"/>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43" w:after="0" w:line="240" w:lineRule="auto"/>
              <w:ind w:left="80"/>
              <w:rPr>
                <w:rFonts w:ascii="Times New Roman" w:hAnsi="Times New Roman" w:cs="Times New Roman"/>
                <w:sz w:val="20"/>
                <w:szCs w:val="20"/>
              </w:rPr>
            </w:pPr>
            <w:r w:rsidRPr="0039154F">
              <w:rPr>
                <w:rFonts w:ascii="Times New Roman" w:hAnsi="Times New Roman" w:cs="Times New Roman"/>
                <w:color w:val="231F20"/>
                <w:sz w:val="20"/>
                <w:szCs w:val="20"/>
              </w:rPr>
              <w:t xml:space="preserve">Acesso à </w:t>
            </w:r>
            <w:r>
              <w:rPr>
                <w:rFonts w:ascii="Times New Roman" w:hAnsi="Times New Roman" w:cs="Times New Roman"/>
                <w:color w:val="231F20"/>
                <w:sz w:val="20"/>
                <w:szCs w:val="20"/>
              </w:rPr>
              <w:t>u</w:t>
            </w:r>
            <w:r w:rsidRPr="0039154F">
              <w:rPr>
                <w:rFonts w:ascii="Times New Roman" w:hAnsi="Times New Roman" w:cs="Times New Roman"/>
                <w:color w:val="231F20"/>
                <w:sz w:val="20"/>
                <w:szCs w:val="20"/>
              </w:rPr>
              <w:t>niversidade</w:t>
            </w: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28. Grau de motivação no acesso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29. Grau de informação sobre o curso</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Classificatória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30. Grau de reforço de conhecimentos ao curso de ingresso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8</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Classificatória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31. Grau de conhecimento e operacionalização para o estudo na EaD</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5</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Classificatória e aberta</w:t>
            </w:r>
          </w:p>
        </w:tc>
      </w:tr>
      <w:tr w:rsidR="002538D1" w:rsidRPr="0039154F" w:rsidTr="00DB19EF">
        <w:trPr>
          <w:trHeight w:val="30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32.  Tempo de dedicação ao estudo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4</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Resposta única</w:t>
            </w:r>
          </w:p>
        </w:tc>
      </w:tr>
      <w:tr w:rsidR="002538D1" w:rsidRPr="0039154F" w:rsidTr="00DB19EF">
        <w:trPr>
          <w:trHeight w:val="280"/>
        </w:trPr>
        <w:tc>
          <w:tcPr>
            <w:tcW w:w="1984" w:type="dxa"/>
            <w:vMerge/>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rPr>
                <w:rFonts w:ascii="Times New Roman" w:hAnsi="Times New Roman" w:cs="Times New Roman"/>
                <w:sz w:val="20"/>
                <w:szCs w:val="20"/>
              </w:rPr>
            </w:pPr>
          </w:p>
        </w:tc>
        <w:tc>
          <w:tcPr>
            <w:tcW w:w="3255"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left="80"/>
              <w:rPr>
                <w:rFonts w:ascii="Times New Roman" w:hAnsi="Times New Roman" w:cs="Times New Roman"/>
                <w:sz w:val="20"/>
                <w:szCs w:val="20"/>
              </w:rPr>
            </w:pPr>
            <w:r w:rsidRPr="0039154F">
              <w:rPr>
                <w:rFonts w:ascii="Times New Roman" w:hAnsi="Times New Roman" w:cs="Times New Roman"/>
                <w:sz w:val="20"/>
                <w:szCs w:val="20"/>
              </w:rPr>
              <w:t xml:space="preserve">33. Curso que gostaria de realizar com entrada direta </w:t>
            </w:r>
          </w:p>
        </w:tc>
        <w:tc>
          <w:tcPr>
            <w:tcW w:w="1418"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spacing w:before="35" w:after="0" w:line="240" w:lineRule="auto"/>
              <w:ind w:right="248"/>
              <w:jc w:val="center"/>
              <w:rPr>
                <w:rFonts w:ascii="Times New Roman" w:hAnsi="Times New Roman" w:cs="Times New Roman"/>
                <w:sz w:val="20"/>
                <w:szCs w:val="20"/>
              </w:rPr>
            </w:pPr>
            <w:r w:rsidRPr="0039154F">
              <w:rPr>
                <w:rFonts w:ascii="Times New Roman" w:hAnsi="Times New Roman" w:cs="Times New Roman"/>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2538D1" w:rsidRPr="0039154F" w:rsidRDefault="002538D1" w:rsidP="00DB19EF">
            <w:pPr>
              <w:jc w:val="center"/>
              <w:rPr>
                <w:rFonts w:ascii="Times New Roman" w:hAnsi="Times New Roman" w:cs="Times New Roman"/>
                <w:sz w:val="20"/>
                <w:szCs w:val="20"/>
              </w:rPr>
            </w:pPr>
            <w:r w:rsidRPr="0039154F">
              <w:rPr>
                <w:rFonts w:ascii="Times New Roman" w:hAnsi="Times New Roman" w:cs="Times New Roman"/>
                <w:sz w:val="20"/>
                <w:szCs w:val="20"/>
              </w:rPr>
              <w:t>Aberta</w:t>
            </w:r>
          </w:p>
        </w:tc>
      </w:tr>
    </w:tbl>
    <w:p w:rsidR="002538D1" w:rsidRDefault="002538D1" w:rsidP="002538D1">
      <w:pPr>
        <w:spacing w:after="0" w:line="360" w:lineRule="auto"/>
        <w:jc w:val="both"/>
        <w:rPr>
          <w:rFonts w:ascii="Times New Roman" w:eastAsia="Times New Roman" w:hAnsi="Times New Roman" w:cs="Times New Roman"/>
          <w:sz w:val="20"/>
          <w:szCs w:val="20"/>
          <w:highlight w:val="white"/>
        </w:rPr>
      </w:pPr>
    </w:p>
    <w:p w:rsidR="002538D1" w:rsidRDefault="002538D1" w:rsidP="002538D1">
      <w:pPr>
        <w:spacing w:after="0" w:line="360" w:lineRule="auto"/>
        <w:jc w:val="center"/>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w:t>
      </w:r>
      <w:r>
        <w:rPr>
          <w:rFonts w:ascii="Times New Roman" w:eastAsia="Times New Roman" w:hAnsi="Times New Roman" w:cs="Times New Roman"/>
          <w:sz w:val="20"/>
          <w:szCs w:val="20"/>
        </w:rPr>
        <w:t xml:space="preserve"> (2018).</w:t>
      </w: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 elaboração do questionário foi realizada seguindo os passos recomendados para a elaboração, a validação e, finalmente, a prova</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 da versão pré-final, de acordo as recomendações de Manzado e Santos (2012) e Fagundes (2014).</w:t>
      </w:r>
    </w:p>
    <w:p w:rsidR="002538D1" w:rsidRPr="0039154F" w:rsidRDefault="002538D1" w:rsidP="002538D1">
      <w:pPr>
        <w:spacing w:after="0" w:line="360" w:lineRule="auto"/>
        <w:jc w:val="both"/>
        <w:rPr>
          <w:rFonts w:ascii="Times New Roman" w:eastAsia="Times New Roman" w:hAnsi="Times New Roman" w:cs="Times New Roman"/>
          <w:b/>
          <w:sz w:val="24"/>
          <w:szCs w:val="24"/>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Validação do questionário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A primeira versão do questionário foi avaliada quanto ao seu entendimento por professores </w:t>
      </w:r>
      <w:r w:rsidRPr="0030460F">
        <w:rPr>
          <w:rFonts w:ascii="Times New Roman" w:eastAsia="Times New Roman" w:hAnsi="Times New Roman" w:cs="Times New Roman"/>
          <w:sz w:val="24"/>
          <w:szCs w:val="24"/>
        </w:rPr>
        <w:t>experts</w:t>
      </w:r>
      <w:r w:rsidRPr="00CA3043">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em metodologia de pesquisa, por uma pesquisadora da área de educação superior, e pela coordenadora de Inovação Pedagógica da Universidade em questão. Avaliou-se o conteúdo das perguntas. Depois dos ajustes necessários, a versão pré-final do questionário foi testada em um estudo</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w:t>
      </w:r>
    </w:p>
    <w:p w:rsidR="002538D1" w:rsidRPr="0039154F" w:rsidRDefault="002538D1" w:rsidP="002538D1">
      <w:pPr>
        <w:spacing w:after="0" w:line="360" w:lineRule="auto"/>
        <w:jc w:val="both"/>
        <w:rPr>
          <w:rFonts w:ascii="Times New Roman" w:eastAsia="Times New Roman" w:hAnsi="Times New Roman" w:cs="Times New Roman"/>
          <w:b/>
          <w:sz w:val="24"/>
          <w:szCs w:val="24"/>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Prova</w:t>
      </w:r>
      <w:r>
        <w:rPr>
          <w:rFonts w:ascii="Times New Roman" w:eastAsia="Times New Roman" w:hAnsi="Times New Roman" w:cs="Times New Roman"/>
          <w:b/>
          <w:sz w:val="24"/>
          <w:szCs w:val="24"/>
        </w:rPr>
        <w:t xml:space="preserve"> </w:t>
      </w:r>
      <w:r w:rsidRPr="0039154F">
        <w:rPr>
          <w:rFonts w:ascii="Times New Roman" w:eastAsia="Times New Roman" w:hAnsi="Times New Roman" w:cs="Times New Roman"/>
          <w:b/>
          <w:sz w:val="24"/>
          <w:szCs w:val="24"/>
        </w:rPr>
        <w:t xml:space="preserve">piloto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O objetivo do estudo</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 foi estabelecer se o questionário seria satisfatoriamente compreendido e completado pela população</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 xml:space="preserve">objeto. A possibilidade de ajuste ficou em 10%, caso os participantes tivessem dificuldade em compreender e responder algum item do instrumento. </w:t>
      </w:r>
    </w:p>
    <w:p w:rsidR="002538D1" w:rsidRPr="0039154F" w:rsidRDefault="002538D1" w:rsidP="002538D1">
      <w:pPr>
        <w:spacing w:after="0" w:line="360" w:lineRule="auto"/>
        <w:jc w:val="both"/>
        <w:rPr>
          <w:rFonts w:ascii="Times New Roman" w:eastAsia="Times New Roman" w:hAnsi="Times New Roman" w:cs="Times New Roman"/>
          <w:b/>
          <w:sz w:val="24"/>
          <w:szCs w:val="24"/>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Amostra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Os sujeitos que responderam ao questionário foram 84 alunos que ingressaram na universidade nos diversos cursos da modalidade a distância. Es</w:t>
      </w:r>
      <w:r>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a amostra foi selecionada de modo aleatório na instituição em fevereiro de 2018. </w:t>
      </w:r>
    </w:p>
    <w:p w:rsidR="002538D1" w:rsidRPr="0039154F" w:rsidRDefault="002538D1" w:rsidP="002538D1">
      <w:pPr>
        <w:spacing w:after="0" w:line="360" w:lineRule="auto"/>
        <w:jc w:val="both"/>
        <w:rPr>
          <w:rFonts w:ascii="Times New Roman" w:eastAsia="Times New Roman" w:hAnsi="Times New Roman" w:cs="Times New Roman"/>
          <w:b/>
          <w:sz w:val="24"/>
          <w:szCs w:val="24"/>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 xml:space="preserve">Coleta dos dados </w:t>
      </w:r>
    </w:p>
    <w:p w:rsidR="002538D1"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A coleta dos dados foi realizada em março de 2018. A amostra do estud</w:t>
      </w:r>
      <w:r>
        <w:rPr>
          <w:rFonts w:ascii="Times New Roman" w:eastAsia="Times New Roman" w:hAnsi="Times New Roman" w:cs="Times New Roman"/>
          <w:sz w:val="24"/>
          <w:szCs w:val="24"/>
        </w:rPr>
        <w:t>o piloto foi identificada pela P</w:t>
      </w:r>
      <w:r w:rsidRPr="0039154F">
        <w:rPr>
          <w:rFonts w:ascii="Times New Roman" w:eastAsia="Times New Roman" w:hAnsi="Times New Roman" w:cs="Times New Roman"/>
          <w:sz w:val="24"/>
          <w:szCs w:val="24"/>
        </w:rPr>
        <w:t>ró-</w:t>
      </w:r>
      <w:r>
        <w:rPr>
          <w:rFonts w:ascii="Times New Roman" w:eastAsia="Times New Roman" w:hAnsi="Times New Roman" w:cs="Times New Roman"/>
          <w:sz w:val="24"/>
          <w:szCs w:val="24"/>
        </w:rPr>
        <w:t>Reitoria de A</w:t>
      </w:r>
      <w:r w:rsidRPr="0039154F">
        <w:rPr>
          <w:rFonts w:ascii="Times New Roman" w:eastAsia="Times New Roman" w:hAnsi="Times New Roman" w:cs="Times New Roman"/>
          <w:sz w:val="24"/>
          <w:szCs w:val="24"/>
        </w:rPr>
        <w:t xml:space="preserve">ssuntos </w:t>
      </w:r>
      <w:r>
        <w:rPr>
          <w:rFonts w:ascii="Times New Roman" w:eastAsia="Times New Roman" w:hAnsi="Times New Roman" w:cs="Times New Roman"/>
          <w:sz w:val="24"/>
          <w:szCs w:val="24"/>
        </w:rPr>
        <w:t>E</w:t>
      </w:r>
      <w:r w:rsidRPr="0039154F">
        <w:rPr>
          <w:rFonts w:ascii="Times New Roman" w:eastAsia="Times New Roman" w:hAnsi="Times New Roman" w:cs="Times New Roman"/>
          <w:sz w:val="24"/>
          <w:szCs w:val="24"/>
        </w:rPr>
        <w:t xml:space="preserve">studantis da instituição, que enviou o questionário </w:t>
      </w:r>
      <w:r>
        <w:rPr>
          <w:rFonts w:ascii="Times New Roman" w:eastAsia="Times New Roman" w:hAnsi="Times New Roman" w:cs="Times New Roman"/>
          <w:sz w:val="24"/>
          <w:szCs w:val="24"/>
        </w:rPr>
        <w:t xml:space="preserve">de forma </w:t>
      </w:r>
      <w:r w:rsidRPr="0039154F">
        <w:rPr>
          <w:rFonts w:ascii="Times New Roman" w:eastAsia="Times New Roman" w:hAnsi="Times New Roman" w:cs="Times New Roman"/>
          <w:sz w:val="24"/>
          <w:szCs w:val="24"/>
        </w:rPr>
        <w:t>on</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line à lista de alunos ingressantes e matriculados </w:t>
      </w:r>
      <w:r>
        <w:rPr>
          <w:rFonts w:ascii="Times New Roman" w:eastAsia="Times New Roman" w:hAnsi="Times New Roman" w:cs="Times New Roman"/>
          <w:sz w:val="24"/>
          <w:szCs w:val="24"/>
        </w:rPr>
        <w:t>no</w:t>
      </w:r>
      <w:r w:rsidRPr="00391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primeiro</w:t>
      </w:r>
      <w:r w:rsidRPr="0039154F">
        <w:rPr>
          <w:rFonts w:ascii="Times New Roman" w:eastAsia="Times New Roman" w:hAnsi="Times New Roman" w:cs="Times New Roman"/>
          <w:sz w:val="24"/>
          <w:szCs w:val="24"/>
        </w:rPr>
        <w:t xml:space="preserve"> período </w:t>
      </w:r>
      <w:r>
        <w:rPr>
          <w:rFonts w:ascii="Times New Roman" w:eastAsia="Times New Roman" w:hAnsi="Times New Roman" w:cs="Times New Roman"/>
          <w:sz w:val="24"/>
          <w:szCs w:val="24"/>
        </w:rPr>
        <w:t>do ano letivo.</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rPr>
        <w:t>RESULTADO E DISCUSSÃO DO ESTUDO</w:t>
      </w:r>
      <w:r>
        <w:rPr>
          <w:rFonts w:ascii="Times New Roman" w:eastAsia="Times New Roman" w:hAnsi="Times New Roman" w:cs="Times New Roman"/>
          <w:b/>
          <w:sz w:val="24"/>
          <w:szCs w:val="24"/>
        </w:rPr>
        <w:t xml:space="preserve"> </w:t>
      </w:r>
      <w:r w:rsidRPr="0039154F">
        <w:rPr>
          <w:rFonts w:ascii="Times New Roman" w:eastAsia="Times New Roman" w:hAnsi="Times New Roman" w:cs="Times New Roman"/>
          <w:b/>
          <w:sz w:val="24"/>
          <w:szCs w:val="24"/>
        </w:rPr>
        <w:t>PILOTO</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relação à</w:t>
      </w:r>
      <w:r w:rsidRPr="0039154F">
        <w:rPr>
          <w:rFonts w:ascii="Times New Roman" w:eastAsia="Times New Roman" w:hAnsi="Times New Roman" w:cs="Times New Roman"/>
          <w:sz w:val="24"/>
          <w:szCs w:val="24"/>
        </w:rPr>
        <w:t xml:space="preserve"> dimensão 1</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perfil dos estudantes, a maioria dos alunos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sendo (52%) mulheres e (48%) homens, entre 26 e 40 anos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que respondeu ao questionário</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 estão matriculados no</w:t>
      </w:r>
      <w:r>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 curso</w:t>
      </w:r>
      <w:r>
        <w:rPr>
          <w:rFonts w:ascii="Times New Roman" w:eastAsia="Times New Roman" w:hAnsi="Times New Roman" w:cs="Times New Roman"/>
          <w:sz w:val="24"/>
          <w:szCs w:val="24"/>
        </w:rPr>
        <w:t>s de</w:t>
      </w:r>
      <w:r w:rsidRPr="0039154F">
        <w:rPr>
          <w:rFonts w:ascii="Times New Roman" w:eastAsia="Times New Roman" w:hAnsi="Times New Roman" w:cs="Times New Roman"/>
          <w:sz w:val="24"/>
          <w:szCs w:val="24"/>
        </w:rPr>
        <w:t xml:space="preserve"> Engenharia de Produção (17,9%), Administração (9,5%), Análise de Desenvolvimento de Sistemas (9,5%%), Letras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Português/Inglês</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(9,5%), seguido de Ciências Contábeis, Ciências Econômicas, Negócios Imobiliários, Processos Gerenciais, Gestão Financeira, Gestão de Tecnologia da Informação (com 4,8% cada).  Desses alunos</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52% realizaram vestibular da instituição e somente 23% entraram como notas do Enem. Dos 84 respondentes, 38% já realiz</w:t>
      </w:r>
      <w:r>
        <w:rPr>
          <w:rFonts w:ascii="Times New Roman" w:eastAsia="Times New Roman" w:hAnsi="Times New Roman" w:cs="Times New Roman"/>
          <w:sz w:val="24"/>
          <w:szCs w:val="24"/>
        </w:rPr>
        <w:t>aram</w:t>
      </w:r>
      <w:r w:rsidRPr="0039154F">
        <w:rPr>
          <w:rFonts w:ascii="Times New Roman" w:eastAsia="Times New Roman" w:hAnsi="Times New Roman" w:cs="Times New Roman"/>
          <w:sz w:val="24"/>
          <w:szCs w:val="24"/>
        </w:rPr>
        <w:t xml:space="preserve"> outro curso na modalidade a distância e 77,7%</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dos estudantes exercem atividade remunerada. Quanto ao background familiar</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8,3%</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tem a mãe e 13,1% o pai com superior completo</w:t>
      </w:r>
      <w:r>
        <w:rPr>
          <w:rFonts w:ascii="Times New Roman" w:eastAsia="Times New Roman" w:hAnsi="Times New Roman" w:cs="Times New Roman"/>
          <w:sz w:val="24"/>
          <w:szCs w:val="24"/>
        </w:rPr>
        <w:t xml:space="preserve"> — o</w:t>
      </w:r>
      <w:r w:rsidRPr="0039154F">
        <w:rPr>
          <w:rFonts w:ascii="Times New Roman" w:eastAsia="Times New Roman" w:hAnsi="Times New Roman" w:cs="Times New Roman"/>
          <w:sz w:val="24"/>
          <w:szCs w:val="24"/>
        </w:rPr>
        <w:t xml:space="preserve"> que começa a indicar a relevância dessa formação de ensino superior no grupo familiar e que direciona para analisar a questão da inclusão expressa na meta 12.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lastRenderedPageBreak/>
        <w:t>No que se refere à dimensão 2</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experiência educativa prévia, </w:t>
      </w:r>
      <w:r>
        <w:rPr>
          <w:rFonts w:ascii="Times New Roman" w:eastAsia="Times New Roman" w:hAnsi="Times New Roman" w:cs="Times New Roman"/>
          <w:sz w:val="24"/>
          <w:szCs w:val="24"/>
        </w:rPr>
        <w:t xml:space="preserve">prevendo </w:t>
      </w:r>
      <w:r w:rsidRPr="0039154F">
        <w:rPr>
          <w:rFonts w:ascii="Times New Roman" w:eastAsia="Times New Roman" w:hAnsi="Times New Roman" w:cs="Times New Roman"/>
          <w:sz w:val="24"/>
          <w:szCs w:val="24"/>
        </w:rPr>
        <w:t>o curr</w:t>
      </w:r>
      <w:r>
        <w:rPr>
          <w:rFonts w:ascii="Times New Roman" w:eastAsia="Times New Roman" w:hAnsi="Times New Roman" w:cs="Times New Roman"/>
          <w:sz w:val="24"/>
          <w:szCs w:val="24"/>
        </w:rPr>
        <w:t xml:space="preserve">ículo cursado no ensino médio, </w:t>
      </w:r>
      <w:r w:rsidRPr="0039154F">
        <w:rPr>
          <w:rFonts w:ascii="Times New Roman" w:eastAsia="Times New Roman" w:hAnsi="Times New Roman" w:cs="Times New Roman"/>
          <w:sz w:val="24"/>
          <w:szCs w:val="24"/>
        </w:rPr>
        <w:t>57,1% dos alunos cursaram o currículo comum, e 28,6%</w:t>
      </w:r>
      <w:r>
        <w:rPr>
          <w:rFonts w:ascii="Times New Roman" w:eastAsia="Times New Roman" w:hAnsi="Times New Roman" w:cs="Times New Roman"/>
          <w:sz w:val="24"/>
          <w:szCs w:val="24"/>
        </w:rPr>
        <w:t xml:space="preserve">, ensino técnico. Ainda, </w:t>
      </w:r>
      <w:r w:rsidRPr="0039154F">
        <w:rPr>
          <w:rFonts w:ascii="Times New Roman" w:eastAsia="Times New Roman" w:hAnsi="Times New Roman" w:cs="Times New Roman"/>
          <w:sz w:val="24"/>
          <w:szCs w:val="24"/>
        </w:rPr>
        <w:t>50 % concluiu o ensino médio em instituição privada e 56% antes do ano de 2009, ou seja,</w:t>
      </w:r>
      <w:r>
        <w:rPr>
          <w:rFonts w:ascii="Times New Roman" w:eastAsia="Times New Roman" w:hAnsi="Times New Roman" w:cs="Times New Roman"/>
          <w:sz w:val="24"/>
          <w:szCs w:val="24"/>
        </w:rPr>
        <w:t xml:space="preserve"> há 9 anos. Cabe ressaltar que 3</w:t>
      </w:r>
      <w:r w:rsidRPr="0039154F">
        <w:rPr>
          <w:rFonts w:ascii="Times New Roman" w:eastAsia="Times New Roman" w:hAnsi="Times New Roman" w:cs="Times New Roman"/>
          <w:sz w:val="24"/>
          <w:szCs w:val="24"/>
        </w:rPr>
        <w:t>9,2% já haviam iniciado outro curso no ensino superior, porém, sem complet</w:t>
      </w:r>
      <w:r>
        <w:rPr>
          <w:rFonts w:ascii="Times New Roman" w:eastAsia="Times New Roman" w:hAnsi="Times New Roman" w:cs="Times New Roman"/>
          <w:sz w:val="24"/>
          <w:szCs w:val="24"/>
        </w:rPr>
        <w:t>á</w:t>
      </w:r>
      <w:r w:rsidRPr="0039154F">
        <w:rPr>
          <w:rFonts w:ascii="Times New Roman" w:eastAsia="Times New Roman" w:hAnsi="Times New Roman" w:cs="Times New Roman"/>
          <w:sz w:val="24"/>
          <w:szCs w:val="24"/>
        </w:rPr>
        <w:t xml:space="preserve">-lo. Apenas 16,7% dos alunos completaram estudos superiores.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Sobre a dimensão 3</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a escolha dos estudos universitários, os alunos respondentes consideraram a conexão dos estudos com as características e habilidades pessoais e</w:t>
      </w:r>
      <w:r>
        <w:rPr>
          <w:rFonts w:ascii="Times New Roman" w:eastAsia="Times New Roman" w:hAnsi="Times New Roman" w:cs="Times New Roman"/>
          <w:sz w:val="24"/>
          <w:szCs w:val="24"/>
        </w:rPr>
        <w:t xml:space="preserve"> o fator custo — valor adaptado à</w:t>
      </w:r>
      <w:r w:rsidRPr="0039154F">
        <w:rPr>
          <w:rFonts w:ascii="Times New Roman" w:eastAsia="Times New Roman" w:hAnsi="Times New Roman" w:cs="Times New Roman"/>
          <w:sz w:val="24"/>
          <w:szCs w:val="24"/>
        </w:rPr>
        <w:t xml:space="preserve"> renda </w:t>
      </w:r>
      <w:r>
        <w:rPr>
          <w:rFonts w:ascii="Times New Roman" w:eastAsia="Times New Roman" w:hAnsi="Times New Roman" w:cs="Times New Roman"/>
          <w:sz w:val="24"/>
          <w:szCs w:val="24"/>
        </w:rPr>
        <w:t>— foi</w:t>
      </w:r>
      <w:r w:rsidRPr="0039154F">
        <w:rPr>
          <w:rFonts w:ascii="Times New Roman" w:eastAsia="Times New Roman" w:hAnsi="Times New Roman" w:cs="Times New Roman"/>
          <w:sz w:val="24"/>
          <w:szCs w:val="24"/>
        </w:rPr>
        <w:t xml:space="preserve"> o segundo fator de influência na escolha da modalidade a distância, sendo a possibilidade de autogestão do tempo </w:t>
      </w:r>
      <w:r>
        <w:rPr>
          <w:rFonts w:ascii="Times New Roman" w:eastAsia="Times New Roman" w:hAnsi="Times New Roman" w:cs="Times New Roman"/>
          <w:sz w:val="24"/>
          <w:szCs w:val="24"/>
        </w:rPr>
        <w:t xml:space="preserve">como muito influente para </w:t>
      </w:r>
      <w:r w:rsidRPr="0039154F">
        <w:rPr>
          <w:rFonts w:ascii="Times New Roman" w:eastAsia="Times New Roman" w:hAnsi="Times New Roman" w:cs="Times New Roman"/>
          <w:sz w:val="24"/>
          <w:szCs w:val="24"/>
        </w:rPr>
        <w:t>55% dos alunos na escolha da EaD.</w:t>
      </w:r>
    </w:p>
    <w:p w:rsidR="002538D1" w:rsidRPr="0039154F" w:rsidRDefault="002538D1" w:rsidP="002538D1">
      <w:pPr>
        <w:spacing w:after="0" w:line="360" w:lineRule="auto"/>
        <w:ind w:firstLine="720"/>
        <w:rPr>
          <w:rFonts w:ascii="Times New Roman" w:eastAsia="Times New Roman" w:hAnsi="Times New Roman" w:cs="Times New Roman"/>
          <w:sz w:val="20"/>
          <w:szCs w:val="20"/>
          <w:highlight w:val="white"/>
        </w:rPr>
      </w:pPr>
      <w:r w:rsidRPr="0039154F">
        <w:rPr>
          <w:rFonts w:ascii="Times New Roman" w:eastAsia="Times New Roman" w:hAnsi="Times New Roman" w:cs="Times New Roman"/>
          <w:noProof/>
          <w:sz w:val="20"/>
          <w:szCs w:val="20"/>
          <w:highlight w:val="white"/>
        </w:rPr>
        <w:drawing>
          <wp:inline distT="0" distB="0" distL="0" distR="0" wp14:anchorId="741A4FDA" wp14:editId="30764646">
            <wp:extent cx="5304790" cy="3105150"/>
            <wp:effectExtent l="0" t="0" r="10160" b="0"/>
            <wp:docPr id="1" name="Gráfico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BC4DE9F-945D-4737-83A3-1AB654540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38D1" w:rsidRPr="0039154F" w:rsidRDefault="002538D1" w:rsidP="002538D1">
      <w:pPr>
        <w:spacing w:after="0" w:line="360" w:lineRule="auto"/>
        <w:ind w:firstLine="720"/>
        <w:jc w:val="center"/>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Default="002538D1" w:rsidP="002538D1">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té o momento das dimensões 1, 2 e 3</w:t>
      </w:r>
      <w:r>
        <w:rPr>
          <w:rFonts w:ascii="Times New Roman" w:eastAsia="Times New Roman" w:hAnsi="Times New Roman" w:cs="Times New Roman"/>
          <w:sz w:val="24"/>
          <w:szCs w:val="24"/>
        </w:rPr>
        <w:t>, o</w:t>
      </w:r>
      <w:r w:rsidRPr="0039154F">
        <w:rPr>
          <w:rFonts w:ascii="Times New Roman" w:eastAsia="Times New Roman" w:hAnsi="Times New Roman" w:cs="Times New Roman"/>
          <w:sz w:val="24"/>
          <w:szCs w:val="24"/>
        </w:rPr>
        <w:t>s dados tendem a indicar</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 forma preliminar</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que a concepção de qualidade em termos de empregabilidade e eficiência (visão economicista) da instituição de ensino deverá ser um dos aspectos a ser abordado em etapas posteriores de investigação, pois perpassa a representação social dos que buscam esse ensino. Não é por menos que</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ao </w:t>
      </w:r>
      <w:r>
        <w:rPr>
          <w:rFonts w:ascii="Times New Roman" w:eastAsia="Times New Roman" w:hAnsi="Times New Roman" w:cs="Times New Roman"/>
          <w:sz w:val="24"/>
          <w:szCs w:val="24"/>
        </w:rPr>
        <w:t xml:space="preserve">serem </w:t>
      </w:r>
      <w:r w:rsidRPr="0039154F">
        <w:rPr>
          <w:rFonts w:ascii="Times New Roman" w:eastAsia="Times New Roman" w:hAnsi="Times New Roman" w:cs="Times New Roman"/>
          <w:sz w:val="24"/>
          <w:szCs w:val="24"/>
        </w:rPr>
        <w:t xml:space="preserve">questionados sobre a escolha da universidade em estudo, o fator determinante foi o seu prestígio no mercado e as </w:t>
      </w:r>
      <w:r w:rsidRPr="0039154F">
        <w:rPr>
          <w:rFonts w:ascii="Times New Roman" w:eastAsia="Times New Roman" w:hAnsi="Times New Roman" w:cs="Times New Roman"/>
          <w:sz w:val="24"/>
          <w:szCs w:val="24"/>
        </w:rPr>
        <w:lastRenderedPageBreak/>
        <w:t>expectativas quan</w:t>
      </w:r>
      <w:r>
        <w:rPr>
          <w:rFonts w:ascii="Times New Roman" w:eastAsia="Times New Roman" w:hAnsi="Times New Roman" w:cs="Times New Roman"/>
          <w:sz w:val="24"/>
          <w:szCs w:val="24"/>
        </w:rPr>
        <w:t>t</w:t>
      </w:r>
      <w:r w:rsidRPr="0039154F">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à </w:t>
      </w:r>
      <w:r w:rsidRPr="0039154F">
        <w:rPr>
          <w:rFonts w:ascii="Times New Roman" w:eastAsia="Times New Roman" w:hAnsi="Times New Roman" w:cs="Times New Roman"/>
          <w:sz w:val="24"/>
          <w:szCs w:val="24"/>
        </w:rPr>
        <w:t>sua estrutura de ensino. O aspecto meritocrático se faz presente na leitura dos respondentes.</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drawing>
          <wp:inline distT="0" distB="0" distL="0" distR="0" wp14:anchorId="4472AA72" wp14:editId="7E01A809">
            <wp:extent cx="5863590" cy="2317115"/>
            <wp:effectExtent l="0" t="0" r="3810" b="6985"/>
            <wp:docPr id="2" name="Gráfico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F9CF8B-C155-4BAA-837E-1C1C7A24F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Nesses aspectos iniciais não</w:t>
      </w:r>
      <w:r>
        <w:rPr>
          <w:rFonts w:ascii="Times New Roman" w:eastAsia="Times New Roman" w:hAnsi="Times New Roman" w:cs="Times New Roman"/>
          <w:sz w:val="24"/>
          <w:szCs w:val="24"/>
        </w:rPr>
        <w:t xml:space="preserve"> está</w:t>
      </w:r>
      <w:r w:rsidRPr="0039154F">
        <w:rPr>
          <w:rFonts w:ascii="Times New Roman" w:eastAsia="Times New Roman" w:hAnsi="Times New Roman" w:cs="Times New Roman"/>
          <w:sz w:val="24"/>
          <w:szCs w:val="24"/>
        </w:rPr>
        <w:t xml:space="preserve"> contempla</w:t>
      </w:r>
      <w:r>
        <w:rPr>
          <w:rFonts w:ascii="Times New Roman" w:eastAsia="Times New Roman" w:hAnsi="Times New Roman" w:cs="Times New Roman"/>
          <w:sz w:val="24"/>
          <w:szCs w:val="24"/>
        </w:rPr>
        <w:t>da,</w:t>
      </w:r>
      <w:r w:rsidRPr="0039154F">
        <w:rPr>
          <w:rFonts w:ascii="Times New Roman" w:eastAsia="Times New Roman" w:hAnsi="Times New Roman" w:cs="Times New Roman"/>
          <w:sz w:val="24"/>
          <w:szCs w:val="24"/>
        </w:rPr>
        <w:t xml:space="preserve"> nas representações sociais</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uma visão que considere a equidade e o pluralismo como meio de garantir a diferenciação.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Sobre a dimensão 4</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w:t>
      </w:r>
      <w:r w:rsidRPr="0030460F">
        <w:rPr>
          <w:rFonts w:ascii="Times New Roman" w:eastAsia="Times New Roman" w:hAnsi="Times New Roman" w:cs="Times New Roman"/>
          <w:b/>
          <w:sz w:val="24"/>
          <w:szCs w:val="24"/>
        </w:rPr>
        <w:t>acesso aos estudos universitários</w:t>
      </w:r>
      <w:r w:rsidRPr="0039154F">
        <w:rPr>
          <w:rFonts w:ascii="Times New Roman" w:eastAsia="Times New Roman" w:hAnsi="Times New Roman" w:cs="Times New Roman"/>
          <w:sz w:val="24"/>
          <w:szCs w:val="24"/>
        </w:rPr>
        <w:t xml:space="preserve">, em uma escala do tipo Likert de 1 a 5, onde 1 significa nada e 5 muito, em um conjunto de 4 perguntas sobre o grau de informação que o aluno tem dos estudos em que se matriculou, a mais alta média ponderada foi para o item perspectivas profissionais (4,1). O item </w:t>
      </w:r>
      <w:r w:rsidRPr="0030460F">
        <w:rPr>
          <w:rFonts w:ascii="Times New Roman" w:eastAsia="Times New Roman" w:hAnsi="Times New Roman" w:cs="Times New Roman"/>
          <w:b/>
          <w:sz w:val="24"/>
          <w:szCs w:val="24"/>
        </w:rPr>
        <w:t>conhecimento sobre o currículo do curso</w:t>
      </w:r>
      <w:r w:rsidRPr="0039154F">
        <w:rPr>
          <w:rFonts w:ascii="Times New Roman" w:eastAsia="Times New Roman" w:hAnsi="Times New Roman" w:cs="Times New Roman"/>
          <w:sz w:val="24"/>
          <w:szCs w:val="24"/>
        </w:rPr>
        <w:t xml:space="preserve"> teve média de 3,6, enquanto a informação sobre a </w:t>
      </w:r>
      <w:r w:rsidRPr="0030460F">
        <w:rPr>
          <w:rFonts w:ascii="Times New Roman" w:eastAsia="Times New Roman" w:hAnsi="Times New Roman" w:cs="Times New Roman"/>
          <w:b/>
          <w:sz w:val="24"/>
          <w:szCs w:val="24"/>
        </w:rPr>
        <w:t>qualidade do curso</w:t>
      </w:r>
      <w:r>
        <w:rPr>
          <w:rFonts w:ascii="Times New Roman" w:eastAsia="Times New Roman" w:hAnsi="Times New Roman" w:cs="Times New Roman"/>
          <w:sz w:val="24"/>
          <w:szCs w:val="24"/>
        </w:rPr>
        <w:t xml:space="preserve"> teve média de </w:t>
      </w:r>
      <w:r w:rsidRPr="0039154F">
        <w:rPr>
          <w:rFonts w:ascii="Times New Roman" w:eastAsia="Times New Roman" w:hAnsi="Times New Roman" w:cs="Times New Roman"/>
          <w:sz w:val="24"/>
          <w:szCs w:val="24"/>
        </w:rPr>
        <w:t xml:space="preserve">3,5. Já o item </w:t>
      </w:r>
      <w:r w:rsidRPr="0030460F">
        <w:rPr>
          <w:rFonts w:ascii="Times New Roman" w:eastAsia="Times New Roman" w:hAnsi="Times New Roman" w:cs="Times New Roman"/>
          <w:b/>
          <w:sz w:val="24"/>
          <w:szCs w:val="24"/>
        </w:rPr>
        <w:t>conhecimento sobre nível de exigência do curso</w:t>
      </w:r>
      <w:r w:rsidRPr="0039154F">
        <w:rPr>
          <w:rFonts w:ascii="Times New Roman" w:eastAsia="Times New Roman" w:hAnsi="Times New Roman" w:cs="Times New Roman"/>
          <w:sz w:val="24"/>
          <w:szCs w:val="24"/>
        </w:rPr>
        <w:t xml:space="preserve"> ficou com média ponderada de 3,4.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 xml:space="preserve">Um fator que precisa ser acompanhado e que poderá ter impacto nos índices de </w:t>
      </w:r>
      <w:r>
        <w:rPr>
          <w:rFonts w:ascii="Times New Roman" w:eastAsia="Times New Roman" w:hAnsi="Times New Roman" w:cs="Times New Roman"/>
          <w:sz w:val="24"/>
          <w:szCs w:val="24"/>
        </w:rPr>
        <w:t>permanência ou de evasão trata do â</w:t>
      </w:r>
      <w:r w:rsidRPr="0039154F">
        <w:rPr>
          <w:rFonts w:ascii="Times New Roman" w:eastAsia="Times New Roman" w:hAnsi="Times New Roman" w:cs="Times New Roman"/>
          <w:sz w:val="24"/>
          <w:szCs w:val="24"/>
        </w:rPr>
        <w:t xml:space="preserve">nimo dos estudantes (gráfico 6). </w:t>
      </w:r>
      <w:r>
        <w:rPr>
          <w:rFonts w:ascii="Times New Roman" w:eastAsia="Times New Roman" w:hAnsi="Times New Roman" w:cs="Times New Roman"/>
          <w:sz w:val="24"/>
          <w:szCs w:val="24"/>
        </w:rPr>
        <w:t>A</w:t>
      </w:r>
      <w:r w:rsidRPr="0039154F">
        <w:rPr>
          <w:rFonts w:ascii="Times New Roman" w:eastAsia="Times New Roman" w:hAnsi="Times New Roman" w:cs="Times New Roman"/>
          <w:sz w:val="24"/>
          <w:szCs w:val="24"/>
        </w:rPr>
        <w:t>inda que preliminares na investigação</w:t>
      </w:r>
      <w:r>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rPr>
        <w:t>piloto</w:t>
      </w:r>
      <w:r>
        <w:rPr>
          <w:rFonts w:ascii="Times New Roman" w:eastAsia="Times New Roman" w:hAnsi="Times New Roman" w:cs="Times New Roman"/>
          <w:sz w:val="24"/>
          <w:szCs w:val="24"/>
        </w:rPr>
        <w:t>, o</w:t>
      </w:r>
      <w:r w:rsidRPr="0039154F">
        <w:rPr>
          <w:rFonts w:ascii="Times New Roman" w:eastAsia="Times New Roman" w:hAnsi="Times New Roman" w:cs="Times New Roman"/>
          <w:sz w:val="24"/>
          <w:szCs w:val="24"/>
        </w:rPr>
        <w:t>s dados coletados indica</w:t>
      </w:r>
      <w:r>
        <w:rPr>
          <w:rFonts w:ascii="Times New Roman" w:eastAsia="Times New Roman" w:hAnsi="Times New Roman" w:cs="Times New Roman"/>
          <w:sz w:val="24"/>
          <w:szCs w:val="24"/>
        </w:rPr>
        <w:t>m</w:t>
      </w:r>
      <w:r w:rsidRPr="0039154F">
        <w:rPr>
          <w:rFonts w:ascii="Times New Roman" w:eastAsia="Times New Roman" w:hAnsi="Times New Roman" w:cs="Times New Roman"/>
          <w:sz w:val="24"/>
          <w:szCs w:val="24"/>
        </w:rPr>
        <w:t xml:space="preserve"> que há uma alta expectativa dos matriculados nos cursos EaD</w:t>
      </w:r>
      <w:r>
        <w:rPr>
          <w:rFonts w:ascii="Times New Roman" w:eastAsia="Times New Roman" w:hAnsi="Times New Roman" w:cs="Times New Roman"/>
          <w:sz w:val="24"/>
          <w:szCs w:val="24"/>
        </w:rPr>
        <w:t xml:space="preserve">, em uma média ponderada de </w:t>
      </w:r>
      <w:r w:rsidRPr="0039154F">
        <w:rPr>
          <w:rFonts w:ascii="Times New Roman" w:eastAsia="Times New Roman" w:hAnsi="Times New Roman" w:cs="Times New Roman"/>
          <w:sz w:val="24"/>
          <w:szCs w:val="24"/>
        </w:rPr>
        <w:t xml:space="preserve">4,6. </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lastRenderedPageBreak/>
        <w:drawing>
          <wp:inline distT="0" distB="0" distL="0" distR="0" wp14:anchorId="20984C32" wp14:editId="0DAFD570">
            <wp:extent cx="4749800" cy="2006600"/>
            <wp:effectExtent l="0" t="0" r="12700" b="12700"/>
            <wp:docPr id="8" name="Gráfico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38D1"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rPr>
        <w:t>O que pode envolver as preocupações de definiç</w:t>
      </w:r>
      <w:r>
        <w:rPr>
          <w:rFonts w:ascii="Times New Roman" w:eastAsia="Times New Roman" w:hAnsi="Times New Roman" w:cs="Times New Roman"/>
          <w:sz w:val="24"/>
          <w:szCs w:val="24"/>
        </w:rPr>
        <w:t xml:space="preserve">ão de uma educação de qualidade? </w:t>
      </w:r>
      <w:r w:rsidRPr="0039154F">
        <w:rPr>
          <w:rFonts w:ascii="Times New Roman" w:eastAsia="Times New Roman" w:hAnsi="Times New Roman" w:cs="Times New Roman"/>
          <w:sz w:val="24"/>
          <w:szCs w:val="24"/>
          <w:highlight w:val="white"/>
        </w:rPr>
        <w:t>Dourado e Oliveira (2007) alertam para os múltiplos aspectos a considerar nesses casos, como a dinâmica pedagógica, os diferentes perfis, a forma como se delineiam os processos de ensino-aprendizagem até as expectativas de aprendizagem que projetam para os alunos e a estruturação efetiva desses processos. E</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se vinculado a</w:t>
      </w:r>
      <w:r>
        <w:rPr>
          <w:rFonts w:ascii="Times New Roman" w:eastAsia="Times New Roman" w:hAnsi="Times New Roman" w:cs="Times New Roman"/>
          <w:sz w:val="24"/>
          <w:szCs w:val="24"/>
          <w:highlight w:val="white"/>
        </w:rPr>
        <w:t xml:space="preserve">o próximo </w:t>
      </w:r>
      <w:r w:rsidRPr="0039154F">
        <w:rPr>
          <w:rFonts w:ascii="Times New Roman" w:eastAsia="Times New Roman" w:hAnsi="Times New Roman" w:cs="Times New Roman"/>
          <w:sz w:val="24"/>
          <w:szCs w:val="24"/>
          <w:highlight w:val="white"/>
        </w:rPr>
        <w:t>indicador, o grau de informações que o aluno tem do curso que irá estudar, há uma expectativa de mercado, mas sem de fato saber se a estrutura responderá a isso.</w:t>
      </w:r>
    </w:p>
    <w:p w:rsidR="002538D1"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noProof/>
          <w:sz w:val="24"/>
          <w:szCs w:val="24"/>
        </w:rPr>
        <w:drawing>
          <wp:inline distT="0" distB="0" distL="0" distR="0" wp14:anchorId="2D9BD0CD" wp14:editId="4DA61B45">
            <wp:extent cx="4768850" cy="2178050"/>
            <wp:effectExtent l="0" t="0" r="12700" b="12700"/>
            <wp:docPr id="7" name="Gráfico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DE01A8-37A8-4222-AF94-41A62C9166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0"/>
          <w:szCs w:val="20"/>
          <w:highlight w:val="white"/>
        </w:rPr>
        <w:t>Fonte: Elaborado pelas autoras com base nos dados do questionário do estudo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piloto</w:t>
      </w:r>
      <w:r>
        <w:rPr>
          <w:rFonts w:ascii="Times New Roman" w:eastAsia="Times New Roman" w:hAnsi="Times New Roman" w:cs="Times New Roman"/>
          <w:sz w:val="20"/>
          <w:szCs w:val="20"/>
          <w:highlight w:val="white"/>
        </w:rPr>
        <w:t xml:space="preserve"> (</w:t>
      </w:r>
      <w:r w:rsidRPr="0039154F">
        <w:rPr>
          <w:rFonts w:ascii="Times New Roman" w:eastAsia="Times New Roman" w:hAnsi="Times New Roman" w:cs="Times New Roman"/>
          <w:sz w:val="20"/>
          <w:szCs w:val="20"/>
          <w:highlight w:val="white"/>
        </w:rPr>
        <w:t>2018</w:t>
      </w:r>
      <w:r>
        <w:rPr>
          <w:rFonts w:ascii="Times New Roman" w:eastAsia="Times New Roman" w:hAnsi="Times New Roman" w:cs="Times New Roman"/>
          <w:sz w:val="20"/>
          <w:szCs w:val="20"/>
          <w:highlight w:val="white"/>
        </w:rPr>
        <w:t>)</w:t>
      </w:r>
      <w:r w:rsidRPr="0039154F">
        <w:rPr>
          <w:rFonts w:ascii="Times New Roman" w:eastAsia="Times New Roman" w:hAnsi="Times New Roman" w:cs="Times New Roman"/>
          <w:sz w:val="20"/>
          <w:szCs w:val="20"/>
          <w:highlight w:val="white"/>
        </w:rPr>
        <w:t>.</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p>
    <w:p w:rsidR="002538D1" w:rsidRPr="0039154F" w:rsidRDefault="002538D1" w:rsidP="002538D1">
      <w:pPr>
        <w:spacing w:after="0" w:line="360" w:lineRule="auto"/>
        <w:ind w:firstLine="720"/>
        <w:jc w:val="both"/>
        <w:rPr>
          <w:rFonts w:ascii="Times New Roman" w:eastAsia="Times New Roman" w:hAnsi="Times New Roman" w:cs="Times New Roman"/>
          <w:color w:val="231F20"/>
          <w:sz w:val="24"/>
          <w:szCs w:val="24"/>
        </w:rPr>
      </w:pPr>
      <w:r w:rsidRPr="0039154F">
        <w:rPr>
          <w:rFonts w:ascii="Times New Roman" w:eastAsia="Times New Roman" w:hAnsi="Times New Roman" w:cs="Times New Roman"/>
          <w:color w:val="231F20"/>
          <w:sz w:val="24"/>
          <w:szCs w:val="24"/>
        </w:rPr>
        <w:t>Tendo em vista que</w:t>
      </w:r>
      <w:r>
        <w:rPr>
          <w:rFonts w:ascii="Times New Roman" w:eastAsia="Times New Roman" w:hAnsi="Times New Roman" w:cs="Times New Roman"/>
          <w:color w:val="231F20"/>
          <w:sz w:val="24"/>
          <w:szCs w:val="24"/>
        </w:rPr>
        <w:t>,</w:t>
      </w:r>
      <w:r w:rsidRPr="0039154F">
        <w:rPr>
          <w:rFonts w:ascii="Times New Roman" w:eastAsia="Times New Roman" w:hAnsi="Times New Roman" w:cs="Times New Roman"/>
          <w:color w:val="231F20"/>
          <w:sz w:val="24"/>
          <w:szCs w:val="24"/>
        </w:rPr>
        <w:t xml:space="preserve"> sendo uma modalidade que requer uma aproximação de ferramentas e estratégias e organização de aprendizagem be</w:t>
      </w:r>
      <w:r>
        <w:rPr>
          <w:rFonts w:ascii="Times New Roman" w:eastAsia="Times New Roman" w:hAnsi="Times New Roman" w:cs="Times New Roman"/>
          <w:color w:val="231F20"/>
          <w:sz w:val="24"/>
          <w:szCs w:val="24"/>
        </w:rPr>
        <w:t>m específicas e com um público-</w:t>
      </w:r>
      <w:r w:rsidRPr="0039154F">
        <w:rPr>
          <w:rFonts w:ascii="Times New Roman" w:eastAsia="Times New Roman" w:hAnsi="Times New Roman" w:cs="Times New Roman"/>
          <w:color w:val="231F20"/>
          <w:sz w:val="24"/>
          <w:szCs w:val="24"/>
        </w:rPr>
        <w:t xml:space="preserve">alvo </w:t>
      </w:r>
      <w:r>
        <w:rPr>
          <w:rFonts w:ascii="Times New Roman" w:eastAsia="Times New Roman" w:hAnsi="Times New Roman" w:cs="Times New Roman"/>
          <w:color w:val="231F20"/>
          <w:sz w:val="24"/>
          <w:szCs w:val="24"/>
        </w:rPr>
        <w:t>cuja</w:t>
      </w:r>
      <w:r w:rsidRPr="0039154F">
        <w:rPr>
          <w:rFonts w:ascii="Times New Roman" w:eastAsia="Times New Roman" w:hAnsi="Times New Roman" w:cs="Times New Roman"/>
          <w:color w:val="231F20"/>
          <w:sz w:val="24"/>
          <w:szCs w:val="24"/>
        </w:rPr>
        <w:t xml:space="preserve"> faixa etária não </w:t>
      </w:r>
      <w:r>
        <w:rPr>
          <w:rFonts w:ascii="Times New Roman" w:eastAsia="Times New Roman" w:hAnsi="Times New Roman" w:cs="Times New Roman"/>
          <w:color w:val="231F20"/>
          <w:sz w:val="24"/>
          <w:szCs w:val="24"/>
        </w:rPr>
        <w:t>os estabelecem como</w:t>
      </w:r>
      <w:r w:rsidRPr="0039154F">
        <w:rPr>
          <w:rFonts w:ascii="Times New Roman" w:eastAsia="Times New Roman" w:hAnsi="Times New Roman" w:cs="Times New Roman"/>
          <w:color w:val="231F20"/>
          <w:sz w:val="24"/>
          <w:szCs w:val="24"/>
        </w:rPr>
        <w:t xml:space="preserve"> nativo</w:t>
      </w:r>
      <w:r>
        <w:rPr>
          <w:rFonts w:ascii="Times New Roman" w:eastAsia="Times New Roman" w:hAnsi="Times New Roman" w:cs="Times New Roman"/>
          <w:color w:val="231F20"/>
          <w:sz w:val="24"/>
          <w:szCs w:val="24"/>
        </w:rPr>
        <w:t>s</w:t>
      </w:r>
      <w:r w:rsidRPr="0039154F">
        <w:rPr>
          <w:rFonts w:ascii="Times New Roman" w:eastAsia="Times New Roman" w:hAnsi="Times New Roman" w:cs="Times New Roman"/>
          <w:color w:val="231F20"/>
          <w:sz w:val="24"/>
          <w:szCs w:val="24"/>
        </w:rPr>
        <w:t xml:space="preserve"> digita</w:t>
      </w:r>
      <w:r>
        <w:rPr>
          <w:rFonts w:ascii="Times New Roman" w:eastAsia="Times New Roman" w:hAnsi="Times New Roman" w:cs="Times New Roman"/>
          <w:color w:val="231F20"/>
          <w:sz w:val="24"/>
          <w:szCs w:val="24"/>
        </w:rPr>
        <w:t>is</w:t>
      </w:r>
      <w:r w:rsidRPr="0039154F">
        <w:rPr>
          <w:rFonts w:ascii="Times New Roman" w:eastAsia="Times New Roman" w:hAnsi="Times New Roman" w:cs="Times New Roman"/>
          <w:color w:val="231F20"/>
          <w:sz w:val="24"/>
          <w:szCs w:val="24"/>
        </w:rPr>
        <w:t xml:space="preserve">, o principal conhecimento das operacionalizações se constitui </w:t>
      </w:r>
      <w:r>
        <w:rPr>
          <w:rFonts w:ascii="Times New Roman" w:eastAsia="Times New Roman" w:hAnsi="Times New Roman" w:cs="Times New Roman"/>
          <w:color w:val="231F20"/>
          <w:sz w:val="24"/>
          <w:szCs w:val="24"/>
        </w:rPr>
        <w:t>em uma</w:t>
      </w:r>
      <w:r w:rsidRPr="0039154F">
        <w:rPr>
          <w:rFonts w:ascii="Times New Roman" w:eastAsia="Times New Roman" w:hAnsi="Times New Roman" w:cs="Times New Roman"/>
          <w:color w:val="231F20"/>
          <w:sz w:val="24"/>
          <w:szCs w:val="24"/>
        </w:rPr>
        <w:t xml:space="preserve"> média ponderada de 4,2</w:t>
      </w:r>
      <w:r>
        <w:rPr>
          <w:rFonts w:ascii="Times New Roman" w:eastAsia="Times New Roman" w:hAnsi="Times New Roman" w:cs="Times New Roman"/>
          <w:color w:val="231F20"/>
          <w:sz w:val="24"/>
          <w:szCs w:val="24"/>
        </w:rPr>
        <w:t xml:space="preserve">. O fato de </w:t>
      </w:r>
      <w:r w:rsidRPr="0039154F">
        <w:rPr>
          <w:rFonts w:ascii="Times New Roman" w:eastAsia="Times New Roman" w:hAnsi="Times New Roman" w:cs="Times New Roman"/>
          <w:color w:val="231F20"/>
          <w:sz w:val="24"/>
          <w:szCs w:val="24"/>
        </w:rPr>
        <w:t xml:space="preserve">conhecer ferramentas de busca na internet, mas </w:t>
      </w:r>
      <w:r>
        <w:rPr>
          <w:rFonts w:ascii="Times New Roman" w:eastAsia="Times New Roman" w:hAnsi="Times New Roman" w:cs="Times New Roman"/>
          <w:color w:val="231F20"/>
          <w:sz w:val="24"/>
          <w:szCs w:val="24"/>
        </w:rPr>
        <w:t xml:space="preserve">ter </w:t>
      </w:r>
      <w:r w:rsidRPr="0039154F">
        <w:rPr>
          <w:rFonts w:ascii="Times New Roman" w:eastAsia="Times New Roman" w:hAnsi="Times New Roman" w:cs="Times New Roman"/>
          <w:color w:val="231F20"/>
          <w:sz w:val="24"/>
          <w:szCs w:val="24"/>
        </w:rPr>
        <w:t>pouc</w:t>
      </w:r>
      <w:r>
        <w:rPr>
          <w:rFonts w:ascii="Times New Roman" w:eastAsia="Times New Roman" w:hAnsi="Times New Roman" w:cs="Times New Roman"/>
          <w:color w:val="231F20"/>
          <w:sz w:val="24"/>
          <w:szCs w:val="24"/>
        </w:rPr>
        <w:t>a aproximação com</w:t>
      </w:r>
      <w:r w:rsidRPr="0039154F">
        <w:rPr>
          <w:rFonts w:ascii="Times New Roman" w:eastAsia="Times New Roman" w:hAnsi="Times New Roman" w:cs="Times New Roman"/>
          <w:color w:val="231F20"/>
          <w:sz w:val="24"/>
          <w:szCs w:val="24"/>
        </w:rPr>
        <w:t xml:space="preserve"> </w:t>
      </w:r>
      <w:r w:rsidRPr="0039154F">
        <w:rPr>
          <w:rFonts w:ascii="Times New Roman" w:eastAsia="Times New Roman" w:hAnsi="Times New Roman" w:cs="Times New Roman"/>
          <w:color w:val="231F20"/>
          <w:sz w:val="24"/>
          <w:szCs w:val="24"/>
        </w:rPr>
        <w:lastRenderedPageBreak/>
        <w:t>plat</w:t>
      </w:r>
      <w:r>
        <w:rPr>
          <w:rFonts w:ascii="Times New Roman" w:eastAsia="Times New Roman" w:hAnsi="Times New Roman" w:cs="Times New Roman"/>
          <w:color w:val="231F20"/>
          <w:sz w:val="24"/>
          <w:szCs w:val="24"/>
        </w:rPr>
        <w:t>aformas de aprendizagem (2,5) é um</w:t>
      </w:r>
      <w:r w:rsidRPr="0039154F">
        <w:rPr>
          <w:rFonts w:ascii="Times New Roman" w:eastAsia="Times New Roman" w:hAnsi="Times New Roman" w:cs="Times New Roman"/>
          <w:color w:val="231F20"/>
          <w:sz w:val="24"/>
          <w:szCs w:val="24"/>
        </w:rPr>
        <w:t xml:space="preserve"> fato </w:t>
      </w:r>
      <w:r>
        <w:rPr>
          <w:rFonts w:ascii="Times New Roman" w:eastAsia="Times New Roman" w:hAnsi="Times New Roman" w:cs="Times New Roman"/>
          <w:color w:val="231F20"/>
          <w:sz w:val="24"/>
          <w:szCs w:val="24"/>
        </w:rPr>
        <w:t>a</w:t>
      </w:r>
      <w:r w:rsidRPr="0039154F">
        <w:rPr>
          <w:rFonts w:ascii="Times New Roman" w:eastAsia="Times New Roman" w:hAnsi="Times New Roman" w:cs="Times New Roman"/>
          <w:color w:val="231F20"/>
          <w:sz w:val="24"/>
          <w:szCs w:val="24"/>
        </w:rPr>
        <w:t xml:space="preserve"> ser considerado como indicador de ações institucionais para suprir essa limitação.</w:t>
      </w:r>
    </w:p>
    <w:p w:rsidR="002538D1" w:rsidRPr="0039154F"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color w:val="231F20"/>
          <w:sz w:val="24"/>
          <w:szCs w:val="24"/>
        </w:rPr>
        <w:t>Não obstante, vale observar que</w:t>
      </w:r>
      <w:r>
        <w:rPr>
          <w:rFonts w:ascii="Times New Roman" w:eastAsia="Times New Roman" w:hAnsi="Times New Roman" w:cs="Times New Roman"/>
          <w:color w:val="231F20"/>
          <w:sz w:val="24"/>
          <w:szCs w:val="24"/>
        </w:rPr>
        <w:t>,</w:t>
      </w:r>
      <w:r w:rsidRPr="0039154F">
        <w:rPr>
          <w:rFonts w:ascii="Times New Roman" w:eastAsia="Times New Roman" w:hAnsi="Times New Roman" w:cs="Times New Roman"/>
          <w:color w:val="231F20"/>
          <w:sz w:val="24"/>
          <w:szCs w:val="24"/>
        </w:rPr>
        <w:t xml:space="preserve"> devido ao número de alunos questionados para o teste</w:t>
      </w:r>
      <w:r>
        <w:rPr>
          <w:rFonts w:ascii="Times New Roman" w:eastAsia="Times New Roman" w:hAnsi="Times New Roman" w:cs="Times New Roman"/>
          <w:color w:val="231F20"/>
          <w:sz w:val="24"/>
          <w:szCs w:val="24"/>
        </w:rPr>
        <w:t xml:space="preserve"> </w:t>
      </w:r>
      <w:r w:rsidRPr="0039154F">
        <w:rPr>
          <w:rFonts w:ascii="Times New Roman" w:eastAsia="Times New Roman" w:hAnsi="Times New Roman" w:cs="Times New Roman"/>
          <w:color w:val="231F20"/>
          <w:sz w:val="24"/>
          <w:szCs w:val="24"/>
        </w:rPr>
        <w:t xml:space="preserve">piloto (84), ainda não foi possível realizar a análise de </w:t>
      </w:r>
      <w:r>
        <w:rPr>
          <w:rFonts w:ascii="Times New Roman" w:eastAsia="Times New Roman" w:hAnsi="Times New Roman" w:cs="Times New Roman"/>
          <w:color w:val="231F20"/>
          <w:sz w:val="24"/>
          <w:szCs w:val="24"/>
        </w:rPr>
        <w:t>con</w:t>
      </w:r>
      <w:r w:rsidRPr="0039154F">
        <w:rPr>
          <w:rFonts w:ascii="Times New Roman" w:eastAsia="Times New Roman" w:hAnsi="Times New Roman" w:cs="Times New Roman"/>
          <w:color w:val="231F20"/>
          <w:sz w:val="24"/>
          <w:szCs w:val="24"/>
        </w:rPr>
        <w:t>fiabilidad</w:t>
      </w:r>
      <w:r>
        <w:rPr>
          <w:rFonts w:ascii="Times New Roman" w:eastAsia="Times New Roman" w:hAnsi="Times New Roman" w:cs="Times New Roman"/>
          <w:color w:val="231F20"/>
          <w:sz w:val="24"/>
          <w:szCs w:val="24"/>
        </w:rPr>
        <w:t>e d</w:t>
      </w:r>
      <w:r w:rsidRPr="0039154F">
        <w:rPr>
          <w:rFonts w:ascii="Times New Roman" w:eastAsia="Times New Roman" w:hAnsi="Times New Roman" w:cs="Times New Roman"/>
          <w:color w:val="231F20"/>
          <w:sz w:val="24"/>
          <w:szCs w:val="24"/>
        </w:rPr>
        <w:t>os itens do questionário, a qual será concretizada após a aplicação do questionário definitivo,</w:t>
      </w:r>
      <w:r w:rsidRPr="0039154F">
        <w:rPr>
          <w:rFonts w:ascii="Times New Roman" w:eastAsia="Times New Roman" w:hAnsi="Times New Roman" w:cs="Times New Roman"/>
          <w:sz w:val="24"/>
          <w:szCs w:val="24"/>
        </w:rPr>
        <w:t xml:space="preserve"> quando será possível extrair os indicadores de qualidade acadêmica.</w:t>
      </w:r>
    </w:p>
    <w:p w:rsidR="002538D1" w:rsidRPr="0039154F" w:rsidRDefault="002538D1" w:rsidP="002538D1">
      <w:pPr>
        <w:spacing w:after="0" w:line="360" w:lineRule="auto"/>
        <w:jc w:val="both"/>
        <w:rPr>
          <w:rFonts w:ascii="Times New Roman" w:eastAsia="Times New Roman" w:hAnsi="Times New Roman" w:cs="Times New Roman"/>
          <w:b/>
          <w:sz w:val="24"/>
          <w:szCs w:val="24"/>
          <w:highlight w:val="white"/>
        </w:rPr>
      </w:pPr>
    </w:p>
    <w:p w:rsidR="002538D1" w:rsidRPr="0039154F" w:rsidRDefault="002538D1" w:rsidP="002538D1">
      <w:pPr>
        <w:spacing w:after="0" w:line="360" w:lineRule="auto"/>
        <w:jc w:val="both"/>
        <w:rPr>
          <w:rFonts w:ascii="Times New Roman" w:eastAsia="Times New Roman" w:hAnsi="Times New Roman" w:cs="Times New Roman"/>
          <w:b/>
          <w:sz w:val="24"/>
          <w:szCs w:val="24"/>
        </w:rPr>
      </w:pPr>
      <w:r w:rsidRPr="0039154F">
        <w:rPr>
          <w:rFonts w:ascii="Times New Roman" w:eastAsia="Times New Roman" w:hAnsi="Times New Roman" w:cs="Times New Roman"/>
          <w:b/>
          <w:sz w:val="24"/>
          <w:szCs w:val="24"/>
          <w:highlight w:val="white"/>
        </w:rPr>
        <w:t>CONSIDERAÇÕES FINAIS</w:t>
      </w:r>
    </w:p>
    <w:p w:rsidR="002538D1" w:rsidRDefault="002538D1" w:rsidP="002538D1">
      <w:pPr>
        <w:spacing w:after="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highlight w:val="white"/>
        </w:rPr>
        <w:t>Neste estudo</w:t>
      </w:r>
      <w:r>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highlight w:val="white"/>
        </w:rPr>
        <w:t xml:space="preserve"> que apresenta </w:t>
      </w:r>
      <w:r w:rsidRPr="0039154F">
        <w:rPr>
          <w:rFonts w:ascii="Times New Roman" w:eastAsia="Times New Roman" w:hAnsi="Times New Roman" w:cs="Times New Roman"/>
          <w:sz w:val="24"/>
          <w:szCs w:val="24"/>
        </w:rPr>
        <w:t>o processo de construção de indicadores de qualidade acadêmica dos estudantes da Educação Superior na modalidade a distância</w:t>
      </w:r>
      <w:r w:rsidRPr="0039154F">
        <w:rPr>
          <w:rFonts w:ascii="Times New Roman" w:eastAsia="Times New Roman" w:hAnsi="Times New Roman" w:cs="Times New Roman"/>
          <w:sz w:val="24"/>
          <w:szCs w:val="24"/>
          <w:highlight w:val="white"/>
        </w:rPr>
        <w:t xml:space="preserve">, e </w:t>
      </w:r>
      <w:r>
        <w:rPr>
          <w:rFonts w:ascii="Times New Roman" w:eastAsia="Times New Roman" w:hAnsi="Times New Roman" w:cs="Times New Roman"/>
          <w:sz w:val="24"/>
          <w:szCs w:val="24"/>
          <w:highlight w:val="white"/>
        </w:rPr>
        <w:t xml:space="preserve">que </w:t>
      </w:r>
      <w:r w:rsidRPr="0039154F">
        <w:rPr>
          <w:rFonts w:ascii="Times New Roman" w:eastAsia="Times New Roman" w:hAnsi="Times New Roman" w:cs="Times New Roman"/>
          <w:sz w:val="24"/>
          <w:szCs w:val="24"/>
          <w:highlight w:val="white"/>
        </w:rPr>
        <w:t>tem como questionamento principal</w:t>
      </w:r>
      <w:r>
        <w:rPr>
          <w:rFonts w:ascii="Times New Roman" w:eastAsia="Times New Roman" w:hAnsi="Times New Roman" w:cs="Times New Roman"/>
          <w:sz w:val="24"/>
          <w:szCs w:val="24"/>
        </w:rPr>
        <w:t xml:space="preserve"> os desafios da g</w:t>
      </w:r>
      <w:r w:rsidRPr="0039154F">
        <w:rPr>
          <w:rFonts w:ascii="Times New Roman" w:eastAsia="Times New Roman" w:hAnsi="Times New Roman" w:cs="Times New Roman"/>
          <w:sz w:val="24"/>
          <w:szCs w:val="24"/>
        </w:rPr>
        <w:t>aranti</w:t>
      </w:r>
      <w:r>
        <w:rPr>
          <w:rFonts w:ascii="Times New Roman" w:eastAsia="Times New Roman" w:hAnsi="Times New Roman" w:cs="Times New Roman"/>
          <w:sz w:val="24"/>
          <w:szCs w:val="24"/>
        </w:rPr>
        <w:t>a d</w:t>
      </w:r>
      <w:r w:rsidRPr="0039154F">
        <w:rPr>
          <w:rFonts w:ascii="Times New Roman" w:eastAsia="Times New Roman" w:hAnsi="Times New Roman" w:cs="Times New Roman"/>
          <w:sz w:val="24"/>
          <w:szCs w:val="24"/>
        </w:rPr>
        <w:t xml:space="preserve">a qualidade expressa </w:t>
      </w:r>
      <w:r>
        <w:rPr>
          <w:rFonts w:ascii="Times New Roman" w:eastAsia="Times New Roman" w:hAnsi="Times New Roman" w:cs="Times New Roman"/>
          <w:sz w:val="24"/>
          <w:szCs w:val="24"/>
        </w:rPr>
        <w:t>na meta 12 do PNE a partir d</w:t>
      </w:r>
      <w:r w:rsidRPr="0039154F">
        <w:rPr>
          <w:rFonts w:ascii="Times New Roman" w:eastAsia="Times New Roman" w:hAnsi="Times New Roman" w:cs="Times New Roman"/>
          <w:sz w:val="24"/>
          <w:szCs w:val="24"/>
        </w:rPr>
        <w:t>o acelerado crescimento de matrículas que se apresenta nas instituições privadas na modalidade a distância</w:t>
      </w:r>
      <w:r w:rsidRPr="0039154F">
        <w:rPr>
          <w:rFonts w:ascii="Times New Roman" w:eastAsia="Times New Roman" w:hAnsi="Times New Roman" w:cs="Times New Roman"/>
          <w:sz w:val="24"/>
          <w:szCs w:val="24"/>
          <w:highlight w:val="white"/>
        </w:rPr>
        <w:t xml:space="preserve">, valemo-nos do perfil dos estudantes e suas expectativas com o curso e modalidade escolhidos como um dos principais indicadores </w:t>
      </w:r>
      <w:r>
        <w:rPr>
          <w:rFonts w:ascii="Times New Roman" w:eastAsia="Times New Roman" w:hAnsi="Times New Roman" w:cs="Times New Roman"/>
          <w:sz w:val="24"/>
          <w:szCs w:val="24"/>
          <w:highlight w:val="white"/>
        </w:rPr>
        <w:t xml:space="preserve">do </w:t>
      </w:r>
      <w:r w:rsidRPr="0039154F">
        <w:rPr>
          <w:rFonts w:ascii="Times New Roman" w:eastAsia="Times New Roman" w:hAnsi="Times New Roman" w:cs="Times New Roman"/>
          <w:sz w:val="24"/>
          <w:szCs w:val="24"/>
          <w:highlight w:val="white"/>
        </w:rPr>
        <w:t>êxito acadêmico.</w:t>
      </w:r>
      <w:r w:rsidRPr="0039154F">
        <w:rPr>
          <w:rFonts w:ascii="Times New Roman" w:eastAsia="Times New Roman" w:hAnsi="Times New Roman" w:cs="Times New Roman"/>
          <w:sz w:val="24"/>
          <w:szCs w:val="24"/>
        </w:rPr>
        <w:t xml:space="preserve"> </w:t>
      </w:r>
    </w:p>
    <w:p w:rsidR="002538D1" w:rsidRPr="0039154F" w:rsidRDefault="002538D1" w:rsidP="002538D1">
      <w:pPr>
        <w:spacing w:beforeLines="150" w:before="360" w:after="30" w:line="360" w:lineRule="auto"/>
        <w:ind w:firstLine="720"/>
        <w:jc w:val="both"/>
        <w:rPr>
          <w:rFonts w:ascii="Times New Roman" w:eastAsia="Times New Roman" w:hAnsi="Times New Roman" w:cs="Times New Roman"/>
          <w:sz w:val="24"/>
          <w:szCs w:val="24"/>
          <w:highlight w:val="white"/>
        </w:rPr>
      </w:pPr>
      <w:r w:rsidRPr="0039154F">
        <w:rPr>
          <w:rFonts w:ascii="Times New Roman" w:eastAsia="Times New Roman" w:hAnsi="Times New Roman" w:cs="Times New Roman"/>
          <w:sz w:val="24"/>
          <w:szCs w:val="24"/>
        </w:rPr>
        <w:t>Estudos sobre o sucesso acadêmico, sintetizados no trabalho de F</w:t>
      </w:r>
      <w:r>
        <w:rPr>
          <w:rFonts w:ascii="Times New Roman" w:eastAsia="Times New Roman" w:hAnsi="Times New Roman" w:cs="Times New Roman"/>
          <w:sz w:val="24"/>
          <w:szCs w:val="24"/>
        </w:rPr>
        <w:t>agundes</w:t>
      </w:r>
      <w:r w:rsidRPr="0039154F">
        <w:rPr>
          <w:rFonts w:ascii="Times New Roman" w:eastAsia="Times New Roman" w:hAnsi="Times New Roman" w:cs="Times New Roman"/>
          <w:sz w:val="24"/>
          <w:szCs w:val="24"/>
        </w:rPr>
        <w:t xml:space="preserve"> </w:t>
      </w:r>
      <w:r w:rsidRPr="001C2A3A">
        <w:rPr>
          <w:rFonts w:ascii="Times New Roman" w:eastAsia="Times New Roman" w:hAnsi="Times New Roman" w:cs="Times New Roman"/>
          <w:sz w:val="24"/>
          <w:szCs w:val="24"/>
        </w:rPr>
        <w:t>et al</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(2014), podem ser classificados com base na natureza dos fatores de êxito. Entretanto, a qualidade acadêmica não deve ser tratada somente desde a perspectiva estritamente acadêmica (desempenho), mas sim incorporando outras variáveis que incidem no processo. De acordo </w:t>
      </w:r>
      <w:r>
        <w:rPr>
          <w:rFonts w:ascii="Times New Roman" w:eastAsia="Times New Roman" w:hAnsi="Times New Roman" w:cs="Times New Roman"/>
          <w:sz w:val="24"/>
          <w:szCs w:val="24"/>
        </w:rPr>
        <w:t>com</w:t>
      </w:r>
      <w:r w:rsidRPr="0039154F">
        <w:rPr>
          <w:rFonts w:ascii="Times New Roman" w:eastAsia="Times New Roman" w:hAnsi="Times New Roman" w:cs="Times New Roman"/>
          <w:sz w:val="24"/>
          <w:szCs w:val="24"/>
        </w:rPr>
        <w:t xml:space="preserve"> Fagundes et al</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(2014, p. 662): </w:t>
      </w:r>
    </w:p>
    <w:p w:rsidR="002538D1" w:rsidRPr="0039154F" w:rsidRDefault="002538D1" w:rsidP="002538D1">
      <w:pPr>
        <w:spacing w:beforeLines="175" w:before="420" w:after="3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9154F">
        <w:rPr>
          <w:rFonts w:ascii="Times New Roman" w:eastAsia="Times New Roman" w:hAnsi="Times New Roman" w:cs="Times New Roman"/>
          <w:sz w:val="20"/>
          <w:szCs w:val="20"/>
        </w:rPr>
        <w:t xml:space="preserve">é preciso criar um ambiente de colaboração entre todos os agentes implicados, que garanta uma ação orientadora de qualidade [...]. Reconhece-se a importância de um modelo multimetodológico, que integre a abordagem qualitativa na avaliação do desempenho acadêmico, e inclua fatores que caracterizem os objetivos e o desenvolvimento da educação no contexto estudado, com o intuito de lograr um maior conhecimento da complexa, plural e multifacetária realidade humana e, desta forma, produzir descrições, quantificações, explicações ou interpretações críticas, válidas, mais precisas e confiáveis. </w:t>
      </w:r>
    </w:p>
    <w:p w:rsidR="002538D1" w:rsidRPr="0039154F" w:rsidRDefault="002538D1" w:rsidP="002538D1">
      <w:pPr>
        <w:spacing w:beforeLines="30" w:before="72" w:after="30" w:line="360" w:lineRule="auto"/>
        <w:jc w:val="both"/>
        <w:rPr>
          <w:rFonts w:ascii="Times New Roman" w:eastAsia="Times New Roman" w:hAnsi="Times New Roman" w:cs="Times New Roman"/>
          <w:sz w:val="24"/>
          <w:szCs w:val="24"/>
        </w:rPr>
      </w:pPr>
    </w:p>
    <w:p w:rsidR="002538D1" w:rsidRPr="0039154F" w:rsidRDefault="002538D1" w:rsidP="002538D1">
      <w:pPr>
        <w:spacing w:beforeLines="30" w:before="72" w:after="30" w:line="360" w:lineRule="auto"/>
        <w:ind w:firstLine="720"/>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t>Nesta linha, os autores consideram pertinente incluir fatores que fazem parte do processo do desempenho acadêmico, como a atuação do professor e o conteúdo disponibilizado no ambiente virtual.</w:t>
      </w:r>
    </w:p>
    <w:p w:rsidR="002538D1" w:rsidRPr="0039154F" w:rsidRDefault="002538D1" w:rsidP="002538D1">
      <w:pPr>
        <w:spacing w:after="0" w:line="360" w:lineRule="auto"/>
        <w:ind w:firstLine="708"/>
        <w:jc w:val="both"/>
        <w:rPr>
          <w:rFonts w:ascii="Times New Roman" w:eastAsia="Times New Roman" w:hAnsi="Times New Roman" w:cs="Times New Roman"/>
          <w:sz w:val="24"/>
          <w:szCs w:val="24"/>
        </w:rPr>
      </w:pPr>
      <w:r w:rsidRPr="0039154F">
        <w:rPr>
          <w:rFonts w:ascii="Times New Roman" w:eastAsia="Times New Roman" w:hAnsi="Times New Roman" w:cs="Times New Roman"/>
          <w:sz w:val="24"/>
          <w:szCs w:val="24"/>
        </w:rPr>
        <w:lastRenderedPageBreak/>
        <w:t>O</w:t>
      </w:r>
      <w:r w:rsidRPr="0039154F">
        <w:rPr>
          <w:rFonts w:ascii="Times New Roman" w:eastAsia="Times New Roman" w:hAnsi="Times New Roman" w:cs="Times New Roman"/>
          <w:sz w:val="24"/>
          <w:szCs w:val="24"/>
          <w:highlight w:val="white"/>
        </w:rPr>
        <w:t xml:space="preserve">bserva-se nesse contexto que a construção de indicadores para sinalizar ações de ajustes e mudanças torna-se ainda mais necessária </w:t>
      </w:r>
      <w:r>
        <w:rPr>
          <w:rFonts w:ascii="Times New Roman" w:eastAsia="Times New Roman" w:hAnsi="Times New Roman" w:cs="Times New Roman"/>
          <w:sz w:val="24"/>
          <w:szCs w:val="24"/>
          <w:highlight w:val="white"/>
        </w:rPr>
        <w:t>em um</w:t>
      </w:r>
      <w:r w:rsidRPr="0039154F">
        <w:rPr>
          <w:rFonts w:ascii="Times New Roman" w:eastAsia="Times New Roman" w:hAnsi="Times New Roman" w:cs="Times New Roman"/>
          <w:sz w:val="24"/>
          <w:szCs w:val="24"/>
          <w:highlight w:val="white"/>
        </w:rPr>
        <w:t xml:space="preserve"> cenário em processo de crescimento acelerado.</w:t>
      </w:r>
      <w:r w:rsidRPr="0039154F">
        <w:rPr>
          <w:rFonts w:ascii="Times New Roman" w:eastAsia="Times New Roman" w:hAnsi="Times New Roman" w:cs="Times New Roman"/>
          <w:sz w:val="24"/>
          <w:szCs w:val="24"/>
        </w:rPr>
        <w:t xml:space="preserve"> </w:t>
      </w:r>
      <w:r w:rsidRPr="0039154F">
        <w:rPr>
          <w:rFonts w:ascii="Times New Roman" w:eastAsia="Times New Roman" w:hAnsi="Times New Roman" w:cs="Times New Roman"/>
          <w:sz w:val="24"/>
          <w:szCs w:val="24"/>
          <w:highlight w:val="white"/>
        </w:rPr>
        <w:t xml:space="preserve">Porém, a construção de indicadores de qualidade a fim de atender </w:t>
      </w:r>
      <w:r>
        <w:rPr>
          <w:rFonts w:ascii="Times New Roman" w:eastAsia="Times New Roman" w:hAnsi="Times New Roman" w:cs="Times New Roman"/>
          <w:sz w:val="24"/>
          <w:szCs w:val="24"/>
          <w:highlight w:val="white"/>
        </w:rPr>
        <w:t xml:space="preserve">a </w:t>
      </w:r>
      <w:r w:rsidRPr="0039154F">
        <w:rPr>
          <w:rFonts w:ascii="Times New Roman" w:eastAsia="Times New Roman" w:hAnsi="Times New Roman" w:cs="Times New Roman"/>
          <w:sz w:val="24"/>
          <w:szCs w:val="24"/>
          <w:highlight w:val="white"/>
        </w:rPr>
        <w:t xml:space="preserve">essa demanda nem sempre se desenvolve em um terreno </w:t>
      </w:r>
      <w:r>
        <w:rPr>
          <w:rFonts w:ascii="Times New Roman" w:eastAsia="Times New Roman" w:hAnsi="Times New Roman" w:cs="Times New Roman"/>
          <w:sz w:val="24"/>
          <w:szCs w:val="24"/>
          <w:highlight w:val="white"/>
        </w:rPr>
        <w:t>consistente e coerente</w:t>
      </w:r>
      <w:r w:rsidRPr="0039154F">
        <w:rPr>
          <w:rFonts w:ascii="Times New Roman" w:eastAsia="Times New Roman" w:hAnsi="Times New Roman" w:cs="Times New Roman"/>
          <w:sz w:val="24"/>
          <w:szCs w:val="24"/>
          <w:highlight w:val="white"/>
        </w:rPr>
        <w:t>.</w:t>
      </w:r>
      <w:r w:rsidRPr="0039154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ssim sendo, o estudo </w:t>
      </w:r>
      <w:r w:rsidRPr="0039154F">
        <w:rPr>
          <w:rFonts w:ascii="Times New Roman" w:eastAsia="Times New Roman" w:hAnsi="Times New Roman" w:cs="Times New Roman"/>
          <w:sz w:val="24"/>
          <w:szCs w:val="24"/>
        </w:rPr>
        <w:t>defini</w:t>
      </w:r>
      <w:r>
        <w:rPr>
          <w:rFonts w:ascii="Times New Roman" w:eastAsia="Times New Roman" w:hAnsi="Times New Roman" w:cs="Times New Roman"/>
          <w:sz w:val="24"/>
          <w:szCs w:val="24"/>
        </w:rPr>
        <w:t>u</w:t>
      </w:r>
      <w:r w:rsidRPr="0039154F">
        <w:rPr>
          <w:rFonts w:ascii="Times New Roman" w:eastAsia="Times New Roman" w:hAnsi="Times New Roman" w:cs="Times New Roman"/>
          <w:sz w:val="24"/>
          <w:szCs w:val="24"/>
        </w:rPr>
        <w:t xml:space="preserve"> as dimensões para a posterior elaboração de um modelo preditivo de qualidade da educação superior na modalidade a distância e os respectivos indicadores de avaliação que pudessem identific</w:t>
      </w:r>
      <w:r>
        <w:rPr>
          <w:rFonts w:ascii="Times New Roman" w:eastAsia="Times New Roman" w:hAnsi="Times New Roman" w:cs="Times New Roman"/>
          <w:sz w:val="24"/>
          <w:szCs w:val="24"/>
        </w:rPr>
        <w:t>á</w:t>
      </w:r>
      <w:r w:rsidRPr="0039154F">
        <w:rPr>
          <w:rFonts w:ascii="Times New Roman" w:eastAsia="Times New Roman" w:hAnsi="Times New Roman" w:cs="Times New Roman"/>
          <w:sz w:val="24"/>
          <w:szCs w:val="24"/>
        </w:rPr>
        <w:t xml:space="preserve">-la. Como resultado, consolidou-se durante o processo a necessidade </w:t>
      </w:r>
      <w:r>
        <w:rPr>
          <w:rFonts w:ascii="Times New Roman" w:eastAsia="Times New Roman" w:hAnsi="Times New Roman" w:cs="Times New Roman"/>
          <w:sz w:val="24"/>
          <w:szCs w:val="24"/>
        </w:rPr>
        <w:t>d</w:t>
      </w:r>
      <w:r w:rsidRPr="0039154F">
        <w:rPr>
          <w:rFonts w:ascii="Times New Roman" w:eastAsia="Times New Roman" w:hAnsi="Times New Roman" w:cs="Times New Roman"/>
          <w:sz w:val="24"/>
          <w:szCs w:val="24"/>
        </w:rPr>
        <w:t xml:space="preserve">e avaliar o impacto não somente dos fatores extrainstitucionais pelo perfil (background cultural, socioambiental e aspectos motivacionais dos estudantes), mas, em outro momento, os fatores intrainstitucionais, </w:t>
      </w:r>
      <w:r>
        <w:rPr>
          <w:rFonts w:ascii="Times New Roman" w:eastAsia="Times New Roman" w:hAnsi="Times New Roman" w:cs="Times New Roman"/>
          <w:sz w:val="24"/>
          <w:szCs w:val="24"/>
        </w:rPr>
        <w:t xml:space="preserve">o que implica: (1) </w:t>
      </w:r>
      <w:r w:rsidRPr="0039154F">
        <w:rPr>
          <w:rFonts w:ascii="Times New Roman" w:eastAsia="Times New Roman" w:hAnsi="Times New Roman" w:cs="Times New Roman"/>
          <w:sz w:val="24"/>
          <w:szCs w:val="24"/>
        </w:rPr>
        <w:t xml:space="preserve">condições de oferta de ensino; </w:t>
      </w:r>
      <w:r>
        <w:rPr>
          <w:rFonts w:ascii="Times New Roman" w:eastAsia="Times New Roman" w:hAnsi="Times New Roman" w:cs="Times New Roman"/>
          <w:sz w:val="24"/>
          <w:szCs w:val="24"/>
        </w:rPr>
        <w:t xml:space="preserve">(2) </w:t>
      </w:r>
      <w:r w:rsidRPr="0039154F">
        <w:rPr>
          <w:rFonts w:ascii="Times New Roman" w:eastAsia="Times New Roman" w:hAnsi="Times New Roman" w:cs="Times New Roman"/>
          <w:sz w:val="24"/>
          <w:szCs w:val="24"/>
        </w:rPr>
        <w:t xml:space="preserve">suporte institucional ao ingressantes; </w:t>
      </w:r>
      <w:r>
        <w:rPr>
          <w:rFonts w:ascii="Times New Roman" w:eastAsia="Times New Roman" w:hAnsi="Times New Roman" w:cs="Times New Roman"/>
          <w:sz w:val="24"/>
          <w:szCs w:val="24"/>
        </w:rPr>
        <w:t xml:space="preserve">(3) </w:t>
      </w:r>
      <w:r w:rsidRPr="0039154F">
        <w:rPr>
          <w:rFonts w:ascii="Times New Roman" w:eastAsia="Times New Roman" w:hAnsi="Times New Roman" w:cs="Times New Roman"/>
          <w:sz w:val="24"/>
          <w:szCs w:val="24"/>
        </w:rPr>
        <w:t xml:space="preserve">estrutura organizacional </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gestão e organização do trabalho educacional, currícul</w:t>
      </w:r>
      <w:r>
        <w:rPr>
          <w:rFonts w:ascii="Times New Roman" w:eastAsia="Times New Roman" w:hAnsi="Times New Roman" w:cs="Times New Roman"/>
          <w:sz w:val="24"/>
          <w:szCs w:val="24"/>
        </w:rPr>
        <w:t>o, planejamento e monitoramento</w:t>
      </w:r>
      <w:r w:rsidRPr="003915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(4) </w:t>
      </w:r>
      <w:r w:rsidRPr="0039154F">
        <w:rPr>
          <w:rFonts w:ascii="Times New Roman" w:eastAsia="Times New Roman" w:hAnsi="Times New Roman" w:cs="Times New Roman"/>
          <w:sz w:val="24"/>
          <w:szCs w:val="24"/>
        </w:rPr>
        <w:t>formação, profissionaliza</w:t>
      </w:r>
      <w:r>
        <w:rPr>
          <w:rFonts w:ascii="Times New Roman" w:eastAsia="Times New Roman" w:hAnsi="Times New Roman" w:cs="Times New Roman"/>
          <w:sz w:val="24"/>
          <w:szCs w:val="24"/>
        </w:rPr>
        <w:t xml:space="preserve">ção e ação pedagógica docente; (5) </w:t>
      </w:r>
      <w:r w:rsidRPr="0039154F">
        <w:rPr>
          <w:rFonts w:ascii="Times New Roman" w:eastAsia="Times New Roman" w:hAnsi="Times New Roman" w:cs="Times New Roman"/>
          <w:sz w:val="24"/>
          <w:szCs w:val="24"/>
        </w:rPr>
        <w:t xml:space="preserve">taxas de acesso, condições de permanência em função da diversidade socioeconômica e cultural e </w:t>
      </w:r>
      <w:r>
        <w:rPr>
          <w:rFonts w:ascii="Times New Roman" w:eastAsia="Times New Roman" w:hAnsi="Times New Roman" w:cs="Times New Roman"/>
          <w:sz w:val="24"/>
          <w:szCs w:val="24"/>
        </w:rPr>
        <w:t xml:space="preserve">(6) </w:t>
      </w:r>
      <w:r w:rsidRPr="0039154F">
        <w:rPr>
          <w:rFonts w:ascii="Times New Roman" w:eastAsia="Times New Roman" w:hAnsi="Times New Roman" w:cs="Times New Roman"/>
          <w:sz w:val="24"/>
          <w:szCs w:val="24"/>
        </w:rPr>
        <w:t xml:space="preserve">desempenho acadêmico satisfatório dos estudantes. </w:t>
      </w:r>
    </w:p>
    <w:p w:rsidR="002538D1" w:rsidRPr="0039154F" w:rsidRDefault="002538D1" w:rsidP="002538D1">
      <w:pPr>
        <w:spacing w:after="0" w:line="360" w:lineRule="auto"/>
        <w:ind w:firstLine="708"/>
        <w:jc w:val="both"/>
        <w:rPr>
          <w:rFonts w:ascii="Times New Roman" w:hAnsi="Times New Roman" w:cs="Times New Roman"/>
          <w:sz w:val="24"/>
          <w:szCs w:val="24"/>
        </w:rPr>
      </w:pPr>
      <w:r w:rsidRPr="0039154F">
        <w:rPr>
          <w:rFonts w:ascii="Times New Roman" w:hAnsi="Times New Roman" w:cs="Times New Roman"/>
          <w:sz w:val="24"/>
          <w:szCs w:val="24"/>
        </w:rPr>
        <w:t>Tais aspectos reforçam os elementos já destacados no início des</w:t>
      </w:r>
      <w:r>
        <w:rPr>
          <w:rFonts w:ascii="Times New Roman" w:hAnsi="Times New Roman" w:cs="Times New Roman"/>
          <w:sz w:val="24"/>
          <w:szCs w:val="24"/>
        </w:rPr>
        <w:t>t</w:t>
      </w:r>
      <w:r w:rsidRPr="0039154F">
        <w:rPr>
          <w:rFonts w:ascii="Times New Roman" w:hAnsi="Times New Roman" w:cs="Times New Roman"/>
          <w:sz w:val="24"/>
          <w:szCs w:val="24"/>
        </w:rPr>
        <w:t>e artigo. A necessária vinculação e articulação com a gestão, com um currículo inovador e voltado à formação integral do aluno, a busca de uma educação humanizada, potencializadora da criatividade, com os recursos disponíveis para a exploração e a convivência enriquecedora das diferenças, a ênfase no protagonismo e a formação de redes que envolvam os estudantes em questões relevantes à sua comunidade e que problematizam seus espaços de atuação.</w:t>
      </w:r>
    </w:p>
    <w:p w:rsidR="002538D1" w:rsidRPr="0039154F" w:rsidRDefault="002538D1" w:rsidP="002538D1">
      <w:pPr>
        <w:spacing w:after="0" w:line="360" w:lineRule="auto"/>
        <w:ind w:firstLine="708"/>
        <w:jc w:val="both"/>
        <w:rPr>
          <w:rFonts w:ascii="Times New Roman" w:eastAsia="Times New Roman" w:hAnsi="Times New Roman" w:cs="Times New Roman"/>
          <w:sz w:val="24"/>
          <w:szCs w:val="24"/>
        </w:rPr>
      </w:pPr>
      <w:r w:rsidRPr="0039154F">
        <w:rPr>
          <w:rFonts w:ascii="Times New Roman" w:hAnsi="Times New Roman" w:cs="Times New Roman"/>
          <w:sz w:val="24"/>
          <w:szCs w:val="24"/>
        </w:rPr>
        <w:t xml:space="preserve">De forma complementar e como resultado disso, o </w:t>
      </w:r>
      <w:r w:rsidRPr="0039154F">
        <w:rPr>
          <w:rFonts w:ascii="Times New Roman" w:eastAsia="Times New Roman" w:hAnsi="Times New Roman" w:cs="Times New Roman"/>
          <w:sz w:val="24"/>
          <w:szCs w:val="24"/>
        </w:rPr>
        <w:t xml:space="preserve">êxito acadêmico será tratado dentro de um contexto de referência de expansão de ensino superior na modalidade a distância, na busca pela democratização expressa no PNE e nas políticas públicas de criação de um novo </w:t>
      </w:r>
      <w:r>
        <w:rPr>
          <w:rFonts w:ascii="Times New Roman" w:eastAsia="Times New Roman" w:hAnsi="Times New Roman" w:cs="Times New Roman"/>
          <w:sz w:val="24"/>
          <w:szCs w:val="24"/>
        </w:rPr>
        <w:t xml:space="preserve">marco </w:t>
      </w:r>
      <w:r w:rsidRPr="0039154F">
        <w:rPr>
          <w:rFonts w:ascii="Times New Roman" w:eastAsia="Times New Roman" w:hAnsi="Times New Roman" w:cs="Times New Roman"/>
          <w:sz w:val="24"/>
          <w:szCs w:val="24"/>
        </w:rPr>
        <w:t>regulatóri</w:t>
      </w:r>
      <w:r>
        <w:rPr>
          <w:rFonts w:ascii="Times New Roman" w:eastAsia="Times New Roman" w:hAnsi="Times New Roman" w:cs="Times New Roman"/>
          <w:sz w:val="24"/>
          <w:szCs w:val="24"/>
        </w:rPr>
        <w:t xml:space="preserve">o com </w:t>
      </w:r>
      <w:r w:rsidRPr="0039154F">
        <w:rPr>
          <w:rFonts w:ascii="Times New Roman" w:eastAsia="Times New Roman" w:hAnsi="Times New Roman" w:cs="Times New Roman"/>
          <w:sz w:val="24"/>
          <w:szCs w:val="24"/>
        </w:rPr>
        <w:t xml:space="preserve">a efetiva criação de polos nos cursos ofertados a distância. </w:t>
      </w:r>
    </w:p>
    <w:p w:rsidR="002538D1" w:rsidRPr="0039154F" w:rsidRDefault="002538D1" w:rsidP="002538D1">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continuidade do estudo, a</w:t>
      </w:r>
      <w:r w:rsidRPr="0039154F">
        <w:rPr>
          <w:rFonts w:ascii="Times New Roman" w:eastAsia="Times New Roman" w:hAnsi="Times New Roman" w:cs="Times New Roman"/>
          <w:sz w:val="24"/>
          <w:szCs w:val="24"/>
        </w:rPr>
        <w:t>s dimensões que sirvam de parâmetros de excelência de ensino</w:t>
      </w:r>
      <w:r>
        <w:rPr>
          <w:rFonts w:ascii="Times New Roman" w:eastAsia="Times New Roman" w:hAnsi="Times New Roman" w:cs="Times New Roman"/>
          <w:sz w:val="24"/>
          <w:szCs w:val="24"/>
        </w:rPr>
        <w:t xml:space="preserve"> se</w:t>
      </w:r>
      <w:r w:rsidRPr="0039154F">
        <w:rPr>
          <w:rFonts w:ascii="Times New Roman" w:eastAsia="Times New Roman" w:hAnsi="Times New Roman" w:cs="Times New Roman"/>
          <w:sz w:val="24"/>
          <w:szCs w:val="24"/>
        </w:rPr>
        <w:t xml:space="preserve">rão analisadas em três momentos, </w:t>
      </w:r>
      <w:r>
        <w:rPr>
          <w:rFonts w:ascii="Times New Roman" w:eastAsia="Times New Roman" w:hAnsi="Times New Roman" w:cs="Times New Roman"/>
          <w:sz w:val="24"/>
          <w:szCs w:val="24"/>
        </w:rPr>
        <w:t>em um</w:t>
      </w:r>
      <w:r w:rsidRPr="0039154F">
        <w:rPr>
          <w:rFonts w:ascii="Times New Roman" w:eastAsia="Times New Roman" w:hAnsi="Times New Roman" w:cs="Times New Roman"/>
          <w:sz w:val="24"/>
          <w:szCs w:val="24"/>
        </w:rPr>
        <w:t xml:space="preserve"> estudo descritivo por questionário, com enfoque preditivo e de desenvolvimento longitudinal, dada a sequência temporal do processo de transição para a educação superior: início dos estudos, término do primeiro semestre e conclusão do primeiro ano de estudos. Assim</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será possível </w:t>
      </w:r>
      <w:r w:rsidRPr="0039154F">
        <w:rPr>
          <w:rFonts w:ascii="Times New Roman" w:eastAsia="Times New Roman" w:hAnsi="Times New Roman" w:cs="Times New Roman"/>
          <w:sz w:val="24"/>
          <w:szCs w:val="24"/>
        </w:rPr>
        <w:lastRenderedPageBreak/>
        <w:t>descrever o perfil de entrada dos estudantes nos cursos a distância</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conhecer e analisar o processo de transição dos alunos ao final do primeiro período de estudos</w:t>
      </w:r>
      <w:r>
        <w:rPr>
          <w:rFonts w:ascii="Times New Roman" w:eastAsia="Times New Roman" w:hAnsi="Times New Roman" w:cs="Times New Roman"/>
          <w:sz w:val="24"/>
          <w:szCs w:val="24"/>
        </w:rPr>
        <w:t>,</w:t>
      </w:r>
      <w:r w:rsidRPr="0039154F">
        <w:rPr>
          <w:rFonts w:ascii="Times New Roman" w:eastAsia="Times New Roman" w:hAnsi="Times New Roman" w:cs="Times New Roman"/>
          <w:sz w:val="24"/>
          <w:szCs w:val="24"/>
        </w:rPr>
        <w:t xml:space="preserve"> descrever e analisar a </w:t>
      </w:r>
      <w:r>
        <w:rPr>
          <w:rFonts w:ascii="Times New Roman" w:eastAsia="Times New Roman" w:hAnsi="Times New Roman" w:cs="Times New Roman"/>
          <w:sz w:val="24"/>
          <w:szCs w:val="24"/>
        </w:rPr>
        <w:t xml:space="preserve">sua </w:t>
      </w:r>
      <w:r w:rsidRPr="0039154F">
        <w:rPr>
          <w:rFonts w:ascii="Times New Roman" w:eastAsia="Times New Roman" w:hAnsi="Times New Roman" w:cs="Times New Roman"/>
          <w:sz w:val="24"/>
          <w:szCs w:val="24"/>
        </w:rPr>
        <w:t>transição durante o primeiro ano de estudos e de</w:t>
      </w:r>
      <w:r>
        <w:rPr>
          <w:rFonts w:ascii="Times New Roman" w:eastAsia="Times New Roman" w:hAnsi="Times New Roman" w:cs="Times New Roman"/>
          <w:sz w:val="24"/>
          <w:szCs w:val="24"/>
        </w:rPr>
        <w:t>terminar os fatores associados à</w:t>
      </w:r>
      <w:r w:rsidRPr="0039154F">
        <w:rPr>
          <w:rFonts w:ascii="Times New Roman" w:eastAsia="Times New Roman" w:hAnsi="Times New Roman" w:cs="Times New Roman"/>
          <w:sz w:val="24"/>
          <w:szCs w:val="24"/>
        </w:rPr>
        <w:t xml:space="preserve"> qualidade acadêmica.</w:t>
      </w:r>
    </w:p>
    <w:p w:rsidR="002538D1" w:rsidRPr="0039154F" w:rsidRDefault="002538D1" w:rsidP="002538D1">
      <w:pPr>
        <w:spacing w:after="0" w:line="360" w:lineRule="auto"/>
        <w:jc w:val="both"/>
        <w:rPr>
          <w:rFonts w:ascii="Times New Roman" w:eastAsia="Times New Roman" w:hAnsi="Times New Roman" w:cs="Times New Roman"/>
          <w:u w:val="single"/>
        </w:rPr>
      </w:pPr>
    </w:p>
    <w:p w:rsidR="002538D1" w:rsidRPr="0039154F" w:rsidRDefault="002538D1" w:rsidP="002538D1">
      <w:pPr>
        <w:spacing w:after="0" w:line="360" w:lineRule="auto"/>
        <w:jc w:val="both"/>
        <w:rPr>
          <w:rFonts w:ascii="Times New Roman" w:eastAsia="Times New Roman" w:hAnsi="Times New Roman" w:cs="Times New Roman"/>
          <w:b/>
          <w:sz w:val="24"/>
          <w:szCs w:val="24"/>
          <w:highlight w:val="white"/>
        </w:rPr>
      </w:pPr>
      <w:r w:rsidRPr="0039154F">
        <w:rPr>
          <w:rFonts w:ascii="Times New Roman" w:eastAsia="Times New Roman" w:hAnsi="Times New Roman" w:cs="Times New Roman"/>
          <w:b/>
          <w:sz w:val="24"/>
          <w:szCs w:val="24"/>
          <w:highlight w:val="white"/>
        </w:rPr>
        <w:t xml:space="preserve">REFERÊNCIAS  </w:t>
      </w:r>
    </w:p>
    <w:p w:rsidR="002538D1" w:rsidRDefault="002538D1" w:rsidP="002538D1">
      <w:pPr>
        <w:shd w:val="clear" w:color="auto" w:fill="FFFFFF"/>
        <w:spacing w:after="0" w:line="240" w:lineRule="auto"/>
        <w:jc w:val="both"/>
        <w:rPr>
          <w:rFonts w:ascii="Times New Roman" w:eastAsia="Times New Roman" w:hAnsi="Times New Roman" w:cs="Times New Roman"/>
          <w:sz w:val="24"/>
          <w:szCs w:val="24"/>
        </w:rPr>
      </w:pPr>
      <w:bookmarkStart w:id="1" w:name="_Hlk510638657"/>
      <w:r>
        <w:rPr>
          <w:rFonts w:ascii="Times New Roman" w:eastAsia="Times New Roman" w:hAnsi="Times New Roman" w:cs="Times New Roman"/>
          <w:sz w:val="24"/>
          <w:szCs w:val="24"/>
        </w:rPr>
        <w:t>ASSOCIAÇÃO BRASILEIRA DE EDUCAÇÃO A DISTÂNCIA. Censo EAD Brasil 2016.</w:t>
      </w:r>
      <w:r w:rsidRPr="0039154F">
        <w:rPr>
          <w:rFonts w:ascii="Times New Roman" w:eastAsia="Times New Roman" w:hAnsi="Times New Roman" w:cs="Times New Roman"/>
          <w:sz w:val="24"/>
          <w:szCs w:val="24"/>
        </w:rPr>
        <w:t xml:space="preserve"> Curitiba: Inter</w:t>
      </w:r>
      <w:r>
        <w:rPr>
          <w:rFonts w:ascii="Times New Roman" w:eastAsia="Times New Roman" w:hAnsi="Times New Roman" w:cs="Times New Roman"/>
          <w:sz w:val="24"/>
          <w:szCs w:val="24"/>
        </w:rPr>
        <w:t>s</w:t>
      </w:r>
      <w:r w:rsidRPr="0039154F">
        <w:rPr>
          <w:rFonts w:ascii="Times New Roman" w:eastAsia="Times New Roman" w:hAnsi="Times New Roman" w:cs="Times New Roman"/>
          <w:sz w:val="24"/>
          <w:szCs w:val="24"/>
        </w:rPr>
        <w:t xml:space="preserve">aberes, 2017. </w:t>
      </w:r>
    </w:p>
    <w:p w:rsidR="002538D1" w:rsidRDefault="002538D1" w:rsidP="002538D1">
      <w:pPr>
        <w:spacing w:after="0" w:line="360" w:lineRule="auto"/>
        <w:contextualSpacing/>
        <w:jc w:val="both"/>
        <w:rPr>
          <w:rFonts w:ascii="Times New Roman" w:hAnsi="Times New Roman" w:cs="Times New Roman"/>
          <w:sz w:val="24"/>
          <w:szCs w:val="24"/>
          <w:shd w:val="clear" w:color="auto" w:fill="FFFFFF"/>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w:t>
      </w:r>
      <w:r w:rsidRPr="00885C4D">
        <w:rPr>
          <w:rFonts w:ascii="Times New Roman" w:eastAsia="Times New Roman" w:hAnsi="Times New Roman" w:cs="Times New Roman"/>
          <w:sz w:val="24"/>
          <w:szCs w:val="24"/>
        </w:rPr>
        <w:t>.</w:t>
      </w:r>
      <w:r w:rsidRPr="00885C4D" w:rsidDel="00826B5C">
        <w:rPr>
          <w:rFonts w:ascii="Times New Roman" w:eastAsia="Times New Roman" w:hAnsi="Times New Roman" w:cs="Times New Roman"/>
          <w:b/>
          <w:sz w:val="24"/>
          <w:szCs w:val="24"/>
        </w:rPr>
        <w:t xml:space="preserve"> </w:t>
      </w:r>
      <w:r w:rsidRPr="00885C4D">
        <w:rPr>
          <w:rFonts w:ascii="Times New Roman" w:eastAsia="Times New Roman" w:hAnsi="Times New Roman" w:cs="Times New Roman"/>
          <w:b/>
          <w:sz w:val="24"/>
          <w:szCs w:val="24"/>
        </w:rPr>
        <w:t>Censo EAD Brasil 2015:</w:t>
      </w:r>
      <w:r w:rsidRPr="00885C4D">
        <w:rPr>
          <w:rFonts w:ascii="Times New Roman" w:eastAsia="Times New Roman" w:hAnsi="Times New Roman" w:cs="Times New Roman"/>
          <w:sz w:val="24"/>
          <w:szCs w:val="24"/>
        </w:rPr>
        <w:t xml:space="preserve"> relatório analítico da aprendizagem a distância no Brasil. Curitiba: Intersaberes, 2016. Disponível em: &lt;</w:t>
      </w:r>
      <w:hyperlink r:id="rId13">
        <w:r w:rsidRPr="00885C4D">
          <w:rPr>
            <w:rStyle w:val="Hyperlink"/>
            <w:rFonts w:ascii="Times New Roman" w:hAnsi="Times New Roman" w:cs="Times New Roman"/>
            <w:sz w:val="24"/>
            <w:szCs w:val="24"/>
          </w:rPr>
          <w:t>http://abed.org.br/arquivos/Censo_EAD_2015_POR.pdf</w:t>
        </w:r>
      </w:hyperlink>
      <w:r w:rsidRPr="00885C4D">
        <w:rPr>
          <w:rFonts w:ascii="Times New Roman" w:eastAsia="Times New Roman" w:hAnsi="Times New Roman" w:cs="Times New Roman"/>
          <w:sz w:val="24"/>
          <w:szCs w:val="24"/>
        </w:rPr>
        <w:t>&gt;. Acesso em: 15 jan.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EAD Brasil 2016:</w:t>
      </w:r>
      <w:r w:rsidRPr="00885C4D">
        <w:rPr>
          <w:rFonts w:ascii="Times New Roman" w:eastAsia="Times New Roman" w:hAnsi="Times New Roman" w:cs="Times New Roman"/>
          <w:sz w:val="24"/>
          <w:szCs w:val="24"/>
        </w:rPr>
        <w:t xml:space="preserve"> relatório analítico da aprendizagem a distância no Brasil. Curitiba: Intersaberes, 2017. Disponível em: &lt;&gt;. Acesso em: 15 jan.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ATUALIZADA legislação que regulamenta educação a distância no país.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26 maio 2017. Disponível em: &lt;</w:t>
      </w:r>
      <w:hyperlink r:id="rId14" w:history="1">
        <w:r w:rsidRPr="00885C4D">
          <w:rPr>
            <w:rStyle w:val="Hyperlink"/>
            <w:rFonts w:ascii="Times New Roman" w:eastAsia="Times New Roman" w:hAnsi="Times New Roman" w:cs="Times New Roman"/>
            <w:sz w:val="24"/>
            <w:szCs w:val="24"/>
          </w:rPr>
          <w:t>http://portal.mec.gov.br/busca-geral/212-noticias/educacao-superior-1690610854/49321-mec-atualiza-legislacao-que-regulamenta-educacao-a-distancia-no-pais</w:t>
        </w:r>
      </w:hyperlink>
      <w:r w:rsidRPr="00885C4D">
        <w:rPr>
          <w:rFonts w:ascii="Times New Roman" w:eastAsia="Times New Roman" w:hAnsi="Times New Roman" w:cs="Times New Roman"/>
          <w:sz w:val="24"/>
          <w:szCs w:val="24"/>
        </w:rPr>
        <w:t>&gt;. Acesso em: 30 mar.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BERTOLIN, J. Qualidade em educação superior: da diversidade de concepções a inexorável subjetividade conceitual. </w:t>
      </w:r>
      <w:r w:rsidRPr="00885C4D">
        <w:rPr>
          <w:rFonts w:ascii="Times New Roman" w:eastAsia="Times New Roman" w:hAnsi="Times New Roman" w:cs="Times New Roman"/>
          <w:b/>
          <w:sz w:val="24"/>
          <w:szCs w:val="24"/>
        </w:rPr>
        <w:t>Avaliação:</w:t>
      </w:r>
      <w:r w:rsidRPr="00885C4D">
        <w:rPr>
          <w:rFonts w:ascii="Times New Roman" w:eastAsia="Times New Roman" w:hAnsi="Times New Roman" w:cs="Times New Roman"/>
          <w:sz w:val="24"/>
          <w:szCs w:val="24"/>
        </w:rPr>
        <w:t xml:space="preserve"> revista da avaliação da educação superior, Campinas, v. 14, n. 1, p. 127-149, mar. 2009.</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BRAGA, M. J.; XAVIER, F. P. Transição para o ensino superior: aspiração dos alunos do ensino médio de uma escola pública. </w:t>
      </w:r>
      <w:r w:rsidRPr="00885C4D">
        <w:rPr>
          <w:rFonts w:ascii="Times New Roman" w:eastAsia="Times New Roman" w:hAnsi="Times New Roman" w:cs="Times New Roman"/>
          <w:b/>
          <w:sz w:val="24"/>
          <w:szCs w:val="24"/>
        </w:rPr>
        <w:t>Educar em Revista,</w:t>
      </w:r>
      <w:r w:rsidRPr="00885C4D">
        <w:rPr>
          <w:rFonts w:ascii="Times New Roman" w:eastAsia="Times New Roman" w:hAnsi="Times New Roman" w:cs="Times New Roman"/>
          <w:sz w:val="24"/>
          <w:szCs w:val="24"/>
        </w:rPr>
        <w:t xml:space="preserve"> Curitiba, n. 62, p. 245-259, dez. 2016.</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BRASIL. </w:t>
      </w:r>
      <w:r w:rsidRPr="00885C4D">
        <w:rPr>
          <w:rFonts w:ascii="Times New Roman" w:eastAsia="Times New Roman" w:hAnsi="Times New Roman" w:cs="Times New Roman"/>
          <w:b/>
          <w:sz w:val="24"/>
          <w:szCs w:val="24"/>
        </w:rPr>
        <w:t>Constituição</w:t>
      </w:r>
      <w:r w:rsidRPr="00885C4D">
        <w:rPr>
          <w:rFonts w:ascii="Times New Roman" w:eastAsia="Times New Roman" w:hAnsi="Times New Roman" w:cs="Times New Roman"/>
          <w:sz w:val="24"/>
          <w:szCs w:val="24"/>
        </w:rPr>
        <w:t xml:space="preserve"> </w:t>
      </w:r>
      <w:r w:rsidRPr="00885C4D">
        <w:rPr>
          <w:rFonts w:ascii="Times New Roman" w:eastAsia="Times New Roman" w:hAnsi="Times New Roman" w:cs="Times New Roman"/>
          <w:b/>
          <w:sz w:val="24"/>
          <w:szCs w:val="24"/>
        </w:rPr>
        <w:t>(1988)</w:t>
      </w:r>
      <w:r w:rsidRPr="00885C4D">
        <w:rPr>
          <w:rFonts w:ascii="Times New Roman" w:eastAsia="Times New Roman" w:hAnsi="Times New Roman" w:cs="Times New Roman"/>
          <w:sz w:val="24"/>
          <w:szCs w:val="24"/>
        </w:rPr>
        <w:t xml:space="preserve">. Constituição da República Federativa do Brasil. Brasília, DF: Senado Federal; Centro Gráfico, 1988.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Decreto nº 9.235, de 15 de dezembro de 2017. Dispõe sobre o exercício das funções de regulação, supervisão e avaliação das instituições de educação superior e dos cursos superiores de graduação e de pós-graduação no sistema federal de ensino.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18 dez. 2017. Disponível em: &lt;</w:t>
      </w:r>
      <w:hyperlink r:id="rId15" w:history="1">
        <w:r w:rsidRPr="00885C4D">
          <w:rPr>
            <w:rStyle w:val="Hyperlink"/>
            <w:rFonts w:eastAsia="Times New Roman"/>
          </w:rPr>
          <w:t>http://www.planalto.gov.br/ccivil_03/_Ato2015-2018/2017/Decreto/D9235.htm</w:t>
        </w:r>
      </w:hyperlink>
      <w:r w:rsidRPr="00885C4D">
        <w:rPr>
          <w:rFonts w:ascii="Times New Roman" w:eastAsia="Times New Roman" w:hAnsi="Times New Roman" w:cs="Times New Roman"/>
          <w:sz w:val="24"/>
          <w:szCs w:val="24"/>
        </w:rPr>
        <w:t>&gt;. Acesso em: 15 dez. 2017.</w:t>
      </w: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______. </w:t>
      </w:r>
      <w:hyperlink r:id="rId16" w:history="1">
        <w:r w:rsidRPr="00885C4D">
          <w:rPr>
            <w:rFonts w:ascii="Times New Roman" w:eastAsia="Times New Roman" w:hAnsi="Times New Roman" w:cs="Times New Roman"/>
            <w:sz w:val="24"/>
            <w:szCs w:val="24"/>
          </w:rPr>
          <w:t>Decreto nº 9.057, de 25 de maio de 2017</w:t>
        </w:r>
      </w:hyperlink>
      <w:r w:rsidRPr="00885C4D">
        <w:rPr>
          <w:rFonts w:ascii="Times New Roman" w:eastAsia="Times New Roman" w:hAnsi="Times New Roman" w:cs="Times New Roman"/>
          <w:sz w:val="24"/>
          <w:szCs w:val="24"/>
        </w:rPr>
        <w:t xml:space="preserve">. Regulamenta o art. 80 da Lei nº 9.394, de 20 de dezembro de 1996, que estabelece as diretrizes e bases da educação nacional.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30 maio 2017. Disponível em: &lt;</w:t>
      </w:r>
      <w:hyperlink r:id="rId17" w:anchor="art24" w:history="1">
        <w:r w:rsidRPr="00885C4D">
          <w:rPr>
            <w:rStyle w:val="Hyperlink"/>
            <w:rFonts w:eastAsia="Times New Roman"/>
          </w:rPr>
          <w:t>http://www.planalto.gov.br/ccivil_03/_Ato2015-2018/2017/Decreto/D9057.htm#art24</w:t>
        </w:r>
      </w:hyperlink>
      <w:r w:rsidRPr="00885C4D">
        <w:rPr>
          <w:rFonts w:ascii="Times New Roman" w:eastAsia="Times New Roman" w:hAnsi="Times New Roman" w:cs="Times New Roman"/>
          <w:sz w:val="24"/>
          <w:szCs w:val="24"/>
        </w:rPr>
        <w:t>&gt;. Acesso em: 15 dez.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Lei nº 13.005, de 25 de junho de 2014. Aprova o Plano Nacional de Educação – PNE e dá outras providências. </w:t>
      </w:r>
      <w:r w:rsidRPr="00885C4D">
        <w:rPr>
          <w:rFonts w:ascii="Times New Roman" w:eastAsia="Times New Roman" w:hAnsi="Times New Roman" w:cs="Times New Roman"/>
          <w:b/>
          <w:sz w:val="24"/>
          <w:szCs w:val="24"/>
        </w:rPr>
        <w:t xml:space="preserve">Diário Oficial da União, </w:t>
      </w:r>
      <w:r w:rsidRPr="00885C4D">
        <w:rPr>
          <w:rFonts w:ascii="Times New Roman" w:eastAsia="Times New Roman" w:hAnsi="Times New Roman" w:cs="Times New Roman"/>
          <w:sz w:val="24"/>
          <w:szCs w:val="24"/>
        </w:rPr>
        <w:t>Brasília, DF, 26 jun. 2014. Disponível em: &lt;</w:t>
      </w:r>
      <w:hyperlink r:id="rId18" w:history="1">
        <w:r w:rsidRPr="00885C4D">
          <w:rPr>
            <w:rStyle w:val="Hyperlink"/>
            <w:rFonts w:ascii="Times New Roman" w:hAnsi="Times New Roman" w:cs="Times New Roman"/>
            <w:sz w:val="24"/>
            <w:szCs w:val="24"/>
          </w:rPr>
          <w:t>http://www2.camara.leg.br/legin/fed/lei/2014/lei-13005-25-junho-2014-778970-publicacaooriginal-144468-pl.html</w:t>
        </w:r>
      </w:hyperlink>
      <w:r w:rsidRPr="00885C4D">
        <w:rPr>
          <w:rFonts w:eastAsia="Times New Roman"/>
        </w:rPr>
        <w:t>&gt;</w:t>
      </w:r>
      <w:r w:rsidRPr="00885C4D">
        <w:rPr>
          <w:rFonts w:ascii="Times New Roman" w:eastAsia="Times New Roman" w:hAnsi="Times New Roman" w:cs="Times New Roman"/>
          <w:sz w:val="24"/>
          <w:szCs w:val="24"/>
        </w:rPr>
        <w:t xml:space="preserve">. </w:t>
      </w:r>
      <w:r w:rsidRPr="00885C4D">
        <w:rPr>
          <w:rFonts w:eastAsia="Times New Roman"/>
        </w:rPr>
        <w:t>Acesso</w:t>
      </w:r>
      <w:r w:rsidRPr="00885C4D">
        <w:rPr>
          <w:rFonts w:ascii="Times New Roman" w:eastAsia="Times New Roman" w:hAnsi="Times New Roman" w:cs="Times New Roman"/>
          <w:sz w:val="24"/>
          <w:szCs w:val="24"/>
        </w:rPr>
        <w:t xml:space="preserve"> </w:t>
      </w:r>
      <w:r w:rsidRPr="00885C4D">
        <w:rPr>
          <w:rFonts w:eastAsia="Times New Roman"/>
        </w:rPr>
        <w:t>em:</w:t>
      </w:r>
      <w:r w:rsidRPr="00885C4D">
        <w:rPr>
          <w:rFonts w:ascii="Times New Roman" w:eastAsia="Times New Roman" w:hAnsi="Times New Roman" w:cs="Times New Roman"/>
          <w:sz w:val="24"/>
          <w:szCs w:val="24"/>
        </w:rPr>
        <w:t xml:space="preserve"> </w:t>
      </w:r>
      <w:r w:rsidRPr="00885C4D">
        <w:rPr>
          <w:rFonts w:eastAsia="Times New Roman"/>
        </w:rPr>
        <w:t>12</w:t>
      </w:r>
      <w:r w:rsidRPr="00885C4D">
        <w:rPr>
          <w:rFonts w:ascii="Times New Roman" w:eastAsia="Times New Roman" w:hAnsi="Times New Roman" w:cs="Times New Roman"/>
          <w:sz w:val="24"/>
          <w:szCs w:val="24"/>
        </w:rPr>
        <w:t xml:space="preserve"> </w:t>
      </w:r>
      <w:r w:rsidRPr="00885C4D">
        <w:rPr>
          <w:rFonts w:eastAsia="Times New Roman"/>
        </w:rPr>
        <w:t>jan.</w:t>
      </w:r>
      <w:r w:rsidRPr="00885C4D">
        <w:rPr>
          <w:rFonts w:ascii="Times New Roman" w:eastAsia="Times New Roman" w:hAnsi="Times New Roman" w:cs="Times New Roman"/>
          <w:sz w:val="24"/>
          <w:szCs w:val="24"/>
        </w:rPr>
        <w:t xml:space="preserve"> </w:t>
      </w:r>
      <w:r w:rsidRPr="00885C4D">
        <w:rPr>
          <w:rFonts w:eastAsia="Times New Roman"/>
        </w:rPr>
        <w:t>2018</w:t>
      </w:r>
      <w:r w:rsidRPr="00885C4D">
        <w:rPr>
          <w:rFonts w:ascii="Times New Roman" w:eastAsia="Times New Roman" w:hAnsi="Times New Roman" w:cs="Times New Roman"/>
          <w:sz w:val="24"/>
          <w:szCs w:val="24"/>
        </w:rPr>
        <w:t>.</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Lei nº 9.394, de 20 de dezembro de 1996. Estabelece as diretrizes e bases da educação nacional.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23 dez. 1996. Disponível em: &lt;</w:t>
      </w:r>
      <w:hyperlink r:id="rId19" w:history="1">
        <w:r w:rsidRPr="00885C4D">
          <w:rPr>
            <w:rStyle w:val="Hyperlink"/>
            <w:rFonts w:eastAsia="Times New Roman"/>
          </w:rPr>
          <w:t>http://www.planalto.gov.br/ccivil_03/leis/L9394.htm</w:t>
        </w:r>
      </w:hyperlink>
      <w:r w:rsidRPr="00885C4D">
        <w:rPr>
          <w:rFonts w:ascii="Times New Roman" w:eastAsia="Times New Roman" w:hAnsi="Times New Roman" w:cs="Times New Roman"/>
          <w:sz w:val="24"/>
          <w:szCs w:val="24"/>
        </w:rPr>
        <w:t>&gt;. Acesso em: 16 dez.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Edital nº 2, de 11 de janeiro de 2018. Programa Universidade para Todos – Prouni: processo seletivo: primeiro semestre de 2018.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10, 15 jan. 2018. Seção 3, p. 1-4.</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Portaria Normativa nº 10, de 31 de julho de 2015. Dispõe sobre o Fundo de Financiamento Estudantil – Fies.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146, 3 ago. 2015. Seção 1, p. 99-100.</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Portaria Normativa nº 25, de 28 de dezembro de 2017. Dispõe sobre o processo seletivo do Fies e P-Fies. </w:t>
      </w:r>
      <w:r w:rsidRPr="00885C4D">
        <w:rPr>
          <w:rFonts w:ascii="Times New Roman" w:eastAsia="Times New Roman" w:hAnsi="Times New Roman" w:cs="Times New Roman"/>
          <w:b/>
          <w:sz w:val="24"/>
          <w:szCs w:val="24"/>
        </w:rPr>
        <w:t>Diário Oficial da União,</w:t>
      </w:r>
      <w:r w:rsidRPr="00885C4D">
        <w:rPr>
          <w:rFonts w:ascii="Times New Roman" w:eastAsia="Times New Roman" w:hAnsi="Times New Roman" w:cs="Times New Roman"/>
          <w:sz w:val="24"/>
          <w:szCs w:val="24"/>
        </w:rPr>
        <w:t xml:space="preserve"> Brasília, DF, n. 249, 29 dez. 2017. Seção 1, p. 16-19.</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Planejando a próxima década:</w:t>
      </w:r>
      <w:r w:rsidRPr="00885C4D">
        <w:rPr>
          <w:rFonts w:ascii="Times New Roman" w:eastAsia="Times New Roman" w:hAnsi="Times New Roman" w:cs="Times New Roman"/>
          <w:sz w:val="24"/>
          <w:szCs w:val="24"/>
        </w:rPr>
        <w:t xml:space="preserve"> conhecendo as 20 metas do Plano Nacional de Educação. Brasília: MEC; Sase, 2014.</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do Planejamento, Orçamento e Gestão. </w:t>
      </w:r>
      <w:r w:rsidRPr="00885C4D">
        <w:rPr>
          <w:rFonts w:ascii="Times New Roman" w:eastAsia="Times New Roman" w:hAnsi="Times New Roman" w:cs="Times New Roman"/>
          <w:b/>
          <w:sz w:val="24"/>
          <w:szCs w:val="24"/>
        </w:rPr>
        <w:t>Relatório anual de avaliação do PPA 2012-2015:</w:t>
      </w:r>
      <w:r w:rsidRPr="00885C4D">
        <w:rPr>
          <w:rFonts w:ascii="Times New Roman" w:eastAsia="Times New Roman" w:hAnsi="Times New Roman" w:cs="Times New Roman"/>
          <w:sz w:val="24"/>
          <w:szCs w:val="24"/>
        </w:rPr>
        <w:t xml:space="preserve"> ano-base 2015. Brasília, DF, 2016. Disponível em: &lt;</w:t>
      </w:r>
      <w:hyperlink r:id="rId20" w:history="1">
        <w:r w:rsidRPr="00885C4D">
          <w:rPr>
            <w:rStyle w:val="Hyperlink"/>
            <w:rFonts w:eastAsia="Times New Roman"/>
          </w:rPr>
          <w:t>http://www.planejamento.gov.br/secretarias/upload/Arquivos/spi/plano_plurianual/avaliacao_ppa/relatorio-de-avaliacao-do-ppa-2012-2015/relatorio-avaliacao-ppa-vol2-programas-tematicos.pdf</w:t>
        </w:r>
      </w:hyperlink>
      <w:r w:rsidRPr="00885C4D">
        <w:rPr>
          <w:rFonts w:ascii="Times New Roman" w:eastAsia="Times New Roman" w:hAnsi="Times New Roman" w:cs="Times New Roman"/>
          <w:sz w:val="24"/>
          <w:szCs w:val="24"/>
        </w:rPr>
        <w:t>&gt;. Acesso em: 30 mar.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2012:</w:t>
      </w:r>
      <w:r w:rsidRPr="00885C4D">
        <w:rPr>
          <w:rFonts w:ascii="Times New Roman" w:eastAsia="Times New Roman" w:hAnsi="Times New Roman" w:cs="Times New Roman"/>
          <w:sz w:val="24"/>
          <w:szCs w:val="24"/>
        </w:rPr>
        <w:t xml:space="preserve"> resumo técnico. Brasília: MEC; Inep, 2014.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2013:</w:t>
      </w:r>
      <w:r w:rsidRPr="00885C4D">
        <w:rPr>
          <w:rFonts w:ascii="Times New Roman" w:eastAsia="Times New Roman" w:hAnsi="Times New Roman" w:cs="Times New Roman"/>
          <w:sz w:val="24"/>
          <w:szCs w:val="24"/>
        </w:rPr>
        <w:t xml:space="preserve"> resumo técnico. Brasília: MEC; Inep, 2015.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______. </w:t>
      </w:r>
      <w:r w:rsidRPr="00885C4D">
        <w:rPr>
          <w:rFonts w:ascii="Times New Roman" w:eastAsia="Times New Roman" w:hAnsi="Times New Roman" w:cs="Times New Roman"/>
          <w:b/>
          <w:sz w:val="24"/>
          <w:szCs w:val="24"/>
        </w:rPr>
        <w:t>Censo da educação superior 2014:</w:t>
      </w:r>
      <w:r w:rsidRPr="00885C4D">
        <w:rPr>
          <w:rFonts w:ascii="Times New Roman" w:eastAsia="Times New Roman" w:hAnsi="Times New Roman" w:cs="Times New Roman"/>
          <w:sz w:val="24"/>
          <w:szCs w:val="24"/>
        </w:rPr>
        <w:t xml:space="preserve"> resumo técnico. Brasília: MEC; Inep, 2016.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2015:</w:t>
      </w:r>
      <w:r w:rsidRPr="00885C4D">
        <w:rPr>
          <w:rFonts w:ascii="Times New Roman" w:eastAsia="Times New Roman" w:hAnsi="Times New Roman" w:cs="Times New Roman"/>
          <w:sz w:val="24"/>
          <w:szCs w:val="24"/>
        </w:rPr>
        <w:t xml:space="preserve"> notas estatísticas. Brasília: MEC; Inep, 2016. Disponível em: &lt;</w:t>
      </w:r>
      <w:hyperlink r:id="rId21" w:history="1">
        <w:r w:rsidRPr="00885C4D">
          <w:rPr>
            <w:rStyle w:val="Hyperlink"/>
            <w:rFonts w:ascii="Times New Roman" w:eastAsia="Times New Roman" w:hAnsi="Times New Roman" w:cs="Times New Roman"/>
            <w:sz w:val="24"/>
            <w:szCs w:val="24"/>
          </w:rPr>
          <w:t>http://download.inep.gov.br/educacao_superior/censo_superior/documentos/2015/Notas_Estatisticas_Censo_Superior_2015.pdf</w:t>
        </w:r>
      </w:hyperlink>
      <w:r w:rsidRPr="00885C4D">
        <w:rPr>
          <w:rFonts w:ascii="Times New Roman" w:eastAsia="Times New Roman" w:hAnsi="Times New Roman" w:cs="Times New Roman"/>
          <w:sz w:val="24"/>
          <w:szCs w:val="24"/>
        </w:rPr>
        <w:t>&gt;. Acesso em: 10 nov.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w:t>
      </w:r>
      <w:r w:rsidRPr="00885C4D">
        <w:rPr>
          <w:rFonts w:ascii="Times New Roman" w:eastAsia="Times New Roman" w:hAnsi="Times New Roman" w:cs="Times New Roman"/>
          <w:b/>
          <w:sz w:val="24"/>
          <w:szCs w:val="24"/>
        </w:rPr>
        <w:t>Censo da educação superior 2016</w:t>
      </w:r>
      <w:r w:rsidRPr="00885C4D">
        <w:rPr>
          <w:rFonts w:ascii="Times New Roman" w:eastAsia="Times New Roman" w:hAnsi="Times New Roman" w:cs="Times New Roman"/>
          <w:sz w:val="24"/>
          <w:szCs w:val="24"/>
        </w:rPr>
        <w:t>: principais resultados. Brasília: MEC, Inep; Deed, 2016. Disponível em: &lt;</w:t>
      </w:r>
      <w:hyperlink r:id="rId22">
        <w:r w:rsidRPr="00885C4D">
          <w:rPr>
            <w:rStyle w:val="Hyperlink"/>
            <w:rFonts w:ascii="Times New Roman" w:hAnsi="Times New Roman" w:cs="Times New Roman"/>
            <w:sz w:val="24"/>
            <w:szCs w:val="24"/>
          </w:rPr>
          <w:t>http://download.inep.gov.br/educacao_superior/censo_superior/documentos/2016/censo_superior_tabelas.pdf</w:t>
        </w:r>
      </w:hyperlink>
      <w:r w:rsidRPr="00885C4D">
        <w:rPr>
          <w:rFonts w:ascii="Times New Roman" w:eastAsia="Times New Roman" w:hAnsi="Times New Roman" w:cs="Times New Roman"/>
          <w:sz w:val="24"/>
          <w:szCs w:val="24"/>
        </w:rPr>
        <w:t>&gt;. Acesso em: 17 jan. 2018.</w:t>
      </w:r>
    </w:p>
    <w:p w:rsidR="002538D1" w:rsidRDefault="002538D1" w:rsidP="002538D1">
      <w:pPr>
        <w:shd w:val="clear" w:color="auto" w:fill="FFFFFF"/>
        <w:spacing w:before="120"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before="120"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Ministério da Educação. </w:t>
      </w:r>
      <w:r w:rsidRPr="00885C4D">
        <w:rPr>
          <w:rFonts w:ascii="Times New Roman" w:eastAsia="Times New Roman" w:hAnsi="Times New Roman" w:cs="Times New Roman"/>
          <w:b/>
          <w:sz w:val="24"/>
          <w:szCs w:val="24"/>
        </w:rPr>
        <w:t>Microdados do censo da educação superior 2012:</w:t>
      </w:r>
      <w:r w:rsidRPr="00885C4D">
        <w:rPr>
          <w:rFonts w:ascii="Times New Roman" w:eastAsia="Times New Roman" w:hAnsi="Times New Roman" w:cs="Times New Roman"/>
          <w:sz w:val="24"/>
          <w:szCs w:val="24"/>
        </w:rPr>
        <w:t xml:space="preserve"> manual do usuário: versão 1. Brasília: Inep, 2013. Disponível em: &lt;</w:t>
      </w:r>
      <w:hyperlink r:id="rId23" w:history="1">
        <w:r w:rsidRPr="00885C4D">
          <w:rPr>
            <w:rStyle w:val="Hyperlink"/>
            <w:rFonts w:ascii="Times New Roman" w:eastAsia="Times New Roman" w:hAnsi="Times New Roman" w:cs="Times New Roman"/>
            <w:sz w:val="24"/>
            <w:szCs w:val="24"/>
          </w:rPr>
          <w:t>https://hackathonparaeducacao.files.wordpress.com/2014/04/leia_me_censo_superior_2012.pdf</w:t>
        </w:r>
      </w:hyperlink>
      <w:r w:rsidRPr="00885C4D">
        <w:rPr>
          <w:rFonts w:ascii="Times New Roman" w:eastAsia="Times New Roman" w:hAnsi="Times New Roman" w:cs="Times New Roman"/>
          <w:sz w:val="24"/>
          <w:szCs w:val="24"/>
        </w:rPr>
        <w:t xml:space="preserve">&gt;. Acesso em: 5 maio 2018.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CASTRO,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OLIVEIRA,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Associação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entre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aptidão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física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relacionada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à</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saúde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desempenho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acadêmico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adolescentes.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ista Brasileira de Cineantropometria e Desempenho Humano,</w:t>
      </w:r>
      <w:r w:rsidRPr="00885C4D">
        <w:rPr>
          <w:rFonts w:ascii="Times New Roman" w:eastAsia="Times New Roman" w:hAnsi="Times New Roman" w:cs="Times New Roman"/>
          <w:sz w:val="24"/>
          <w:szCs w:val="24"/>
        </w:rPr>
        <w:t xml:space="preserve"> Florianópolis, v. 18, n. 4, p. 441-449, 2016.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COSTA, A. R. et al. Expectativas acadêmicas dos alunos do ensino superior: construção e validação de uma escala de avaliação. </w:t>
      </w:r>
      <w:r w:rsidRPr="00615970">
        <w:rPr>
          <w:rFonts w:ascii="Times New Roman" w:eastAsia="Times New Roman" w:hAnsi="Times New Roman" w:cs="Times New Roman"/>
          <w:b/>
          <w:sz w:val="24"/>
          <w:szCs w:val="24"/>
        </w:rPr>
        <w:t>Psicologia,</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educação</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e</w:t>
      </w:r>
      <w:r w:rsidRPr="00885C4D">
        <w:rPr>
          <w:rFonts w:ascii="Times New Roman" w:eastAsia="Times New Roman" w:hAnsi="Times New Roman" w:cs="Times New Roman"/>
          <w:b/>
          <w:sz w:val="24"/>
          <w:szCs w:val="24"/>
        </w:rPr>
        <w:t xml:space="preserve"> </w:t>
      </w:r>
      <w:r w:rsidRPr="00615970">
        <w:rPr>
          <w:rFonts w:ascii="Times New Roman" w:eastAsia="Times New Roman" w:hAnsi="Times New Roman" w:cs="Times New Roman"/>
          <w:b/>
          <w:sz w:val="24"/>
          <w:szCs w:val="24"/>
        </w:rPr>
        <w:t>cultura</w:t>
      </w:r>
      <w:r w:rsidRPr="00885C4D">
        <w:rPr>
          <w:rFonts w:ascii="Times New Roman" w:eastAsia="Times New Roman" w:hAnsi="Times New Roman" w:cs="Times New Roman"/>
          <w:sz w:val="24"/>
          <w:szCs w:val="24"/>
        </w:rPr>
        <w:t xml:space="preserve">, Vila Nova de Gaia, v. 16, n. 1, p. 70-85, 2012.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DALBEN, A.; ALMEIDA, L. C. Para uma avaliação de larga escala multidimensional. </w:t>
      </w:r>
      <w:r w:rsidRPr="00701DE3">
        <w:rPr>
          <w:rFonts w:ascii="Times New Roman" w:eastAsia="Times New Roman" w:hAnsi="Times New Roman" w:cs="Times New Roman"/>
          <w:b/>
          <w:sz w:val="24"/>
          <w:szCs w:val="24"/>
        </w:rPr>
        <w:t>Est</w:t>
      </w:r>
      <w:r w:rsidRPr="00885C4D">
        <w:rPr>
          <w:rFonts w:ascii="Times New Roman" w:eastAsia="Times New Roman" w:hAnsi="Times New Roman" w:cs="Times New Roman"/>
          <w:b/>
          <w:sz w:val="24"/>
          <w:szCs w:val="24"/>
        </w:rPr>
        <w:t xml:space="preserve">udos em </w:t>
      </w:r>
      <w:r w:rsidRPr="00701DE3">
        <w:rPr>
          <w:rFonts w:ascii="Times New Roman" w:eastAsia="Times New Roman" w:hAnsi="Times New Roman" w:cs="Times New Roman"/>
          <w:b/>
          <w:sz w:val="24"/>
          <w:szCs w:val="24"/>
        </w:rPr>
        <w:t>Ava</w:t>
      </w:r>
      <w:r w:rsidRPr="00885C4D">
        <w:rPr>
          <w:rFonts w:ascii="Times New Roman" w:eastAsia="Times New Roman" w:hAnsi="Times New Roman" w:cs="Times New Roman"/>
          <w:b/>
          <w:sz w:val="24"/>
          <w:szCs w:val="24"/>
        </w:rPr>
        <w:t xml:space="preserve">liação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acional,</w:t>
      </w:r>
      <w:r w:rsidRPr="00885C4D">
        <w:rPr>
          <w:rFonts w:ascii="Times New Roman" w:eastAsia="Times New Roman" w:hAnsi="Times New Roman" w:cs="Times New Roman"/>
          <w:sz w:val="24"/>
          <w:szCs w:val="24"/>
        </w:rPr>
        <w:t xml:space="preserve"> São Paulo, v. 26, n. 61, p. 12-28, jan./abr. 2015.</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701DE3"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DIAS,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Trajetória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escolar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classes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populares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ensino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 xml:space="preserve">ista </w:t>
      </w:r>
      <w:r w:rsidRPr="00701DE3">
        <w:rPr>
          <w:rFonts w:ascii="Times New Roman" w:eastAsia="Times New Roman" w:hAnsi="Times New Roman" w:cs="Times New Roman"/>
          <w:b/>
          <w:sz w:val="24"/>
          <w:szCs w:val="24"/>
        </w:rPr>
        <w:t>Bras</w:t>
      </w:r>
      <w:r w:rsidRPr="00885C4D">
        <w:rPr>
          <w:rFonts w:ascii="Times New Roman" w:eastAsia="Times New Roman" w:hAnsi="Times New Roman" w:cs="Times New Roman"/>
          <w:b/>
          <w:sz w:val="24"/>
          <w:szCs w:val="24"/>
        </w:rPr>
        <w:t xml:space="preserve">ileira de </w:t>
      </w:r>
      <w:r w:rsidRPr="00701DE3">
        <w:rPr>
          <w:rFonts w:ascii="Times New Roman" w:eastAsia="Times New Roman" w:hAnsi="Times New Roman" w:cs="Times New Roman"/>
          <w:b/>
          <w:sz w:val="24"/>
          <w:szCs w:val="24"/>
        </w:rPr>
        <w:t>Estud</w:t>
      </w:r>
      <w:r w:rsidRPr="00885C4D">
        <w:rPr>
          <w:rFonts w:ascii="Times New Roman" w:eastAsia="Times New Roman" w:hAnsi="Times New Roman" w:cs="Times New Roman"/>
          <w:b/>
          <w:sz w:val="24"/>
          <w:szCs w:val="24"/>
        </w:rPr>
        <w:t xml:space="preserve">os </w:t>
      </w:r>
      <w:r w:rsidRPr="00701DE3">
        <w:rPr>
          <w:rFonts w:ascii="Times New Roman" w:eastAsia="Times New Roman" w:hAnsi="Times New Roman" w:cs="Times New Roman"/>
          <w:b/>
          <w:sz w:val="24"/>
          <w:szCs w:val="24"/>
        </w:rPr>
        <w:t>Pedag</w:t>
      </w:r>
      <w:r w:rsidRPr="00885C4D">
        <w:rPr>
          <w:rFonts w:ascii="Times New Roman" w:eastAsia="Times New Roman" w:hAnsi="Times New Roman" w:cs="Times New Roman"/>
          <w:b/>
          <w:sz w:val="24"/>
          <w:szCs w:val="24"/>
        </w:rPr>
        <w:t>ógicos,</w:t>
      </w:r>
      <w:r w:rsidRPr="00885C4D">
        <w:rPr>
          <w:rFonts w:ascii="Times New Roman" w:eastAsia="Times New Roman" w:hAnsi="Times New Roman" w:cs="Times New Roman"/>
          <w:sz w:val="24"/>
          <w:szCs w:val="24"/>
        </w:rPr>
        <w:t xml:space="preserve"> Brasília, v. 98, n. 248, p. 212-229, jan. 2017. Disponível em: &lt;</w:t>
      </w:r>
      <w:r w:rsidRPr="00885C4D">
        <w:rPr>
          <w:rStyle w:val="Hyperlink"/>
          <w:rFonts w:ascii="Times New Roman" w:hAnsi="Times New Roman" w:cs="Times New Roman"/>
          <w:sz w:val="24"/>
          <w:szCs w:val="24"/>
        </w:rPr>
        <w:t>http://rbep.inep.gov.br/index.php/rbep/article/view/2679/pdf</w:t>
      </w:r>
      <w:r w:rsidRPr="00885C4D">
        <w:rPr>
          <w:rFonts w:ascii="Times New Roman" w:eastAsia="Times New Roman" w:hAnsi="Times New Roman" w:cs="Times New Roman"/>
          <w:sz w:val="24"/>
          <w:szCs w:val="24"/>
        </w:rPr>
        <w:t>&gt;. Acesso em: 15 dez.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DOURADO,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OLIVEIRA,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J.</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qualidade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perspectivas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desafios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Cad</w:t>
      </w:r>
      <w:r w:rsidRPr="00885C4D">
        <w:rPr>
          <w:rFonts w:ascii="Times New Roman" w:eastAsia="Times New Roman" w:hAnsi="Times New Roman" w:cs="Times New Roman"/>
          <w:b/>
          <w:sz w:val="24"/>
          <w:szCs w:val="24"/>
        </w:rPr>
        <w:t xml:space="preserve">ernos </w:t>
      </w:r>
      <w:r w:rsidRPr="00701DE3">
        <w:rPr>
          <w:rFonts w:ascii="Times New Roman" w:eastAsia="Times New Roman" w:hAnsi="Times New Roman" w:cs="Times New Roman"/>
          <w:b/>
          <w:sz w:val="24"/>
          <w:szCs w:val="24"/>
        </w:rPr>
        <w:t>Cedes,</w:t>
      </w:r>
      <w:r w:rsidRPr="00885C4D">
        <w:rPr>
          <w:rFonts w:ascii="Times New Roman" w:eastAsia="Times New Roman" w:hAnsi="Times New Roman" w:cs="Times New Roman"/>
          <w:sz w:val="24"/>
          <w:szCs w:val="24"/>
        </w:rPr>
        <w:t xml:space="preserve"> Campinas, v. 29, n. 78, p. 201-215, maio/ago. 2009.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FAGUNDES,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V.</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Percepção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universitários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acerca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à</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um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exploratório.</w:t>
      </w:r>
      <w:r w:rsidRPr="00885C4D">
        <w:rPr>
          <w:rFonts w:ascii="Times New Roman" w:eastAsia="Times New Roman" w:hAnsi="Times New Roman" w:cs="Times New Roman"/>
          <w:sz w:val="24"/>
          <w:szCs w:val="24"/>
        </w:rPr>
        <w:t xml:space="preserve"> </w:t>
      </w:r>
      <w:r w:rsidRPr="00885C4D">
        <w:rPr>
          <w:rFonts w:ascii="Times New Roman" w:eastAsia="Times New Roman" w:hAnsi="Times New Roman" w:cs="Times New Roman"/>
          <w:b/>
          <w:sz w:val="24"/>
          <w:szCs w:val="24"/>
        </w:rPr>
        <w:t>Revista Brasileira de Estudos Pedagógicos,</w:t>
      </w:r>
      <w:r w:rsidRPr="00885C4D">
        <w:rPr>
          <w:rFonts w:ascii="Times New Roman" w:eastAsia="Times New Roman" w:hAnsi="Times New Roman" w:cs="Times New Roman"/>
          <w:sz w:val="24"/>
          <w:szCs w:val="24"/>
        </w:rPr>
        <w:t xml:space="preserve"> Brasília, v. 95, n. 241, p. 508-525, set./dez. 2014. Disponível em: </w:t>
      </w:r>
      <w:r w:rsidRPr="00885C4D">
        <w:rPr>
          <w:rFonts w:ascii="Times New Roman" w:eastAsia="Times New Roman" w:hAnsi="Times New Roman" w:cs="Times New Roman"/>
          <w:sz w:val="24"/>
          <w:szCs w:val="24"/>
        </w:rPr>
        <w:lastRenderedPageBreak/>
        <w:t>&lt;</w:t>
      </w:r>
      <w:hyperlink r:id="rId24">
        <w:r w:rsidRPr="00885C4D">
          <w:rPr>
            <w:rStyle w:val="Hyperlink"/>
            <w:rFonts w:ascii="Times New Roman" w:hAnsi="Times New Roman" w:cs="Times New Roman"/>
            <w:sz w:val="24"/>
            <w:szCs w:val="24"/>
          </w:rPr>
          <w:t>http://rbep.inep.gov.br/index.php/rbep/article/view/3026/pdf</w:t>
        </w:r>
      </w:hyperlink>
      <w:r w:rsidRPr="00885C4D">
        <w:rPr>
          <w:rFonts w:ascii="Times New Roman" w:eastAsia="Times New Roman" w:hAnsi="Times New Roman" w:cs="Times New Roman"/>
          <w:sz w:val="24"/>
          <w:szCs w:val="24"/>
        </w:rPr>
        <w:t>&gt;. Acesso em: 15 dez.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O uso do questionário online em programas de mobilidade acadêmica: um estudo metodológico. In: ENCONTRO INTERNACIONAL DE INVESTIGADORES DE POLÍTICAS EDUCATIVAS, 6., 2014, Santa Maria. </w:t>
      </w:r>
      <w:r w:rsidRPr="00885C4D">
        <w:rPr>
          <w:rFonts w:ascii="Times New Roman" w:eastAsia="Times New Roman" w:hAnsi="Times New Roman" w:cs="Times New Roman"/>
          <w:b/>
          <w:sz w:val="24"/>
          <w:szCs w:val="24"/>
        </w:rPr>
        <w:t xml:space="preserve">Anais... </w:t>
      </w:r>
      <w:r w:rsidRPr="00885C4D">
        <w:rPr>
          <w:rFonts w:ascii="Times New Roman" w:eastAsia="Times New Roman" w:hAnsi="Times New Roman" w:cs="Times New Roman"/>
          <w:sz w:val="24"/>
          <w:szCs w:val="24"/>
        </w:rPr>
        <w:t>Santa Maria: UFSM; AUGM, 2014. p. 65-68.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701DE3"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______; LUCE, M. B.; ESPINAR, S. R. O desempenho acadêmico como indicador de qualidade da transição do ensino médio-educação superior. </w:t>
      </w:r>
      <w:r w:rsidRPr="00701DE3">
        <w:rPr>
          <w:rFonts w:ascii="Times New Roman" w:eastAsia="Times New Roman" w:hAnsi="Times New Roman" w:cs="Times New Roman"/>
          <w:b/>
          <w:sz w:val="24"/>
          <w:szCs w:val="24"/>
        </w:rPr>
        <w:t>Ensaio:</w:t>
      </w:r>
      <w:r w:rsidRPr="00885C4D">
        <w:rPr>
          <w:rFonts w:ascii="Times New Roman" w:eastAsia="Times New Roman" w:hAnsi="Times New Roman" w:cs="Times New Roman"/>
          <w:sz w:val="24"/>
          <w:szCs w:val="24"/>
        </w:rPr>
        <w:t xml:space="preserve"> avaliação e políticas públicas em educação, Rio de Janeiro, v. 22, n. 84, p. 635-670, jul./set. 2014.</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FRIGOTTO, G. </w:t>
      </w:r>
      <w:r w:rsidRPr="00885C4D">
        <w:rPr>
          <w:rFonts w:ascii="Times New Roman" w:eastAsia="Times New Roman" w:hAnsi="Times New Roman" w:cs="Times New Roman"/>
          <w:b/>
          <w:sz w:val="24"/>
          <w:szCs w:val="24"/>
        </w:rPr>
        <w:t>A produtividade da escola improdutiva:</w:t>
      </w:r>
      <w:r w:rsidRPr="00885C4D">
        <w:rPr>
          <w:rFonts w:ascii="Times New Roman" w:eastAsia="Times New Roman" w:hAnsi="Times New Roman" w:cs="Times New Roman"/>
          <w:sz w:val="24"/>
          <w:szCs w:val="24"/>
        </w:rPr>
        <w:t xml:space="preserve"> um (re)exame das relações entre educação e estrutura econômico-social capitalista. 4. ed. São Paulo: Cortez, 1993.</w:t>
      </w:r>
    </w:p>
    <w:p w:rsidR="002538D1" w:rsidRDefault="002538D1" w:rsidP="002538D1">
      <w:pPr>
        <w:spacing w:after="120" w:line="240" w:lineRule="auto"/>
        <w:jc w:val="both"/>
        <w:rPr>
          <w:rFonts w:ascii="Times New Roman" w:hAnsi="Times New Roman" w:cs="Times New Roman"/>
          <w:sz w:val="24"/>
          <w:szCs w:val="24"/>
        </w:rPr>
      </w:pPr>
    </w:p>
    <w:p w:rsidR="002538D1" w:rsidRPr="00701DE3" w:rsidRDefault="002538D1" w:rsidP="002538D1">
      <w:pPr>
        <w:spacing w:after="120" w:line="240" w:lineRule="auto"/>
        <w:jc w:val="both"/>
        <w:rPr>
          <w:rFonts w:ascii="Times New Roman" w:hAnsi="Times New Roman" w:cs="Times New Roman"/>
          <w:sz w:val="24"/>
          <w:szCs w:val="24"/>
        </w:rPr>
      </w:pPr>
      <w:r w:rsidRPr="00885C4D">
        <w:rPr>
          <w:rFonts w:ascii="Times New Roman" w:hAnsi="Times New Roman" w:cs="Times New Roman"/>
          <w:sz w:val="24"/>
          <w:szCs w:val="24"/>
        </w:rPr>
        <w:t xml:space="preserve">LIMA, L. L. (Org.). </w:t>
      </w:r>
      <w:r w:rsidRPr="00885C4D">
        <w:rPr>
          <w:rFonts w:ascii="Times New Roman" w:hAnsi="Times New Roman" w:cs="Times New Roman"/>
          <w:b/>
          <w:sz w:val="24"/>
          <w:szCs w:val="24"/>
        </w:rPr>
        <w:t>Números do ensino superior privado no Brasil 2017:</w:t>
      </w:r>
      <w:r w:rsidRPr="00885C4D">
        <w:rPr>
          <w:rFonts w:ascii="Times New Roman" w:hAnsi="Times New Roman" w:cs="Times New Roman"/>
          <w:sz w:val="24"/>
          <w:szCs w:val="24"/>
        </w:rPr>
        <w:t xml:space="preserve"> ano-base 2016. Brasília: Abmes,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LOUSADA,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Z.;</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MARTINS,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G.</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Egressos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como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fonte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informação</w:t>
      </w:r>
      <w:r w:rsidRPr="00885C4D">
        <w:rPr>
          <w:rFonts w:ascii="Times New Roman" w:eastAsia="Times New Roman" w:hAnsi="Times New Roman" w:cs="Times New Roman"/>
          <w:sz w:val="24"/>
          <w:szCs w:val="24"/>
        </w:rPr>
        <w:t xml:space="preserve"> à </w:t>
      </w:r>
      <w:r w:rsidRPr="00701DE3">
        <w:rPr>
          <w:rFonts w:ascii="Times New Roman" w:eastAsia="Times New Roman" w:hAnsi="Times New Roman" w:cs="Times New Roman"/>
          <w:sz w:val="24"/>
          <w:szCs w:val="24"/>
        </w:rPr>
        <w:t>gestão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cursos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Ciências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Contábeis.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Contabilidade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&amp;</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Finanças</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São Paulo, v. 1, n. 37, p. 73-84, 2005.</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MANZATO, A. J.; SANTOS, A. B. A elaboração de questionários na pesquisa quantitativa. </w:t>
      </w:r>
      <w:r w:rsidRPr="00885C4D">
        <w:rPr>
          <w:rFonts w:ascii="Times New Roman" w:eastAsia="Times New Roman" w:hAnsi="Times New Roman" w:cs="Times New Roman"/>
          <w:b/>
          <w:sz w:val="24"/>
          <w:szCs w:val="24"/>
        </w:rPr>
        <w:t>Departamento de Ciência de Computação e Estatística da Unesp,</w:t>
      </w:r>
      <w:r w:rsidRPr="00885C4D">
        <w:rPr>
          <w:rFonts w:ascii="Times New Roman" w:eastAsia="Times New Roman" w:hAnsi="Times New Roman" w:cs="Times New Roman"/>
          <w:sz w:val="24"/>
          <w:szCs w:val="24"/>
        </w:rPr>
        <w:t xml:space="preserve"> Florianópolis, 24 fev. 2012. p. 1-17.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MARTINS,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LACERDA,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Exame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Nacional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Ensino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Médio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acesso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surdos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ao</w:t>
      </w:r>
      <w:r w:rsidRPr="00885C4D">
        <w:rPr>
          <w:rFonts w:ascii="Times New Roman" w:eastAsia="Times New Roman" w:hAnsi="Times New Roman" w:cs="Times New Roman"/>
          <w:sz w:val="24"/>
          <w:szCs w:val="24"/>
        </w:rPr>
        <w:t xml:space="preserve"> ensino superior brasileiro</w:t>
      </w:r>
      <w:r w:rsidRPr="00701DE3">
        <w:rPr>
          <w:rFonts w:ascii="Times New Roman" w:eastAsia="Times New Roman" w:hAnsi="Times New Roman" w:cs="Times New Roman"/>
          <w:sz w:val="24"/>
          <w:szCs w:val="24"/>
        </w:rPr>
        <w: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Pro-Posições,</w:t>
      </w:r>
      <w:r w:rsidRPr="00885C4D">
        <w:rPr>
          <w:rFonts w:ascii="Times New Roman" w:eastAsia="Times New Roman" w:hAnsi="Times New Roman" w:cs="Times New Roman"/>
          <w:sz w:val="24"/>
          <w:szCs w:val="24"/>
        </w:rPr>
        <w:t xml:space="preserve"> Campinas, v. 26, n. 3, p. 83-101, dez. 2015.</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MEC atualiza regulamentação de EAD e amplia a oferta de cursos.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21 jun. 2017. Disponível em: &lt;</w:t>
      </w:r>
      <w:hyperlink r:id="rId25" w:history="1">
        <w:r w:rsidRPr="00885C4D">
          <w:rPr>
            <w:rStyle w:val="Hyperlink"/>
            <w:rFonts w:ascii="Times New Roman" w:eastAsia="Times New Roman" w:hAnsi="Times New Roman" w:cs="Times New Roman"/>
            <w:sz w:val="24"/>
            <w:szCs w:val="24"/>
          </w:rPr>
          <w:t>http://portal.mec.gov.br/busca-geral/212-noticias/educacao-superior-1690610854/50451-mec-atualiza-regulamentacao-de-ead-e-amplia-a-oferta-de-cursos</w:t>
        </w:r>
      </w:hyperlink>
      <w:r w:rsidRPr="00885C4D">
        <w:rPr>
          <w:rFonts w:ascii="Times New Roman" w:eastAsia="Times New Roman" w:hAnsi="Times New Roman" w:cs="Times New Roman"/>
          <w:sz w:val="24"/>
          <w:szCs w:val="24"/>
        </w:rPr>
        <w:t>&gt;. Acesso em: 20 maio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MOROSINI, M. C. et al. A qualidade da educação superior e o complexo exercício de propor indicadores.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Brasileira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Educação,</w:t>
      </w:r>
      <w:r w:rsidRPr="00885C4D">
        <w:rPr>
          <w:rFonts w:ascii="Times New Roman" w:eastAsia="Times New Roman" w:hAnsi="Times New Roman" w:cs="Times New Roman"/>
          <w:sz w:val="24"/>
          <w:szCs w:val="24"/>
        </w:rPr>
        <w:t xml:space="preserve"> Rio de Janeiro, v. 21, n. 64, jan./mar. 2016.</w:t>
      </w: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lastRenderedPageBreak/>
        <w:t xml:space="preserve">NIQUINI, R. P. et al. Características do trabalho de estudantes universitários associadas ao seu desempenho acadêmico.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ação em Revista,</w:t>
      </w:r>
      <w:r w:rsidRPr="00885C4D">
        <w:rPr>
          <w:rFonts w:ascii="Times New Roman" w:eastAsia="Times New Roman" w:hAnsi="Times New Roman" w:cs="Times New Roman"/>
          <w:sz w:val="24"/>
          <w:szCs w:val="24"/>
        </w:rPr>
        <w:t xml:space="preserve"> Belo Horizonte, v. 31, n. 1, p. 359-381, 2015.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NOGUEIRA, C. M. M. et al. Promessas e limites: o Sisu e sua implementação na universidade federal de minas gerais. </w:t>
      </w:r>
      <w:r w:rsidRPr="00701DE3">
        <w:rPr>
          <w:rFonts w:ascii="Times New Roman" w:eastAsia="Times New Roman" w:hAnsi="Times New Roman" w:cs="Times New Roman"/>
          <w:b/>
          <w:sz w:val="24"/>
          <w:szCs w:val="24"/>
        </w:rPr>
        <w:t>Educ</w:t>
      </w:r>
      <w:r w:rsidRPr="00885C4D">
        <w:rPr>
          <w:rFonts w:ascii="Times New Roman" w:eastAsia="Times New Roman" w:hAnsi="Times New Roman" w:cs="Times New Roman"/>
          <w:b/>
          <w:sz w:val="24"/>
          <w:szCs w:val="24"/>
        </w:rPr>
        <w:t>ação em Revista</w:t>
      </w:r>
      <w:r w:rsidRPr="00701DE3">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Belo Horizonte, v. 33,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ORGANIZAÇÃO DAS NAÇÕES UNIDAS PARA A EDUCAÇÃO, A CIÊNCIA E A CULTURA. </w:t>
      </w:r>
      <w:r w:rsidRPr="00885C4D">
        <w:rPr>
          <w:rFonts w:ascii="Times New Roman" w:eastAsia="Times New Roman" w:hAnsi="Times New Roman" w:cs="Times New Roman"/>
          <w:b/>
          <w:sz w:val="24"/>
          <w:szCs w:val="24"/>
        </w:rPr>
        <w:t>Educação para todos:</w:t>
      </w:r>
      <w:r w:rsidRPr="00885C4D">
        <w:rPr>
          <w:rFonts w:ascii="Times New Roman" w:eastAsia="Times New Roman" w:hAnsi="Times New Roman" w:cs="Times New Roman"/>
          <w:sz w:val="24"/>
          <w:szCs w:val="24"/>
        </w:rPr>
        <w:t xml:space="preserve"> o imperativo da qualidade: relatório conciso. Paris, 2004. Disponível em: &lt;</w:t>
      </w:r>
      <w:hyperlink r:id="rId26" w:history="1">
        <w:r w:rsidRPr="00885C4D">
          <w:rPr>
            <w:rStyle w:val="Hyperlink"/>
            <w:rFonts w:ascii="Times New Roman" w:eastAsia="Times New Roman" w:hAnsi="Times New Roman" w:cs="Times New Roman"/>
            <w:sz w:val="24"/>
            <w:szCs w:val="24"/>
          </w:rPr>
          <w:t>http://unesdoc.unesco.org/images/0013/001373/137334POR.pdf</w:t>
        </w:r>
      </w:hyperlink>
      <w:r w:rsidRPr="00885C4D">
        <w:rPr>
          <w:rFonts w:ascii="Times New Roman" w:eastAsia="Times New Roman" w:hAnsi="Times New Roman" w:cs="Times New Roman"/>
          <w:sz w:val="24"/>
          <w:szCs w:val="24"/>
        </w:rPr>
        <w:t>&gt;. Acesso em: 2 abr.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QUANTOS polos de educação a distância credenciados pelo MEC existem hoje no país? </w:t>
      </w:r>
      <w:r w:rsidRPr="00885C4D">
        <w:rPr>
          <w:rFonts w:ascii="Times New Roman" w:eastAsia="Times New Roman" w:hAnsi="Times New Roman" w:cs="Times New Roman"/>
          <w:b/>
          <w:sz w:val="24"/>
          <w:szCs w:val="24"/>
        </w:rPr>
        <w:t xml:space="preserve">Portal do MEC, </w:t>
      </w:r>
      <w:r w:rsidRPr="00885C4D">
        <w:rPr>
          <w:rFonts w:ascii="Times New Roman" w:eastAsia="Times New Roman" w:hAnsi="Times New Roman" w:cs="Times New Roman"/>
          <w:sz w:val="24"/>
          <w:szCs w:val="24"/>
        </w:rPr>
        <w:t>Brasília, 2018. Disponível em: &lt;</w:t>
      </w:r>
      <w:hyperlink r:id="rId27" w:history="1">
        <w:r w:rsidRPr="00885C4D">
          <w:rPr>
            <w:rStyle w:val="Hyperlink"/>
            <w:rFonts w:ascii="Times New Roman" w:hAnsi="Times New Roman" w:cs="Times New Roman"/>
            <w:sz w:val="24"/>
            <w:szCs w:val="24"/>
          </w:rPr>
          <w:t>http://portal.mec.gov.br/pet/355-perguntas-frequentes-911936531/educacao-a-distancia-1651636927/12825-quantos-polos-de-educacao-a-distancia-credenciados-pelo-mec-existem-hoje-no-pais</w:t>
        </w:r>
      </w:hyperlink>
      <w:r w:rsidRPr="00885C4D">
        <w:rPr>
          <w:rFonts w:ascii="Times New Roman" w:eastAsia="Times New Roman" w:hAnsi="Times New Roman" w:cs="Times New Roman"/>
          <w:sz w:val="24"/>
          <w:szCs w:val="24"/>
        </w:rPr>
        <w:t>&gt;. Acesso em: 20 maio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701DE3"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QUEIROZ, Z. C. L. S. et al. A lei de cotas na perspectiva do desempenho acadêmico na Universidade Federal de Uberlândia. </w:t>
      </w:r>
      <w:r w:rsidRPr="00701DE3">
        <w:rPr>
          <w:rFonts w:ascii="Times New Roman" w:eastAsia="Times New Roman" w:hAnsi="Times New Roman" w:cs="Times New Roman"/>
          <w:b/>
          <w:sz w:val="24"/>
          <w:szCs w:val="24"/>
        </w:rPr>
        <w:t>Rev</w:t>
      </w:r>
      <w:r w:rsidRPr="00885C4D">
        <w:rPr>
          <w:rFonts w:ascii="Times New Roman" w:eastAsia="Times New Roman" w:hAnsi="Times New Roman" w:cs="Times New Roman"/>
          <w:b/>
          <w:sz w:val="24"/>
          <w:szCs w:val="24"/>
        </w:rPr>
        <w:t xml:space="preserve">ista </w:t>
      </w:r>
      <w:r w:rsidRPr="00701DE3">
        <w:rPr>
          <w:rFonts w:ascii="Times New Roman" w:eastAsia="Times New Roman" w:hAnsi="Times New Roman" w:cs="Times New Roman"/>
          <w:b/>
          <w:sz w:val="24"/>
          <w:szCs w:val="24"/>
        </w:rPr>
        <w:t>Bras</w:t>
      </w:r>
      <w:r w:rsidRPr="00885C4D">
        <w:rPr>
          <w:rFonts w:ascii="Times New Roman" w:eastAsia="Times New Roman" w:hAnsi="Times New Roman" w:cs="Times New Roman"/>
          <w:b/>
          <w:sz w:val="24"/>
          <w:szCs w:val="24"/>
        </w:rPr>
        <w:t xml:space="preserve">ileira de </w:t>
      </w:r>
      <w:r w:rsidRPr="00701DE3">
        <w:rPr>
          <w:rFonts w:ascii="Times New Roman" w:eastAsia="Times New Roman" w:hAnsi="Times New Roman" w:cs="Times New Roman"/>
          <w:b/>
          <w:sz w:val="24"/>
          <w:szCs w:val="24"/>
        </w:rPr>
        <w:t>Estud</w:t>
      </w:r>
      <w:r w:rsidRPr="00885C4D">
        <w:rPr>
          <w:rFonts w:ascii="Times New Roman" w:eastAsia="Times New Roman" w:hAnsi="Times New Roman" w:cs="Times New Roman"/>
          <w:b/>
          <w:sz w:val="24"/>
          <w:szCs w:val="24"/>
        </w:rPr>
        <w:t xml:space="preserve">os </w:t>
      </w:r>
      <w:r w:rsidRPr="00701DE3">
        <w:rPr>
          <w:rFonts w:ascii="Times New Roman" w:eastAsia="Times New Roman" w:hAnsi="Times New Roman" w:cs="Times New Roman"/>
          <w:b/>
          <w:sz w:val="24"/>
          <w:szCs w:val="24"/>
        </w:rPr>
        <w:t>Pedag</w:t>
      </w:r>
      <w:r w:rsidRPr="00885C4D">
        <w:rPr>
          <w:rFonts w:ascii="Times New Roman" w:eastAsia="Times New Roman" w:hAnsi="Times New Roman" w:cs="Times New Roman"/>
          <w:b/>
          <w:sz w:val="24"/>
          <w:szCs w:val="24"/>
        </w:rPr>
        <w:t>ógicos</w:t>
      </w:r>
      <w:r w:rsidRPr="00701DE3">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Brasília, v. 96, n. 243, p. 299-320, ago. 2015.</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RODRÍGUEZ,</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FITA,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TORRADO,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M.</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rendimento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académico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en</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transición</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secundaria.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Revista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de</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Educación</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Madrid, n. 334, p. 391-414, 2004. Disponível em: &lt;</w:t>
      </w:r>
      <w:hyperlink r:id="rId28">
        <w:r w:rsidRPr="00885C4D">
          <w:rPr>
            <w:rStyle w:val="Hyperlink"/>
            <w:rFonts w:ascii="Times New Roman" w:hAnsi="Times New Roman" w:cs="Times New Roman"/>
            <w:sz w:val="24"/>
            <w:szCs w:val="24"/>
          </w:rPr>
          <w:t>http://www.revistaeducacion.mec.es/re334/re334_22.pdf</w:t>
        </w:r>
      </w:hyperlink>
      <w:r w:rsidRPr="00885C4D">
        <w:rPr>
          <w:rFonts w:ascii="Times New Roman" w:eastAsia="Times New Roman" w:hAnsi="Times New Roman" w:cs="Times New Roman"/>
          <w:sz w:val="24"/>
          <w:szCs w:val="24"/>
        </w:rPr>
        <w:t>&gt;. Acesso em: 16 jan. 2018.</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SILVA, M. G. Q.; EHRENBERG, M. C. Atividades culturais e esportivas extracurriculares: influência sobre a vida escolar do discente. </w:t>
      </w:r>
      <w:r w:rsidRPr="00885C4D">
        <w:rPr>
          <w:rFonts w:ascii="Times New Roman" w:eastAsia="Times New Roman" w:hAnsi="Times New Roman" w:cs="Times New Roman"/>
          <w:b/>
          <w:sz w:val="24"/>
          <w:szCs w:val="24"/>
        </w:rPr>
        <w:t>Pro-Posições,</w:t>
      </w:r>
      <w:r w:rsidRPr="00885C4D">
        <w:rPr>
          <w:rFonts w:ascii="Times New Roman" w:eastAsia="Times New Roman" w:hAnsi="Times New Roman" w:cs="Times New Roman"/>
          <w:sz w:val="24"/>
          <w:szCs w:val="24"/>
        </w:rPr>
        <w:t xml:space="preserve"> Campinas, v. 28, n. 1, p. 15-32, abr.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885C4D">
        <w:rPr>
          <w:rFonts w:ascii="Times New Roman" w:eastAsia="Times New Roman" w:hAnsi="Times New Roman" w:cs="Times New Roman"/>
          <w:sz w:val="24"/>
          <w:szCs w:val="24"/>
        </w:rPr>
        <w:t xml:space="preserve">SINDICATO DAS MANTENEDORAS DE ENSINO SUPERIOR. </w:t>
      </w:r>
      <w:r w:rsidRPr="00701DE3">
        <w:rPr>
          <w:rFonts w:ascii="Times New Roman" w:eastAsia="Times New Roman" w:hAnsi="Times New Roman" w:cs="Times New Roman"/>
          <w:b/>
          <w:sz w:val="24"/>
          <w:szCs w:val="24"/>
        </w:rPr>
        <w:t>Mapa</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do</w:t>
      </w:r>
      <w:r w:rsidRPr="00885C4D">
        <w:rPr>
          <w:rFonts w:ascii="Times New Roman" w:eastAsia="Times New Roman" w:hAnsi="Times New Roman" w:cs="Times New Roman"/>
          <w:b/>
          <w:sz w:val="24"/>
          <w:szCs w:val="24"/>
        </w:rPr>
        <w:t xml:space="preserve"> ensino superior </w:t>
      </w:r>
      <w:r w:rsidRPr="00701DE3">
        <w:rPr>
          <w:rFonts w:ascii="Times New Roman" w:eastAsia="Times New Roman" w:hAnsi="Times New Roman" w:cs="Times New Roman"/>
          <w:b/>
          <w:sz w:val="24"/>
          <w:szCs w:val="24"/>
        </w:rPr>
        <w:t>no</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Brasil</w:t>
      </w:r>
      <w:r w:rsidRPr="00885C4D">
        <w:rPr>
          <w:rFonts w:ascii="Times New Roman" w:eastAsia="Times New Roman" w:hAnsi="Times New Roman" w:cs="Times New Roman"/>
          <w:b/>
          <w:sz w:val="24"/>
          <w:szCs w:val="24"/>
        </w:rPr>
        <w:t xml:space="preserve"> </w:t>
      </w:r>
      <w:r w:rsidRPr="00701DE3">
        <w:rPr>
          <w:rFonts w:ascii="Times New Roman" w:eastAsia="Times New Roman" w:hAnsi="Times New Roman" w:cs="Times New Roman"/>
          <w:b/>
          <w:sz w:val="24"/>
          <w:szCs w:val="24"/>
        </w:rPr>
        <w:t>2015</w:t>
      </w:r>
      <w:r w:rsidRPr="00885C4D">
        <w:rPr>
          <w:rFonts w:ascii="Times New Roman" w:eastAsia="Times New Roman" w:hAnsi="Times New Roman" w:cs="Times New Roman"/>
          <w:sz w:val="24"/>
          <w:szCs w:val="24"/>
        </w:rPr>
        <w:t>. São Paulo, 2015. Disponível em: &lt;</w:t>
      </w:r>
      <w:hyperlink r:id="rId29" w:history="1">
        <w:r w:rsidRPr="00885C4D">
          <w:rPr>
            <w:rStyle w:val="Hyperlink"/>
            <w:rFonts w:ascii="Times New Roman" w:eastAsia="Times New Roman" w:hAnsi="Times New Roman" w:cs="Times New Roman"/>
            <w:sz w:val="24"/>
            <w:szCs w:val="24"/>
          </w:rPr>
          <w:t>http://convergenciacom.net/pdf/mapa-ensino-superior-brasil-2015.pdf</w:t>
        </w:r>
      </w:hyperlink>
      <w:r w:rsidRPr="00885C4D">
        <w:rPr>
          <w:rFonts w:ascii="Times New Roman" w:eastAsia="Times New Roman" w:hAnsi="Times New Roman" w:cs="Times New Roman"/>
          <w:sz w:val="24"/>
          <w:szCs w:val="24"/>
        </w:rPr>
        <w:t>&gt;. Acesso em: 16 dez. 2017.</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t>SOARES,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impacto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expectativas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adaptação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acadêmica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dos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estudantes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no</w:t>
      </w:r>
      <w:r w:rsidRPr="00885C4D">
        <w:rPr>
          <w:rFonts w:ascii="Times New Roman" w:eastAsia="Times New Roman" w:hAnsi="Times New Roman" w:cs="Times New Roman"/>
          <w:sz w:val="24"/>
          <w:szCs w:val="24"/>
        </w:rPr>
        <w:t xml:space="preserve"> ensino superior</w:t>
      </w:r>
      <w:r w:rsidRPr="00701DE3">
        <w:rPr>
          <w:rFonts w:ascii="Times New Roman" w:eastAsia="Times New Roman" w:hAnsi="Times New Roman" w:cs="Times New Roman"/>
          <w:sz w:val="24"/>
          <w:szCs w:val="24"/>
        </w:rPr>
        <w:t>.</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b/>
          <w:sz w:val="24"/>
          <w:szCs w:val="24"/>
        </w:rPr>
        <w:t>Psico-USF</w:t>
      </w:r>
      <w:r w:rsidRPr="00885C4D">
        <w:rPr>
          <w:rFonts w:ascii="Times New Roman" w:eastAsia="Times New Roman" w:hAnsi="Times New Roman" w:cs="Times New Roman"/>
          <w:b/>
          <w:sz w:val="24"/>
          <w:szCs w:val="24"/>
        </w:rPr>
        <w:t>,</w:t>
      </w:r>
      <w:r w:rsidRPr="00885C4D">
        <w:rPr>
          <w:rFonts w:ascii="Times New Roman" w:eastAsia="Times New Roman" w:hAnsi="Times New Roman" w:cs="Times New Roman"/>
          <w:sz w:val="24"/>
          <w:szCs w:val="24"/>
        </w:rPr>
        <w:t xml:space="preserve"> Itatiba, v. 19, n. 1, jan./abr. 2014.</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eastAsia="Times New Roman" w:hAnsi="Times New Roman" w:cs="Times New Roman"/>
          <w:sz w:val="24"/>
          <w:szCs w:val="24"/>
        </w:rPr>
      </w:pPr>
      <w:r w:rsidRPr="00701DE3">
        <w:rPr>
          <w:rFonts w:ascii="Times New Roman" w:eastAsia="Times New Roman" w:hAnsi="Times New Roman" w:cs="Times New Roman"/>
          <w:sz w:val="24"/>
          <w:szCs w:val="24"/>
        </w:rPr>
        <w:lastRenderedPageBreak/>
        <w:t>SOUSA,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LIMA,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B.</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P.</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superior</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distância</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conselho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nacional</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de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educação:</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relações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e</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ações.</w:t>
      </w:r>
      <w:r w:rsidRPr="00885C4D">
        <w:rPr>
          <w:rFonts w:ascii="Times New Roman" w:eastAsia="Times New Roman" w:hAnsi="Times New Roman" w:cs="Times New Roman"/>
          <w:sz w:val="24"/>
          <w:szCs w:val="24"/>
        </w:rPr>
        <w:t xml:space="preserve"> </w:t>
      </w:r>
      <w:r w:rsidRPr="00701DE3">
        <w:rPr>
          <w:rFonts w:ascii="Times New Roman" w:eastAsia="Times New Roman" w:hAnsi="Times New Roman" w:cs="Times New Roman"/>
          <w:sz w:val="24"/>
          <w:szCs w:val="24"/>
        </w:rPr>
        <w:t>In:</w:t>
      </w:r>
      <w:r w:rsidRPr="00885C4D">
        <w:rPr>
          <w:rFonts w:ascii="Times New Roman" w:eastAsia="Times New Roman" w:hAnsi="Times New Roman" w:cs="Times New Roman"/>
          <w:sz w:val="24"/>
          <w:szCs w:val="24"/>
        </w:rPr>
        <w:t xml:space="preserve"> SEMINÁRIO POLÍTICAS E ADMINISTRAÇÃO DA EDUCAÇÃO DA REGIÃO CENTRO-OESTE, 8., 2015, Goiânia. </w:t>
      </w:r>
      <w:r w:rsidRPr="00885C4D">
        <w:rPr>
          <w:rFonts w:ascii="Times New Roman" w:eastAsia="Times New Roman" w:hAnsi="Times New Roman" w:cs="Times New Roman"/>
          <w:b/>
          <w:sz w:val="24"/>
          <w:szCs w:val="24"/>
        </w:rPr>
        <w:t xml:space="preserve">Anais... </w:t>
      </w:r>
      <w:r w:rsidRPr="00885C4D">
        <w:rPr>
          <w:rFonts w:ascii="Times New Roman" w:eastAsia="Times New Roman" w:hAnsi="Times New Roman" w:cs="Times New Roman"/>
          <w:sz w:val="24"/>
          <w:szCs w:val="24"/>
        </w:rPr>
        <w:t>Goiânia:</w:t>
      </w:r>
      <w:r w:rsidRPr="00885C4D">
        <w:rPr>
          <w:rFonts w:ascii="Times New Roman" w:eastAsia="Times New Roman" w:hAnsi="Times New Roman" w:cs="Times New Roman"/>
          <w:b/>
          <w:sz w:val="24"/>
          <w:szCs w:val="24"/>
        </w:rPr>
        <w:t xml:space="preserve"> </w:t>
      </w:r>
      <w:r w:rsidRPr="00885C4D">
        <w:rPr>
          <w:rFonts w:ascii="Times New Roman" w:eastAsia="Times New Roman" w:hAnsi="Times New Roman" w:cs="Times New Roman"/>
          <w:sz w:val="24"/>
          <w:szCs w:val="24"/>
        </w:rPr>
        <w:t xml:space="preserve">UFG, 2015. </w:t>
      </w:r>
    </w:p>
    <w:p w:rsidR="002538D1" w:rsidRDefault="002538D1" w:rsidP="002538D1">
      <w:pPr>
        <w:shd w:val="clear" w:color="auto" w:fill="FFFFFF"/>
        <w:spacing w:after="120" w:line="240" w:lineRule="auto"/>
        <w:jc w:val="both"/>
        <w:rPr>
          <w:rFonts w:ascii="Times New Roman" w:eastAsia="Times New Roman" w:hAnsi="Times New Roman" w:cs="Times New Roman"/>
          <w:sz w:val="24"/>
          <w:szCs w:val="24"/>
        </w:rPr>
      </w:pPr>
    </w:p>
    <w:p w:rsidR="002538D1" w:rsidRPr="00885C4D" w:rsidRDefault="002538D1" w:rsidP="002538D1">
      <w:pPr>
        <w:shd w:val="clear" w:color="auto" w:fill="FFFFFF"/>
        <w:spacing w:after="120" w:line="240" w:lineRule="auto"/>
        <w:jc w:val="both"/>
        <w:rPr>
          <w:rFonts w:ascii="Times New Roman" w:hAnsi="Times New Roman" w:cs="Times New Roman"/>
          <w:sz w:val="24"/>
          <w:szCs w:val="24"/>
        </w:rPr>
      </w:pPr>
      <w:r w:rsidRPr="00885C4D">
        <w:rPr>
          <w:rFonts w:ascii="Times New Roman" w:eastAsia="Times New Roman" w:hAnsi="Times New Roman" w:cs="Times New Roman"/>
          <w:sz w:val="24"/>
          <w:szCs w:val="24"/>
        </w:rPr>
        <w:t xml:space="preserve">SOUZA, V. C. Qualidade na educação superior: uma visão operacional do conceito. </w:t>
      </w:r>
      <w:r w:rsidRPr="00885C4D">
        <w:rPr>
          <w:rFonts w:ascii="Times New Roman" w:eastAsia="Times New Roman" w:hAnsi="Times New Roman" w:cs="Times New Roman"/>
          <w:b/>
          <w:sz w:val="24"/>
          <w:szCs w:val="24"/>
        </w:rPr>
        <w:t>Avaliação:</w:t>
      </w:r>
      <w:r w:rsidRPr="00885C4D">
        <w:rPr>
          <w:rFonts w:ascii="Times New Roman" w:eastAsia="Times New Roman" w:hAnsi="Times New Roman" w:cs="Times New Roman"/>
          <w:sz w:val="24"/>
          <w:szCs w:val="24"/>
        </w:rPr>
        <w:t xml:space="preserve"> revista da avaliação da educação superior, Campinas, v. 22, n. 2, maio/ago. 2017.</w:t>
      </w:r>
    </w:p>
    <w:p w:rsidR="002538D1" w:rsidRPr="0039154F" w:rsidRDefault="002538D1" w:rsidP="002538D1">
      <w:pPr>
        <w:spacing w:after="0" w:line="360" w:lineRule="auto"/>
        <w:contextualSpacing/>
        <w:jc w:val="both"/>
        <w:rPr>
          <w:rFonts w:ascii="Times New Roman" w:hAnsi="Times New Roman" w:cs="Times New Roman"/>
          <w:sz w:val="24"/>
          <w:szCs w:val="24"/>
          <w:shd w:val="clear" w:color="auto" w:fill="FFFFFF"/>
        </w:rPr>
      </w:pPr>
    </w:p>
    <w:p w:rsidR="002538D1" w:rsidRDefault="002538D1" w:rsidP="002538D1">
      <w:pPr>
        <w:spacing w:after="0" w:line="360" w:lineRule="auto"/>
        <w:contextualSpacing/>
        <w:jc w:val="both"/>
        <w:rPr>
          <w:rFonts w:ascii="Times New Roman" w:eastAsia="Times New Roman" w:hAnsi="Times New Roman" w:cs="Times New Roman"/>
          <w:sz w:val="24"/>
          <w:szCs w:val="24"/>
        </w:rPr>
      </w:pPr>
    </w:p>
    <w:p w:rsidR="002538D1" w:rsidRPr="0039154F" w:rsidRDefault="002538D1" w:rsidP="002538D1">
      <w:pPr>
        <w:shd w:val="clear" w:color="auto" w:fill="FFFFFF"/>
        <w:spacing w:after="0" w:line="360" w:lineRule="auto"/>
        <w:jc w:val="both"/>
        <w:rPr>
          <w:rFonts w:ascii="Times New Roman" w:eastAsia="Times New Roman" w:hAnsi="Times New Roman" w:cs="Times New Roman"/>
          <w:sz w:val="24"/>
          <w:szCs w:val="24"/>
        </w:rPr>
      </w:pPr>
    </w:p>
    <w:p w:rsidR="002538D1" w:rsidRPr="0039154F" w:rsidRDefault="002538D1" w:rsidP="002538D1">
      <w:pPr>
        <w:shd w:val="clear" w:color="auto" w:fill="FFFFFF"/>
        <w:spacing w:after="0" w:line="360" w:lineRule="auto"/>
        <w:jc w:val="both"/>
        <w:rPr>
          <w:rFonts w:ascii="Times New Roman" w:eastAsia="Times New Roman" w:hAnsi="Times New Roman" w:cs="Times New Roman"/>
          <w:sz w:val="24"/>
          <w:szCs w:val="24"/>
        </w:rPr>
      </w:pPr>
      <w:bookmarkStart w:id="2" w:name="_1fob9te" w:colFirst="0" w:colLast="0"/>
      <w:bookmarkEnd w:id="2"/>
    </w:p>
    <w:p w:rsidR="002538D1" w:rsidRPr="0039154F" w:rsidRDefault="002538D1" w:rsidP="002538D1">
      <w:pPr>
        <w:shd w:val="clear" w:color="auto" w:fill="FFFFFF"/>
        <w:spacing w:after="0" w:line="360" w:lineRule="auto"/>
        <w:jc w:val="both"/>
        <w:rPr>
          <w:rFonts w:ascii="Times New Roman" w:eastAsia="Times New Roman" w:hAnsi="Times New Roman" w:cs="Times New Roman"/>
          <w:sz w:val="24"/>
          <w:szCs w:val="24"/>
        </w:rPr>
      </w:pPr>
    </w:p>
    <w:bookmarkEnd w:id="1"/>
    <w:p w:rsidR="002538D1" w:rsidRPr="0039154F" w:rsidRDefault="002538D1" w:rsidP="002538D1">
      <w:pPr>
        <w:shd w:val="clear" w:color="auto" w:fill="FFFFFF"/>
        <w:spacing w:after="0" w:line="360" w:lineRule="auto"/>
        <w:jc w:val="both"/>
        <w:rPr>
          <w:rFonts w:ascii="Times New Roman" w:eastAsia="Times New Roman" w:hAnsi="Times New Roman" w:cs="Times New Roman"/>
          <w:sz w:val="24"/>
          <w:szCs w:val="24"/>
        </w:rPr>
      </w:pPr>
    </w:p>
    <w:p w:rsidR="00870F99" w:rsidRDefault="00870F99">
      <w:bookmarkStart w:id="3" w:name="_GoBack"/>
      <w:bookmarkEnd w:id="3"/>
    </w:p>
    <w:sectPr w:rsidR="00870F99" w:rsidSect="00AD3CAE">
      <w:headerReference w:type="default" r:id="rId30"/>
      <w:footerReference w:type="default" r:id="rId31"/>
      <w:pgSz w:w="11906" w:h="16838"/>
      <w:pgMar w:top="1701" w:right="1701" w:bottom="1701" w:left="1701" w:header="709" w:footer="709"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D1" w:rsidRDefault="002538D1" w:rsidP="002538D1">
      <w:pPr>
        <w:spacing w:after="0" w:line="240" w:lineRule="auto"/>
      </w:pPr>
      <w:r>
        <w:separator/>
      </w:r>
    </w:p>
  </w:endnote>
  <w:endnote w:type="continuationSeparator" w:id="0">
    <w:p w:rsidR="002538D1" w:rsidRDefault="002538D1" w:rsidP="0025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E89" w:rsidRDefault="002538D1">
    <w:pPr>
      <w:tabs>
        <w:tab w:val="center" w:pos="4252"/>
        <w:tab w:val="right" w:pos="8504"/>
      </w:tabs>
      <w:spacing w:after="0" w:line="240" w:lineRule="auto"/>
      <w:jc w:val="right"/>
    </w:pPr>
    <w:r>
      <w:fldChar w:fldCharType="begin"/>
    </w:r>
    <w:r>
      <w:instrText>PAGE</w:instrText>
    </w:r>
    <w:r>
      <w:fldChar w:fldCharType="separate"/>
    </w:r>
    <w:r>
      <w:rPr>
        <w:noProof/>
      </w:rPr>
      <w:t>2</w:t>
    </w:r>
    <w:r>
      <w:fldChar w:fldCharType="end"/>
    </w:r>
  </w:p>
  <w:p w:rsidR="00C97E89" w:rsidRDefault="002538D1">
    <w:pPr>
      <w:tabs>
        <w:tab w:val="center" w:pos="4252"/>
        <w:tab w:val="right" w:pos="8504"/>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D1" w:rsidRDefault="002538D1" w:rsidP="002538D1">
      <w:pPr>
        <w:spacing w:after="0" w:line="240" w:lineRule="auto"/>
      </w:pPr>
      <w:r>
        <w:separator/>
      </w:r>
    </w:p>
  </w:footnote>
  <w:footnote w:type="continuationSeparator" w:id="0">
    <w:p w:rsidR="002538D1" w:rsidRDefault="002538D1" w:rsidP="002538D1">
      <w:pPr>
        <w:spacing w:after="0" w:line="240" w:lineRule="auto"/>
      </w:pPr>
      <w:r>
        <w:continuationSeparator/>
      </w:r>
    </w:p>
  </w:footnote>
  <w:footnote w:id="1">
    <w:p w:rsidR="002538D1" w:rsidRPr="0030460F" w:rsidRDefault="002538D1" w:rsidP="002538D1">
      <w:pPr>
        <w:pStyle w:val="SemEspaamento"/>
        <w:rPr>
          <w:sz w:val="20"/>
          <w:szCs w:val="20"/>
        </w:rPr>
      </w:pPr>
      <w:r>
        <w:rPr>
          <w:rStyle w:val="Refdenotaderodap"/>
        </w:rPr>
        <w:footnoteRef/>
      </w:r>
      <w:r>
        <w:t xml:space="preserve"> </w:t>
      </w:r>
      <w:r w:rsidRPr="0030460F">
        <w:rPr>
          <w:sz w:val="20"/>
          <w:szCs w:val="20"/>
        </w:rPr>
        <w:t>Disponível em: &lt;</w:t>
      </w:r>
      <w:hyperlink r:id="rId1" w:history="1">
        <w:r w:rsidRPr="0030460F">
          <w:rPr>
            <w:rStyle w:val="Hyperlink"/>
            <w:rFonts w:ascii="Times New Roman" w:eastAsia="Times New Roman" w:hAnsi="Times New Roman" w:cs="Times New Roman"/>
            <w:sz w:val="20"/>
            <w:szCs w:val="20"/>
          </w:rPr>
          <w:t>http://criatividade.mec.gov.br/mapa-da-inovacao</w:t>
        </w:r>
      </w:hyperlink>
      <w:r w:rsidRPr="0030460F">
        <w:rPr>
          <w:rStyle w:val="Hyperlink"/>
          <w:rFonts w:ascii="Times New Roman" w:eastAsia="Times New Roman" w:hAnsi="Times New Roman" w:cs="Times New Roman"/>
          <w:sz w:val="20"/>
          <w:szCs w:val="20"/>
        </w:rPr>
        <w:t>&gt;. A</w:t>
      </w:r>
      <w:r w:rsidRPr="0030460F">
        <w:rPr>
          <w:sz w:val="20"/>
          <w:szCs w:val="20"/>
        </w:rPr>
        <w:t>cesso em: 1º abr</w:t>
      </w:r>
      <w:r>
        <w:rPr>
          <w:sz w:val="20"/>
          <w:szCs w:val="20"/>
        </w:rPr>
        <w:t>.</w:t>
      </w:r>
      <w:r w:rsidRPr="0030460F">
        <w:rPr>
          <w:sz w:val="20"/>
          <w:szCs w:val="20"/>
        </w:rPr>
        <w:t xml:space="preserve"> 2018.</w:t>
      </w:r>
    </w:p>
  </w:footnote>
  <w:footnote w:id="2">
    <w:p w:rsidR="002538D1" w:rsidRPr="0030460F" w:rsidRDefault="002538D1" w:rsidP="002538D1">
      <w:pPr>
        <w:pStyle w:val="SemEspaamento"/>
        <w:jc w:val="both"/>
        <w:rPr>
          <w:sz w:val="20"/>
          <w:szCs w:val="20"/>
          <w:highlight w:val="white"/>
        </w:rPr>
      </w:pPr>
      <w:r w:rsidRPr="0030460F">
        <w:rPr>
          <w:rStyle w:val="Refdenotaderodap"/>
          <w:sz w:val="20"/>
          <w:szCs w:val="20"/>
        </w:rPr>
        <w:footnoteRef/>
      </w:r>
      <w:r w:rsidRPr="0030460F">
        <w:rPr>
          <w:sz w:val="20"/>
          <w:szCs w:val="20"/>
          <w:highlight w:val="white"/>
        </w:rPr>
        <w:t>A categorização de matrícula neste estudo segue a metodologia aplicada no Censo 2012</w:t>
      </w:r>
      <w:r>
        <w:rPr>
          <w:sz w:val="20"/>
          <w:szCs w:val="20"/>
          <w:highlight w:val="white"/>
        </w:rPr>
        <w:t>,</w:t>
      </w:r>
      <w:r w:rsidRPr="0030460F">
        <w:rPr>
          <w:sz w:val="20"/>
          <w:szCs w:val="20"/>
          <w:highlight w:val="white"/>
        </w:rPr>
        <w:t xml:space="preserve"> que “corresponde à soma de vínculos de aluno a um curso superior iguais a “cursando” ou “formado” (MINISTÉRIO DA EDUCAÇÃO, 2013, p.</w:t>
      </w:r>
      <w:r>
        <w:rPr>
          <w:sz w:val="20"/>
          <w:szCs w:val="20"/>
          <w:highlight w:val="white"/>
        </w:rPr>
        <w:t xml:space="preserve"> </w:t>
      </w:r>
      <w:r w:rsidRPr="0030460F">
        <w:rPr>
          <w:sz w:val="20"/>
          <w:szCs w:val="20"/>
          <w:highlight w:val="white"/>
        </w:rPr>
        <w:t>7)</w:t>
      </w:r>
      <w:r>
        <w:rPr>
          <w:sz w:val="20"/>
          <w:szCs w:val="20"/>
          <w:highlight w:val="white"/>
        </w:rPr>
        <w:t>.</w:t>
      </w:r>
    </w:p>
    <w:p w:rsidR="002538D1" w:rsidRDefault="002538D1" w:rsidP="002538D1">
      <w:pPr>
        <w:pStyle w:val="Textodenotaderodap"/>
      </w:pPr>
    </w:p>
  </w:footnote>
  <w:footnote w:id="3">
    <w:p w:rsidR="002538D1" w:rsidRPr="0030460F" w:rsidRDefault="002538D1" w:rsidP="002538D1">
      <w:pPr>
        <w:pStyle w:val="SemEspaamento"/>
        <w:jc w:val="both"/>
        <w:rPr>
          <w:sz w:val="20"/>
          <w:szCs w:val="20"/>
        </w:rPr>
      </w:pPr>
      <w:r>
        <w:rPr>
          <w:rStyle w:val="Refdenotaderodap"/>
        </w:rPr>
        <w:footnoteRef/>
      </w:r>
      <w:r>
        <w:t xml:space="preserve"> </w:t>
      </w:r>
      <w:r w:rsidRPr="0030460F">
        <w:rPr>
          <w:sz w:val="20"/>
          <w:szCs w:val="20"/>
        </w:rPr>
        <w:t xml:space="preserve">Como o </w:t>
      </w:r>
      <w:r>
        <w:rPr>
          <w:sz w:val="20"/>
          <w:szCs w:val="20"/>
        </w:rPr>
        <w:t>D</w:t>
      </w:r>
      <w:r w:rsidRPr="0030460F">
        <w:rPr>
          <w:sz w:val="20"/>
          <w:szCs w:val="20"/>
        </w:rPr>
        <w:t xml:space="preserve">ecreto </w:t>
      </w:r>
      <w:r>
        <w:rPr>
          <w:sz w:val="20"/>
          <w:szCs w:val="20"/>
        </w:rPr>
        <w:t xml:space="preserve">nº </w:t>
      </w:r>
      <w:r w:rsidRPr="0030460F">
        <w:rPr>
          <w:sz w:val="20"/>
          <w:szCs w:val="20"/>
        </w:rPr>
        <w:t>9.057, de 25 de maio de 2017, que regulamentou o art. 80 da LDB e revogou o decreto de 2005, bem como a portaria normativa n</w:t>
      </w:r>
      <w:r>
        <w:rPr>
          <w:sz w:val="20"/>
          <w:szCs w:val="20"/>
        </w:rPr>
        <w:t>º</w:t>
      </w:r>
      <w:r w:rsidRPr="0030460F">
        <w:rPr>
          <w:sz w:val="20"/>
          <w:szCs w:val="20"/>
        </w:rPr>
        <w:t xml:space="preserve"> 11</w:t>
      </w:r>
      <w:r>
        <w:rPr>
          <w:sz w:val="20"/>
          <w:szCs w:val="20"/>
        </w:rPr>
        <w:t>,</w:t>
      </w:r>
      <w:r w:rsidRPr="0030460F">
        <w:rPr>
          <w:sz w:val="20"/>
          <w:szCs w:val="20"/>
        </w:rPr>
        <w:t xml:space="preserve"> de 20 de junho de 2017, que regula o decreto.</w:t>
      </w:r>
    </w:p>
  </w:footnote>
  <w:footnote w:id="4">
    <w:p w:rsidR="002538D1" w:rsidRPr="0051648A" w:rsidRDefault="002538D1" w:rsidP="002538D1">
      <w:pPr>
        <w:pStyle w:val="Textodenotaderodap"/>
        <w:jc w:val="both"/>
      </w:pPr>
      <w:r w:rsidRPr="0051648A">
        <w:rPr>
          <w:rStyle w:val="Refdenotaderodap"/>
        </w:rPr>
        <w:footnoteRef/>
      </w:r>
      <w:r w:rsidRPr="0051648A">
        <w:t xml:space="preserve"> Segundo reportagem do </w:t>
      </w:r>
      <w:r>
        <w:t>j</w:t>
      </w:r>
      <w:r w:rsidRPr="0051648A">
        <w:t xml:space="preserve">ornal </w:t>
      </w:r>
      <w:r w:rsidRPr="0030460F">
        <w:rPr>
          <w:b/>
        </w:rPr>
        <w:t>Estadão</w:t>
      </w:r>
      <w:r w:rsidRPr="0030460F">
        <w:rPr>
          <w:i/>
        </w:rPr>
        <w:t xml:space="preserve"> </w:t>
      </w:r>
      <w:r w:rsidRPr="0051648A">
        <w:t xml:space="preserve">em sua edição on-line, a partir de fontes do MEC, o total de polos cadastrados subiu 85% no segundo semestre de 2017, saltando de 7,1 mil para 13,2 mil. Isso logo após a última resolução de junho 2017 até janeiro 2018. Ver em: ZUCCHI, Gustavo. </w:t>
      </w:r>
      <w:r w:rsidRPr="0051648A">
        <w:rPr>
          <w:i/>
        </w:rPr>
        <w:t>Polos de EAD quase dobram após nova regra do MEC.</w:t>
      </w:r>
      <w:r w:rsidRPr="0051648A">
        <w:t xml:space="preserve"> </w:t>
      </w:r>
      <w:r w:rsidRPr="0030460F">
        <w:rPr>
          <w:b/>
        </w:rPr>
        <w:t>Estadão</w:t>
      </w:r>
      <w:r w:rsidRPr="0030460F">
        <w:t>.</w:t>
      </w:r>
      <w:r w:rsidRPr="0051648A">
        <w:rPr>
          <w:b/>
        </w:rPr>
        <w:t xml:space="preserve"> </w:t>
      </w:r>
      <w:r w:rsidRPr="0051648A">
        <w:t>30 Jan 2018. Disponível em</w:t>
      </w:r>
      <w:r>
        <w:t>:</w:t>
      </w:r>
      <w:r w:rsidRPr="0051648A">
        <w:t xml:space="preserve"> &lt;</w:t>
      </w:r>
      <w:hyperlink r:id="rId2" w:history="1">
        <w:r w:rsidRPr="0051648A">
          <w:rPr>
            <w:rStyle w:val="Hyperlink"/>
          </w:rPr>
          <w:t>http://educacao.estadao.com.br/noticias/geral,polos-de-ead-quase-dobram-apos-nova-regra-do-mec,70002170485</w:t>
        </w:r>
      </w:hyperlink>
      <w:r w:rsidRPr="0051648A">
        <w:t>&gt;</w:t>
      </w:r>
      <w:r>
        <w:t>.</w:t>
      </w:r>
      <w:r w:rsidRPr="0051648A">
        <w:t xml:space="preserve"> Acesso em</w:t>
      </w:r>
      <w:r>
        <w:t>:</w:t>
      </w:r>
      <w:r w:rsidRPr="0051648A">
        <w:t xml:space="preserve"> 20 maio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E89" w:rsidRDefault="002538D1">
    <w:pPr>
      <w:tabs>
        <w:tab w:val="center" w:pos="4252"/>
        <w:tab w:val="right" w:pos="8504"/>
      </w:tabs>
      <w:spacing w:after="0" w:line="240" w:lineRule="auto"/>
      <w:jc w:val="right"/>
    </w:pPr>
  </w:p>
  <w:p w:rsidR="00C97E89" w:rsidRDefault="002538D1">
    <w:pPr>
      <w:tabs>
        <w:tab w:val="center" w:pos="4252"/>
        <w:tab w:val="right" w:pos="8504"/>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D1"/>
    <w:rsid w:val="002538D1"/>
    <w:rsid w:val="00870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6A34D-0923-40C9-9994-C9D7BBDF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38D1"/>
    <w:pPr>
      <w:pBdr>
        <w:top w:val="nil"/>
        <w:left w:val="nil"/>
        <w:bottom w:val="nil"/>
        <w:right w:val="nil"/>
        <w:between w:val="nil"/>
      </w:pBdr>
    </w:pPr>
    <w:rPr>
      <w:rFonts w:ascii="Calibri" w:eastAsia="Calibri" w:hAnsi="Calibri" w:cs="Calibri"/>
      <w:color w:val="000000"/>
      <w:lang w:eastAsia="pt-BR"/>
    </w:rPr>
  </w:style>
  <w:style w:type="paragraph" w:styleId="Ttulo1">
    <w:name w:val="heading 1"/>
    <w:basedOn w:val="Normal"/>
    <w:next w:val="Normal"/>
    <w:link w:val="Ttulo1Char"/>
    <w:rsid w:val="002538D1"/>
    <w:pPr>
      <w:keepNext/>
      <w:keepLines/>
      <w:spacing w:before="480" w:after="120"/>
      <w:outlineLvl w:val="0"/>
    </w:pPr>
    <w:rPr>
      <w:b/>
      <w:sz w:val="48"/>
      <w:szCs w:val="48"/>
    </w:rPr>
  </w:style>
  <w:style w:type="paragraph" w:styleId="Ttulo2">
    <w:name w:val="heading 2"/>
    <w:basedOn w:val="Normal"/>
    <w:next w:val="Normal"/>
    <w:link w:val="Ttulo2Char"/>
    <w:rsid w:val="002538D1"/>
    <w:pPr>
      <w:keepNext/>
      <w:keepLines/>
      <w:spacing w:before="360" w:after="80"/>
      <w:outlineLvl w:val="1"/>
    </w:pPr>
    <w:rPr>
      <w:b/>
      <w:sz w:val="36"/>
      <w:szCs w:val="36"/>
    </w:rPr>
  </w:style>
  <w:style w:type="paragraph" w:styleId="Ttulo3">
    <w:name w:val="heading 3"/>
    <w:basedOn w:val="Normal"/>
    <w:next w:val="Normal"/>
    <w:link w:val="Ttulo3Char"/>
    <w:rsid w:val="002538D1"/>
    <w:pPr>
      <w:keepNext/>
      <w:keepLines/>
      <w:spacing w:before="280" w:after="80"/>
      <w:outlineLvl w:val="2"/>
    </w:pPr>
    <w:rPr>
      <w:b/>
      <w:sz w:val="28"/>
      <w:szCs w:val="28"/>
    </w:rPr>
  </w:style>
  <w:style w:type="paragraph" w:styleId="Ttulo4">
    <w:name w:val="heading 4"/>
    <w:basedOn w:val="Normal"/>
    <w:next w:val="Normal"/>
    <w:link w:val="Ttulo4Char"/>
    <w:rsid w:val="002538D1"/>
    <w:pPr>
      <w:keepNext/>
      <w:keepLines/>
      <w:spacing w:before="240" w:after="40"/>
      <w:outlineLvl w:val="3"/>
    </w:pPr>
    <w:rPr>
      <w:b/>
      <w:sz w:val="24"/>
      <w:szCs w:val="24"/>
    </w:rPr>
  </w:style>
  <w:style w:type="paragraph" w:styleId="Ttulo5">
    <w:name w:val="heading 5"/>
    <w:basedOn w:val="Normal"/>
    <w:next w:val="Normal"/>
    <w:link w:val="Ttulo5Char"/>
    <w:rsid w:val="002538D1"/>
    <w:pPr>
      <w:keepNext/>
      <w:keepLines/>
      <w:spacing w:before="220" w:after="40"/>
      <w:outlineLvl w:val="4"/>
    </w:pPr>
    <w:rPr>
      <w:b/>
    </w:rPr>
  </w:style>
  <w:style w:type="paragraph" w:styleId="Ttulo6">
    <w:name w:val="heading 6"/>
    <w:basedOn w:val="Normal"/>
    <w:next w:val="Normal"/>
    <w:link w:val="Ttulo6Char"/>
    <w:rsid w:val="002538D1"/>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538D1"/>
    <w:rPr>
      <w:rFonts w:ascii="Calibri" w:eastAsia="Calibri" w:hAnsi="Calibri" w:cs="Calibri"/>
      <w:b/>
      <w:color w:val="000000"/>
      <w:sz w:val="48"/>
      <w:szCs w:val="48"/>
      <w:lang w:eastAsia="pt-BR"/>
    </w:rPr>
  </w:style>
  <w:style w:type="character" w:customStyle="1" w:styleId="Ttulo2Char">
    <w:name w:val="Título 2 Char"/>
    <w:basedOn w:val="Fontepargpadro"/>
    <w:link w:val="Ttulo2"/>
    <w:rsid w:val="002538D1"/>
    <w:rPr>
      <w:rFonts w:ascii="Calibri" w:eastAsia="Calibri" w:hAnsi="Calibri" w:cs="Calibri"/>
      <w:b/>
      <w:color w:val="000000"/>
      <w:sz w:val="36"/>
      <w:szCs w:val="36"/>
      <w:lang w:eastAsia="pt-BR"/>
    </w:rPr>
  </w:style>
  <w:style w:type="character" w:customStyle="1" w:styleId="Ttulo3Char">
    <w:name w:val="Título 3 Char"/>
    <w:basedOn w:val="Fontepargpadro"/>
    <w:link w:val="Ttulo3"/>
    <w:rsid w:val="002538D1"/>
    <w:rPr>
      <w:rFonts w:ascii="Calibri" w:eastAsia="Calibri" w:hAnsi="Calibri" w:cs="Calibri"/>
      <w:b/>
      <w:color w:val="000000"/>
      <w:sz w:val="28"/>
      <w:szCs w:val="28"/>
      <w:lang w:eastAsia="pt-BR"/>
    </w:rPr>
  </w:style>
  <w:style w:type="character" w:customStyle="1" w:styleId="Ttulo4Char">
    <w:name w:val="Título 4 Char"/>
    <w:basedOn w:val="Fontepargpadro"/>
    <w:link w:val="Ttulo4"/>
    <w:rsid w:val="002538D1"/>
    <w:rPr>
      <w:rFonts w:ascii="Calibri" w:eastAsia="Calibri" w:hAnsi="Calibri" w:cs="Calibri"/>
      <w:b/>
      <w:color w:val="000000"/>
      <w:sz w:val="24"/>
      <w:szCs w:val="24"/>
      <w:lang w:eastAsia="pt-BR"/>
    </w:rPr>
  </w:style>
  <w:style w:type="character" w:customStyle="1" w:styleId="Ttulo5Char">
    <w:name w:val="Título 5 Char"/>
    <w:basedOn w:val="Fontepargpadro"/>
    <w:link w:val="Ttulo5"/>
    <w:rsid w:val="002538D1"/>
    <w:rPr>
      <w:rFonts w:ascii="Calibri" w:eastAsia="Calibri" w:hAnsi="Calibri" w:cs="Calibri"/>
      <w:b/>
      <w:color w:val="000000"/>
      <w:lang w:eastAsia="pt-BR"/>
    </w:rPr>
  </w:style>
  <w:style w:type="character" w:customStyle="1" w:styleId="Ttulo6Char">
    <w:name w:val="Título 6 Char"/>
    <w:basedOn w:val="Fontepargpadro"/>
    <w:link w:val="Ttulo6"/>
    <w:rsid w:val="002538D1"/>
    <w:rPr>
      <w:rFonts w:ascii="Calibri" w:eastAsia="Calibri" w:hAnsi="Calibri" w:cs="Calibri"/>
      <w:b/>
      <w:color w:val="000000"/>
      <w:sz w:val="20"/>
      <w:szCs w:val="20"/>
      <w:lang w:eastAsia="pt-BR"/>
    </w:rPr>
  </w:style>
  <w:style w:type="table" w:customStyle="1" w:styleId="TableNormal">
    <w:name w:val="Table Normal"/>
    <w:rsid w:val="002538D1"/>
    <w:pPr>
      <w:pBdr>
        <w:top w:val="nil"/>
        <w:left w:val="nil"/>
        <w:bottom w:val="nil"/>
        <w:right w:val="nil"/>
        <w:between w:val="nil"/>
      </w:pBdr>
    </w:pPr>
    <w:rPr>
      <w:rFonts w:ascii="Calibri" w:eastAsia="Calibri" w:hAnsi="Calibri" w:cs="Calibri"/>
      <w:color w:val="000000"/>
      <w:lang w:eastAsia="pt-BR"/>
    </w:rPr>
    <w:tblPr>
      <w:tblCellMar>
        <w:top w:w="0" w:type="dxa"/>
        <w:left w:w="0" w:type="dxa"/>
        <w:bottom w:w="0" w:type="dxa"/>
        <w:right w:w="0" w:type="dxa"/>
      </w:tblCellMar>
    </w:tblPr>
  </w:style>
  <w:style w:type="paragraph" w:styleId="Ttulo">
    <w:name w:val="Title"/>
    <w:basedOn w:val="Normal"/>
    <w:next w:val="Normal"/>
    <w:link w:val="TtuloChar"/>
    <w:rsid w:val="002538D1"/>
    <w:pPr>
      <w:keepNext/>
      <w:keepLines/>
      <w:spacing w:before="480" w:after="120"/>
    </w:pPr>
    <w:rPr>
      <w:b/>
      <w:sz w:val="72"/>
      <w:szCs w:val="72"/>
    </w:rPr>
  </w:style>
  <w:style w:type="character" w:customStyle="1" w:styleId="TtuloChar">
    <w:name w:val="Título Char"/>
    <w:basedOn w:val="Fontepargpadro"/>
    <w:link w:val="Ttulo"/>
    <w:rsid w:val="002538D1"/>
    <w:rPr>
      <w:rFonts w:ascii="Calibri" w:eastAsia="Calibri" w:hAnsi="Calibri" w:cs="Calibri"/>
      <w:b/>
      <w:color w:val="000000"/>
      <w:sz w:val="72"/>
      <w:szCs w:val="72"/>
      <w:lang w:eastAsia="pt-BR"/>
    </w:rPr>
  </w:style>
  <w:style w:type="paragraph" w:styleId="Subttulo">
    <w:name w:val="Subtitle"/>
    <w:basedOn w:val="Normal"/>
    <w:next w:val="Normal"/>
    <w:link w:val="SubttuloChar"/>
    <w:rsid w:val="002538D1"/>
    <w:pPr>
      <w:keepNext/>
      <w:keepLines/>
      <w:spacing w:before="360" w:after="80"/>
    </w:pPr>
    <w:rPr>
      <w:rFonts w:ascii="Georgia" w:eastAsia="Georgia" w:hAnsi="Georgia" w:cs="Georgia"/>
      <w:i/>
      <w:color w:val="666666"/>
      <w:sz w:val="48"/>
      <w:szCs w:val="48"/>
    </w:rPr>
  </w:style>
  <w:style w:type="character" w:customStyle="1" w:styleId="SubttuloChar">
    <w:name w:val="Subtítulo Char"/>
    <w:basedOn w:val="Fontepargpadro"/>
    <w:link w:val="Subttulo"/>
    <w:rsid w:val="002538D1"/>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semiHidden/>
    <w:unhideWhenUsed/>
    <w:rsid w:val="002538D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38D1"/>
    <w:rPr>
      <w:rFonts w:ascii="Calibri" w:eastAsia="Calibri" w:hAnsi="Calibri" w:cs="Calibri"/>
      <w:color w:val="000000"/>
      <w:sz w:val="20"/>
      <w:szCs w:val="20"/>
      <w:lang w:eastAsia="pt-BR"/>
    </w:rPr>
  </w:style>
  <w:style w:type="character" w:styleId="Refdecomentrio">
    <w:name w:val="annotation reference"/>
    <w:basedOn w:val="Fontepargpadro"/>
    <w:uiPriority w:val="99"/>
    <w:semiHidden/>
    <w:unhideWhenUsed/>
    <w:rsid w:val="002538D1"/>
    <w:rPr>
      <w:sz w:val="16"/>
      <w:szCs w:val="16"/>
    </w:rPr>
  </w:style>
  <w:style w:type="paragraph" w:styleId="Textodebalo">
    <w:name w:val="Balloon Text"/>
    <w:basedOn w:val="Normal"/>
    <w:link w:val="TextodebaloChar"/>
    <w:uiPriority w:val="99"/>
    <w:semiHidden/>
    <w:unhideWhenUsed/>
    <w:rsid w:val="002538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38D1"/>
    <w:rPr>
      <w:rFonts w:ascii="Segoe UI" w:eastAsia="Calibri" w:hAnsi="Segoe UI" w:cs="Segoe UI"/>
      <w:color w:val="000000"/>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2538D1"/>
    <w:rPr>
      <w:b/>
      <w:bCs/>
    </w:rPr>
  </w:style>
  <w:style w:type="character" w:customStyle="1" w:styleId="AssuntodocomentrioChar">
    <w:name w:val="Assunto do comentário Char"/>
    <w:basedOn w:val="TextodecomentrioChar"/>
    <w:link w:val="Assuntodocomentrio"/>
    <w:uiPriority w:val="99"/>
    <w:semiHidden/>
    <w:rsid w:val="002538D1"/>
    <w:rPr>
      <w:rFonts w:ascii="Calibri" w:eastAsia="Calibri" w:hAnsi="Calibri" w:cs="Calibri"/>
      <w:b/>
      <w:bCs/>
      <w:color w:val="000000"/>
      <w:sz w:val="20"/>
      <w:szCs w:val="20"/>
      <w:lang w:eastAsia="pt-BR"/>
    </w:rPr>
  </w:style>
  <w:style w:type="character" w:styleId="Hyperlink">
    <w:name w:val="Hyperlink"/>
    <w:basedOn w:val="Fontepargpadro"/>
    <w:uiPriority w:val="99"/>
    <w:unhideWhenUsed/>
    <w:rsid w:val="002538D1"/>
    <w:rPr>
      <w:color w:val="0563C1" w:themeColor="hyperlink"/>
      <w:u w:val="single"/>
    </w:rPr>
  </w:style>
  <w:style w:type="character" w:customStyle="1" w:styleId="MenoPendente1">
    <w:name w:val="Menção Pendente1"/>
    <w:basedOn w:val="Fontepargpadro"/>
    <w:uiPriority w:val="99"/>
    <w:semiHidden/>
    <w:unhideWhenUsed/>
    <w:rsid w:val="002538D1"/>
    <w:rPr>
      <w:color w:val="808080"/>
      <w:shd w:val="clear" w:color="auto" w:fill="E6E6E6"/>
    </w:rPr>
  </w:style>
  <w:style w:type="paragraph" w:styleId="NormalWeb">
    <w:name w:val="Normal (Web)"/>
    <w:basedOn w:val="Normal"/>
    <w:uiPriority w:val="99"/>
    <w:unhideWhenUsed/>
    <w:rsid w:val="002538D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xtodenotaderodap">
    <w:name w:val="footnote text"/>
    <w:basedOn w:val="Normal"/>
    <w:link w:val="TextodenotaderodapChar"/>
    <w:uiPriority w:val="99"/>
    <w:semiHidden/>
    <w:unhideWhenUsed/>
    <w:rsid w:val="002538D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538D1"/>
    <w:rPr>
      <w:rFonts w:ascii="Calibri" w:eastAsia="Calibri" w:hAnsi="Calibri" w:cs="Calibri"/>
      <w:color w:val="000000"/>
      <w:sz w:val="20"/>
      <w:szCs w:val="20"/>
      <w:lang w:eastAsia="pt-BR"/>
    </w:rPr>
  </w:style>
  <w:style w:type="character" w:styleId="Refdenotaderodap">
    <w:name w:val="footnote reference"/>
    <w:basedOn w:val="Fontepargpadro"/>
    <w:uiPriority w:val="99"/>
    <w:semiHidden/>
    <w:unhideWhenUsed/>
    <w:rsid w:val="002538D1"/>
    <w:rPr>
      <w:vertAlign w:val="superscript"/>
    </w:rPr>
  </w:style>
  <w:style w:type="paragraph" w:styleId="Cabealho">
    <w:name w:val="header"/>
    <w:basedOn w:val="Normal"/>
    <w:link w:val="CabealhoChar"/>
    <w:uiPriority w:val="99"/>
    <w:unhideWhenUsed/>
    <w:rsid w:val="002538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38D1"/>
    <w:rPr>
      <w:rFonts w:ascii="Calibri" w:eastAsia="Calibri" w:hAnsi="Calibri" w:cs="Calibri"/>
      <w:color w:val="000000"/>
      <w:lang w:eastAsia="pt-BR"/>
    </w:rPr>
  </w:style>
  <w:style w:type="paragraph" w:styleId="Rodap">
    <w:name w:val="footer"/>
    <w:basedOn w:val="Normal"/>
    <w:link w:val="RodapChar"/>
    <w:uiPriority w:val="99"/>
    <w:unhideWhenUsed/>
    <w:rsid w:val="002538D1"/>
    <w:pPr>
      <w:tabs>
        <w:tab w:val="center" w:pos="4252"/>
        <w:tab w:val="right" w:pos="8504"/>
      </w:tabs>
      <w:spacing w:after="0" w:line="240" w:lineRule="auto"/>
    </w:pPr>
  </w:style>
  <w:style w:type="character" w:customStyle="1" w:styleId="RodapChar">
    <w:name w:val="Rodapé Char"/>
    <w:basedOn w:val="Fontepargpadro"/>
    <w:link w:val="Rodap"/>
    <w:uiPriority w:val="99"/>
    <w:rsid w:val="002538D1"/>
    <w:rPr>
      <w:rFonts w:ascii="Calibri" w:eastAsia="Calibri" w:hAnsi="Calibri" w:cs="Calibri"/>
      <w:color w:val="000000"/>
      <w:lang w:eastAsia="pt-BR"/>
    </w:rPr>
  </w:style>
  <w:style w:type="character" w:customStyle="1" w:styleId="MenoPendente2">
    <w:name w:val="Menção Pendente2"/>
    <w:basedOn w:val="Fontepargpadro"/>
    <w:uiPriority w:val="99"/>
    <w:semiHidden/>
    <w:unhideWhenUsed/>
    <w:rsid w:val="002538D1"/>
    <w:rPr>
      <w:color w:val="808080"/>
      <w:shd w:val="clear" w:color="auto" w:fill="E6E6E6"/>
    </w:rPr>
  </w:style>
  <w:style w:type="paragraph" w:styleId="SemEspaamento">
    <w:name w:val="No Spacing"/>
    <w:uiPriority w:val="1"/>
    <w:qFormat/>
    <w:rsid w:val="002538D1"/>
    <w:pPr>
      <w:pBdr>
        <w:top w:val="nil"/>
        <w:left w:val="nil"/>
        <w:bottom w:val="nil"/>
        <w:right w:val="nil"/>
        <w:between w:val="nil"/>
      </w:pBdr>
      <w:spacing w:after="0" w:line="240" w:lineRule="auto"/>
    </w:pPr>
    <w:rPr>
      <w:rFonts w:ascii="Calibri" w:eastAsia="Calibri" w:hAnsi="Calibri" w:cs="Calibri"/>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abed.org.br/arquivos/Censo_EAD_2015_POR.pdf" TargetMode="External"/><Relationship Id="rId18" Type="http://schemas.openxmlformats.org/officeDocument/2006/relationships/hyperlink" Target="http://www2.camara.leg.br/legin/fed/lei/2014/lei-13005-25-junho-2014-778970-publicacaooriginal-144468-pl.html" TargetMode="External"/><Relationship Id="rId26" Type="http://schemas.openxmlformats.org/officeDocument/2006/relationships/hyperlink" Target="http://unesdoc.unesco.org/images/0013/001373/137334POR.pdf" TargetMode="External"/><Relationship Id="rId3" Type="http://schemas.openxmlformats.org/officeDocument/2006/relationships/webSettings" Target="webSettings.xml"/><Relationship Id="rId21" Type="http://schemas.openxmlformats.org/officeDocument/2006/relationships/hyperlink" Target="http://download.inep.gov.br/educacao_superior/censo_superior/documentos/2015/Notas_Estatisticas_Censo_Superior_2015.pdf" TargetMode="External"/><Relationship Id="rId7" Type="http://schemas.openxmlformats.org/officeDocument/2006/relationships/image" Target="media/image1.png"/><Relationship Id="rId12" Type="http://schemas.openxmlformats.org/officeDocument/2006/relationships/chart" Target="charts/chart6.xml"/><Relationship Id="rId17" Type="http://schemas.openxmlformats.org/officeDocument/2006/relationships/hyperlink" Target="http://www.planalto.gov.br/ccivil_03/_Ato2015-2018/2017/Decreto/D9057.htm" TargetMode="External"/><Relationship Id="rId25" Type="http://schemas.openxmlformats.org/officeDocument/2006/relationships/hyperlink" Target="http://portal.mec.gov.br/busca-geral/212-noticias/educacao-superior-1690610854/50451-mec-atualiza-regulamentacao-de-ead-e-amplia-a-oferta-de-cursos"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legislacao.planalto.gov.br/legisla/legislacao.nsf/Viw_Identificacao/DEC%209.057-2017?OpenDocument" TargetMode="External"/><Relationship Id="rId20" Type="http://schemas.openxmlformats.org/officeDocument/2006/relationships/hyperlink" Target="http://www.planejamento.gov.br/secretarias/upload/Arquivos/spi/plano_plurianual/avaliacao_ppa/relatorio-de-avaliacao-do-ppa-2012-2015/relatorio-avaliacao-ppa-vol2-programas-tematicos.pdf" TargetMode="External"/><Relationship Id="rId29" Type="http://schemas.openxmlformats.org/officeDocument/2006/relationships/hyperlink" Target="http://convergenciacom.net/pdf/mapa-ensino-superior-brasil-2015.pdf"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5.xml"/><Relationship Id="rId24" Type="http://schemas.openxmlformats.org/officeDocument/2006/relationships/hyperlink" Target="http://rbep.inep.gov.br/index.php/rbep/article/view/3026/pd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www.planalto.gov.br/ccivil_03/_Ato2015-2018/2017/Decreto/D9235.htm" TargetMode="External"/><Relationship Id="rId23" Type="http://schemas.openxmlformats.org/officeDocument/2006/relationships/hyperlink" Target="https://hackathonparaeducacao.files.wordpress.com/2014/04/leia_me_censo_superior_2012.pdf" TargetMode="External"/><Relationship Id="rId28" Type="http://schemas.openxmlformats.org/officeDocument/2006/relationships/hyperlink" Target="http://www.revistaeducacion.mec.es/re334/re334_22.pdf" TargetMode="External"/><Relationship Id="rId10" Type="http://schemas.openxmlformats.org/officeDocument/2006/relationships/chart" Target="charts/chart4.xml"/><Relationship Id="rId19" Type="http://schemas.openxmlformats.org/officeDocument/2006/relationships/hyperlink" Target="http://www.planalto.gov.br/ccivil_03/leis/L9394.htm"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hyperlink" Target="http://portal.mec.gov.br/busca-geral/212-noticias/educacao-superior-1690610854/49321-mec-atualiza-legislacao-que-regulamenta-educacao-a-distancia-no-pais" TargetMode="External"/><Relationship Id="rId22" Type="http://schemas.openxmlformats.org/officeDocument/2006/relationships/hyperlink" Target="http://download.inep.gov.br/educacao_superior/censo_superior/documentos/2016/censo_superior_tabelas.pdf" TargetMode="External"/><Relationship Id="rId27" Type="http://schemas.openxmlformats.org/officeDocument/2006/relationships/hyperlink" Target="http://portal.mec.gov.br/pet/355-perguntas-frequentes-911936531/educacao-a-distancia-1651636927/12825-quantos-polos-de-educacao-a-distancia-credenciados-pelo-mec-existem-hoje-no-pais"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educacao.estadao.com.br/noticias/geral,polos-de-ead-quase-dobram-apos-nova-regra-do-mec,70002170485" TargetMode="External"/><Relationship Id="rId1" Type="http://schemas.openxmlformats.org/officeDocument/2006/relationships/hyperlink" Target="http://criatividade.mec.gov.br/mapa-da-inovacao"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1 - </a:t>
            </a:r>
            <a:r>
              <a:rPr lang="pt-BR" sz="1200" b="1">
                <a:solidFill>
                  <a:sysClr val="windowText" lastClr="000000"/>
                </a:solidFill>
              </a:rPr>
              <a:t>Matrículas</a:t>
            </a:r>
            <a:r>
              <a:rPr lang="pt-BR" sz="1200" b="1" baseline="0">
                <a:solidFill>
                  <a:sysClr val="windowText" lastClr="000000"/>
                </a:solidFill>
              </a:rPr>
              <a:t> em Cursos de Graduação Ensino Superior nas redes pública e privada - Brasil - 2012-2016 </a:t>
            </a:r>
            <a:endParaRPr lang="pt-BR" sz="1200"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lineChart>
        <c:grouping val="standard"/>
        <c:varyColors val="0"/>
        <c:ser>
          <c:idx val="0"/>
          <c:order val="0"/>
          <c:tx>
            <c:strRef>
              <c:f>Planilha1!$B$1</c:f>
              <c:strCache>
                <c:ptCount val="1"/>
                <c:pt idx="0">
                  <c:v>Total</c:v>
                </c:pt>
              </c:strCache>
            </c:strRef>
          </c:tx>
          <c:spPr>
            <a:ln w="28575" cap="rnd">
              <a:solidFill>
                <a:schemeClr val="dk1">
                  <a:tint val="885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Planilha1!$B$2:$B$7</c:f>
              <c:numCache>
                <c:formatCode>General</c:formatCode>
                <c:ptCount val="6"/>
                <c:pt idx="0">
                  <c:v>7037688</c:v>
                </c:pt>
                <c:pt idx="1">
                  <c:v>7305977</c:v>
                </c:pt>
                <c:pt idx="2">
                  <c:v>7828013</c:v>
                </c:pt>
                <c:pt idx="3">
                  <c:v>8027297</c:v>
                </c:pt>
                <c:pt idx="4">
                  <c:v>8048701</c:v>
                </c:pt>
                <c:pt idx="5">
                  <c:v>38247676</c:v>
                </c:pt>
              </c:numCache>
            </c:numRef>
          </c:val>
          <c:smooth val="0"/>
          <c:extLst xmlns:c16r2="http://schemas.microsoft.com/office/drawing/2015/06/chart">
            <c:ext xmlns:c16="http://schemas.microsoft.com/office/drawing/2014/chart" uri="{C3380CC4-5D6E-409C-BE32-E72D297353CC}">
              <c16:uniqueId val="{00000000-C896-455B-85FF-E832700959A8}"/>
            </c:ext>
          </c:extLst>
        </c:ser>
        <c:ser>
          <c:idx val="1"/>
          <c:order val="1"/>
          <c:tx>
            <c:strRef>
              <c:f>Planilha1!$C$1</c:f>
              <c:strCache>
                <c:ptCount val="1"/>
                <c:pt idx="0">
                  <c:v>Público  </c:v>
                </c:pt>
              </c:strCache>
            </c:strRef>
          </c:tx>
          <c:spPr>
            <a:ln w="28575" cap="rnd">
              <a:solidFill>
                <a:schemeClr val="dk1">
                  <a:tint val="550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Planilha1!$C$2:$C$7</c:f>
              <c:numCache>
                <c:formatCode>General</c:formatCode>
                <c:ptCount val="6"/>
                <c:pt idx="0">
                  <c:v>1897376</c:v>
                </c:pt>
                <c:pt idx="1">
                  <c:v>1932527</c:v>
                </c:pt>
                <c:pt idx="2">
                  <c:v>1961002</c:v>
                </c:pt>
                <c:pt idx="3">
                  <c:v>0</c:v>
                </c:pt>
                <c:pt idx="4">
                  <c:v>1990078</c:v>
                </c:pt>
                <c:pt idx="5">
                  <c:v>7780983</c:v>
                </c:pt>
              </c:numCache>
            </c:numRef>
          </c:val>
          <c:smooth val="0"/>
          <c:extLst xmlns:c16r2="http://schemas.microsoft.com/office/drawing/2015/06/chart">
            <c:ext xmlns:c16="http://schemas.microsoft.com/office/drawing/2014/chart" uri="{C3380CC4-5D6E-409C-BE32-E72D297353CC}">
              <c16:uniqueId val="{00000001-C896-455B-85FF-E832700959A8}"/>
            </c:ext>
          </c:extLst>
        </c:ser>
        <c:ser>
          <c:idx val="2"/>
          <c:order val="2"/>
          <c:tx>
            <c:strRef>
              <c:f>Planilha1!$D$1</c:f>
              <c:strCache>
                <c:ptCount val="1"/>
                <c:pt idx="0">
                  <c:v>Privado </c:v>
                </c:pt>
              </c:strCache>
            </c:strRef>
          </c:tx>
          <c:spPr>
            <a:ln w="28575" cap="rnd">
              <a:solidFill>
                <a:schemeClr val="dk1">
                  <a:tint val="75000"/>
                </a:schemeClr>
              </a:solidFill>
              <a:round/>
            </a:ln>
            <a:effectLst/>
          </c:spPr>
          <c:marker>
            <c:symbol val="none"/>
          </c:marker>
          <c:cat>
            <c:strRef>
              <c:f>Planilha1!$A$2:$A$7</c:f>
              <c:strCache>
                <c:ptCount val="6"/>
                <c:pt idx="0">
                  <c:v>2012</c:v>
                </c:pt>
                <c:pt idx="1">
                  <c:v>2013</c:v>
                </c:pt>
                <c:pt idx="2">
                  <c:v>2014</c:v>
                </c:pt>
                <c:pt idx="3">
                  <c:v>2015</c:v>
                </c:pt>
                <c:pt idx="4">
                  <c:v>2016</c:v>
                </c:pt>
                <c:pt idx="5">
                  <c:v>Total </c:v>
                </c:pt>
              </c:strCache>
            </c:strRef>
          </c:cat>
          <c:val>
            <c:numRef>
              <c:f>Planilha1!$D$2:$D$7</c:f>
              <c:numCache>
                <c:formatCode>General</c:formatCode>
                <c:ptCount val="6"/>
                <c:pt idx="0">
                  <c:v>5140312</c:v>
                </c:pt>
                <c:pt idx="1">
                  <c:v>5373450</c:v>
                </c:pt>
                <c:pt idx="2">
                  <c:v>5867011</c:v>
                </c:pt>
                <c:pt idx="3">
                  <c:v>0</c:v>
                </c:pt>
                <c:pt idx="4">
                  <c:v>6058623</c:v>
                </c:pt>
                <c:pt idx="5">
                  <c:v>22439396</c:v>
                </c:pt>
              </c:numCache>
            </c:numRef>
          </c:val>
          <c:smooth val="0"/>
          <c:extLst xmlns:c16r2="http://schemas.microsoft.com/office/drawing/2015/06/chart">
            <c:ext xmlns:c16="http://schemas.microsoft.com/office/drawing/2014/chart" uri="{C3380CC4-5D6E-409C-BE32-E72D297353CC}">
              <c16:uniqueId val="{00000002-C896-455B-85FF-E832700959A8}"/>
            </c:ext>
          </c:extLst>
        </c:ser>
        <c:dLbls>
          <c:showLegendKey val="0"/>
          <c:showVal val="0"/>
          <c:showCatName val="0"/>
          <c:showSerName val="0"/>
          <c:showPercent val="0"/>
          <c:showBubbleSize val="0"/>
        </c:dLbls>
        <c:smooth val="0"/>
        <c:axId val="422587224"/>
        <c:axId val="422586440"/>
      </c:lineChart>
      <c:catAx>
        <c:axId val="422587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22586440"/>
        <c:crosses val="autoZero"/>
        <c:auto val="1"/>
        <c:lblAlgn val="ctr"/>
        <c:lblOffset val="100"/>
        <c:noMultiLvlLbl val="0"/>
      </c:catAx>
      <c:valAx>
        <c:axId val="422586440"/>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225872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3 - Matrículas em Cursos de Graduação por Modalidade de Ensino - Brasil - 2012-2016</a:t>
            </a:r>
            <a:endParaRPr lang="pt-BR" sz="1200" b="1">
              <a:solidFill>
                <a:sysClr val="windowText" lastClr="000000"/>
              </a:solidFill>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stacked"/>
        <c:varyColors val="0"/>
        <c:ser>
          <c:idx val="0"/>
          <c:order val="0"/>
          <c:tx>
            <c:strRef>
              <c:f>Planilha2!$C$10</c:f>
              <c:strCache>
                <c:ptCount val="1"/>
                <c:pt idx="0">
                  <c:v>Presencial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pt-B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Planilha2!$B$11:$B$15</c:f>
              <c:numCache>
                <c:formatCode>General</c:formatCode>
                <c:ptCount val="5"/>
                <c:pt idx="0">
                  <c:v>2012</c:v>
                </c:pt>
                <c:pt idx="1">
                  <c:v>2013</c:v>
                </c:pt>
                <c:pt idx="2">
                  <c:v>2014</c:v>
                </c:pt>
                <c:pt idx="3">
                  <c:v>2015</c:v>
                </c:pt>
                <c:pt idx="4">
                  <c:v>2016</c:v>
                </c:pt>
              </c:numCache>
            </c:numRef>
          </c:cat>
          <c:val>
            <c:numRef>
              <c:f>Planilha2!$C$11:$C$15</c:f>
              <c:numCache>
                <c:formatCode>General</c:formatCode>
                <c:ptCount val="5"/>
                <c:pt idx="0">
                  <c:v>5923838</c:v>
                </c:pt>
                <c:pt idx="1">
                  <c:v>6152405</c:v>
                </c:pt>
                <c:pt idx="2">
                  <c:v>6486171</c:v>
                </c:pt>
                <c:pt idx="3">
                  <c:v>6633545</c:v>
                </c:pt>
                <c:pt idx="4">
                  <c:v>6554283</c:v>
                </c:pt>
              </c:numCache>
            </c:numRef>
          </c:val>
          <c:extLst xmlns:c16r2="http://schemas.microsoft.com/office/drawing/2015/06/chart">
            <c:ext xmlns:c16="http://schemas.microsoft.com/office/drawing/2014/chart" uri="{C3380CC4-5D6E-409C-BE32-E72D297353CC}">
              <c16:uniqueId val="{00000000-EE37-4E4F-9F8C-DDC8A6613106}"/>
            </c:ext>
          </c:extLst>
        </c:ser>
        <c:ser>
          <c:idx val="1"/>
          <c:order val="1"/>
          <c:tx>
            <c:strRef>
              <c:f>Planilha2!$D$10</c:f>
              <c:strCache>
                <c:ptCount val="1"/>
                <c:pt idx="0">
                  <c:v>A distância </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Planilha2!$B$11:$B$15</c:f>
              <c:numCache>
                <c:formatCode>General</c:formatCode>
                <c:ptCount val="5"/>
                <c:pt idx="0">
                  <c:v>2012</c:v>
                </c:pt>
                <c:pt idx="1">
                  <c:v>2013</c:v>
                </c:pt>
                <c:pt idx="2">
                  <c:v>2014</c:v>
                </c:pt>
                <c:pt idx="3">
                  <c:v>2015</c:v>
                </c:pt>
                <c:pt idx="4">
                  <c:v>2016</c:v>
                </c:pt>
              </c:numCache>
            </c:numRef>
          </c:cat>
          <c:val>
            <c:numRef>
              <c:f>Planilha2!$D$11:$D$15</c:f>
              <c:numCache>
                <c:formatCode>General</c:formatCode>
                <c:ptCount val="5"/>
                <c:pt idx="0">
                  <c:v>1113850</c:v>
                </c:pt>
                <c:pt idx="1">
                  <c:v>1153572</c:v>
                </c:pt>
                <c:pt idx="2">
                  <c:v>1341842</c:v>
                </c:pt>
                <c:pt idx="3">
                  <c:v>1393752</c:v>
                </c:pt>
                <c:pt idx="4">
                  <c:v>1494418</c:v>
                </c:pt>
              </c:numCache>
            </c:numRef>
          </c:val>
          <c:extLst xmlns:c16r2="http://schemas.microsoft.com/office/drawing/2015/06/chart">
            <c:ext xmlns:c16="http://schemas.microsoft.com/office/drawing/2014/chart" uri="{C3380CC4-5D6E-409C-BE32-E72D297353CC}">
              <c16:uniqueId val="{00000001-EE37-4E4F-9F8C-DDC8A6613106}"/>
            </c:ext>
          </c:extLst>
        </c:ser>
        <c:dLbls>
          <c:dLblPos val="ctr"/>
          <c:showLegendKey val="0"/>
          <c:showVal val="1"/>
          <c:showCatName val="0"/>
          <c:showSerName val="0"/>
          <c:showPercent val="0"/>
          <c:showBubbleSize val="0"/>
        </c:dLbls>
        <c:gapWidth val="150"/>
        <c:overlap val="100"/>
        <c:axId val="422580560"/>
        <c:axId val="422580952"/>
      </c:barChart>
      <c:catAx>
        <c:axId val="42258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22580952"/>
        <c:crosses val="autoZero"/>
        <c:auto val="1"/>
        <c:lblAlgn val="ctr"/>
        <c:lblOffset val="100"/>
        <c:noMultiLvlLbl val="0"/>
      </c:catAx>
      <c:valAx>
        <c:axId val="4225809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22580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baseline="0">
                <a:solidFill>
                  <a:schemeClr val="tx1">
                    <a:lumMod val="65000"/>
                    <a:lumOff val="35000"/>
                  </a:schemeClr>
                </a:solidFill>
                <a:latin typeface="+mn-lt"/>
                <a:ea typeface="+mn-ea"/>
                <a:cs typeface="+mn-cs"/>
              </a:defRPr>
            </a:pPr>
            <a:r>
              <a:rPr lang="pt-BR" sz="1100" dirty="0">
                <a:solidFill>
                  <a:sysClr val="windowText" lastClr="000000"/>
                </a:solidFill>
              </a:rPr>
              <a:t>Gráfico</a:t>
            </a:r>
            <a:r>
              <a:rPr lang="pt-BR" sz="1100" baseline="0" dirty="0">
                <a:solidFill>
                  <a:sysClr val="windowText" lastClr="000000"/>
                </a:solidFill>
              </a:rPr>
              <a:t> 4 – Fatores de influência na escolha de curso de graduação EaD </a:t>
            </a:r>
            <a:endParaRPr lang="pt-BR" sz="1100" dirty="0">
              <a:solidFill>
                <a:sysClr val="windowText" lastClr="000000"/>
              </a:solidFill>
            </a:endParaRPr>
          </a:p>
        </c:rich>
      </c:tx>
      <c:overlay val="0"/>
      <c:spPr>
        <a:noFill/>
        <a:ln>
          <a:noFill/>
        </a:ln>
        <a:effectLst/>
      </c:spPr>
      <c:txPr>
        <a:bodyPr rot="0" spcFirstLastPara="1" vertOverflow="ellipsis" vert="horz" wrap="square" anchor="ctr" anchorCtr="1"/>
        <a:lstStyle/>
        <a:p>
          <a:pPr>
            <a:defRPr sz="2128" b="1" i="0" u="none" strike="noStrike" kern="1200" baseline="0">
              <a:solidFill>
                <a:schemeClr val="tx1">
                  <a:lumMod val="65000"/>
                  <a:lumOff val="35000"/>
                </a:schemeClr>
              </a:solidFill>
              <a:latin typeface="+mn-lt"/>
              <a:ea typeface="+mn-ea"/>
              <a:cs typeface="+mn-cs"/>
            </a:defRPr>
          </a:pPr>
          <a:endParaRPr lang="pt-BR"/>
        </a:p>
      </c:txPr>
    </c:title>
    <c:autoTitleDeleted val="0"/>
    <c:plotArea>
      <c:layout/>
      <c:barChart>
        <c:barDir val="bar"/>
        <c:grouping val="clustered"/>
        <c:varyColors val="0"/>
        <c:ser>
          <c:idx val="0"/>
          <c:order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2"/>
            <c:invertIfNegative val="0"/>
            <c:bubble3D val="0"/>
            <c:extLst xmlns:c16r2="http://schemas.microsoft.com/office/drawing/2015/06/chart">
              <c:ext xmlns:c16="http://schemas.microsoft.com/office/drawing/2014/chart" uri="{C3380CC4-5D6E-409C-BE32-E72D297353CC}">
                <c16:uniqueId val="{00000000-C5F3-4E2C-922F-31BECFEEBFF9}"/>
              </c:ext>
            </c:extLst>
          </c:dPt>
          <c:dPt>
            <c:idx val="10"/>
            <c:invertIfNegative val="0"/>
            <c:bubble3D val="0"/>
            <c:extLst xmlns:c16r2="http://schemas.microsoft.com/office/drawing/2015/06/chart">
              <c:ext xmlns:c16="http://schemas.microsoft.com/office/drawing/2014/chart" uri="{C3380CC4-5D6E-409C-BE32-E72D297353CC}">
                <c16:uniqueId val="{00000001-C5F3-4E2C-922F-31BECFEEBFF9}"/>
              </c:ext>
            </c:extLst>
          </c:dPt>
          <c:dPt>
            <c:idx val="11"/>
            <c:invertIfNegative val="0"/>
            <c:bubble3D val="0"/>
            <c:extLst xmlns:c16r2="http://schemas.microsoft.com/office/drawing/2015/06/chart">
              <c:ext xmlns:c16="http://schemas.microsoft.com/office/drawing/2014/chart" uri="{C3380CC4-5D6E-409C-BE32-E72D297353CC}">
                <c16:uniqueId val="{00000002-C5F3-4E2C-922F-31BECFEEBFF9}"/>
              </c:ext>
            </c:extLst>
          </c:dPt>
          <c:cat>
            <c:strRef>
              <c:f>Planilha2!$C$1:$C$12</c:f>
              <c:strCache>
                <c:ptCount val="12"/>
                <c:pt idx="0">
                  <c:v>Por falta de opção </c:v>
                </c:pt>
                <c:pt idx="1">
                  <c:v>Influência social</c:v>
                </c:pt>
                <c:pt idx="2">
                  <c:v>Orientação profissional na Educação Básica</c:v>
                </c:pt>
                <c:pt idx="3">
                  <c:v>Experiência anterior em EAD</c:v>
                </c:pt>
                <c:pt idx="4">
                  <c:v>Conhecimento em grupo </c:v>
                </c:pt>
                <c:pt idx="5">
                  <c:v>Aprendizagem personalizada, suporte, tutoria</c:v>
                </c:pt>
                <c:pt idx="6">
                  <c:v>Oportunidade de trabalho e renda</c:v>
                </c:pt>
                <c:pt idx="7">
                  <c:v>Devenvolve competências valorizadas no mercado </c:v>
                </c:pt>
                <c:pt idx="8">
                  <c:v>Acesso conteúdos e materiais didáticos</c:v>
                </c:pt>
                <c:pt idx="9">
                  <c:v>Custo-benefício (renda, gasto)</c:v>
                </c:pt>
                <c:pt idx="10">
                  <c:v>Conexão estudos e características/habilidades pessoais</c:v>
                </c:pt>
                <c:pt idx="11">
                  <c:v>Flexibilidade e autogestão tempo de estudo</c:v>
                </c:pt>
              </c:strCache>
            </c:strRef>
          </c:cat>
          <c:val>
            <c:numRef>
              <c:f>Planilha2!$D$1:$D$12</c:f>
              <c:numCache>
                <c:formatCode>General</c:formatCode>
                <c:ptCount val="12"/>
                <c:pt idx="0">
                  <c:v>1.24</c:v>
                </c:pt>
                <c:pt idx="1">
                  <c:v>1.65</c:v>
                </c:pt>
                <c:pt idx="2">
                  <c:v>1.87</c:v>
                </c:pt>
                <c:pt idx="3">
                  <c:v>1.89</c:v>
                </c:pt>
                <c:pt idx="4">
                  <c:v>2.4500000000000002</c:v>
                </c:pt>
                <c:pt idx="5">
                  <c:v>3.19</c:v>
                </c:pt>
                <c:pt idx="6">
                  <c:v>3.36</c:v>
                </c:pt>
                <c:pt idx="7">
                  <c:v>3.54</c:v>
                </c:pt>
                <c:pt idx="8">
                  <c:v>3.57</c:v>
                </c:pt>
                <c:pt idx="9">
                  <c:v>3.95</c:v>
                </c:pt>
                <c:pt idx="10">
                  <c:v>3.96</c:v>
                </c:pt>
                <c:pt idx="11">
                  <c:v>4.2300000000000004</c:v>
                </c:pt>
              </c:numCache>
            </c:numRef>
          </c:val>
          <c:extLst xmlns:c16r2="http://schemas.microsoft.com/office/drawing/2015/06/chart">
            <c:ext xmlns:c16="http://schemas.microsoft.com/office/drawing/2014/chart" uri="{C3380CC4-5D6E-409C-BE32-E72D297353CC}">
              <c16:uniqueId val="{00000003-C5F3-4E2C-922F-31BECFEEBFF9}"/>
            </c:ext>
          </c:extLst>
        </c:ser>
        <c:dLbls>
          <c:showLegendKey val="0"/>
          <c:showVal val="0"/>
          <c:showCatName val="0"/>
          <c:showSerName val="0"/>
          <c:showPercent val="0"/>
          <c:showBubbleSize val="0"/>
        </c:dLbls>
        <c:gapWidth val="115"/>
        <c:overlap val="-20"/>
        <c:axId val="422582128"/>
        <c:axId val="422582520"/>
      </c:barChart>
      <c:catAx>
        <c:axId val="422582128"/>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422582520"/>
        <c:crosses val="autoZero"/>
        <c:auto val="1"/>
        <c:lblAlgn val="ctr"/>
        <c:lblOffset val="100"/>
        <c:noMultiLvlLbl val="0"/>
      </c:catAx>
      <c:valAx>
        <c:axId val="422582520"/>
        <c:scaling>
          <c:orientation val="minMax"/>
        </c:scaling>
        <c:delete val="1"/>
        <c:axPos val="b"/>
        <c:numFmt formatCode="General" sourceLinked="1"/>
        <c:majorTickMark val="out"/>
        <c:minorTickMark val="none"/>
        <c:tickLblPos val="nextTo"/>
        <c:crossAx val="422582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pt-BR" sz="1200">
                <a:solidFill>
                  <a:sysClr val="windowText" lastClr="000000"/>
                </a:solidFill>
              </a:rPr>
              <a:t>Gráfico</a:t>
            </a:r>
            <a:r>
              <a:rPr lang="pt-BR" sz="1200" baseline="0">
                <a:solidFill>
                  <a:sysClr val="windowText" lastClr="000000"/>
                </a:solidFill>
              </a:rPr>
              <a:t> 5 - Fatores de escolha da universidade especificada</a:t>
            </a:r>
            <a:endParaRPr lang="pt-BR" sz="120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pt-BR"/>
        </a:p>
      </c:txPr>
    </c:title>
    <c:autoTitleDeleted val="0"/>
    <c:plotArea>
      <c:layout/>
      <c:barChart>
        <c:barDir val="bar"/>
        <c:grouping val="clustered"/>
        <c:varyColors val="0"/>
        <c:ser>
          <c:idx val="0"/>
          <c:order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76E1-42B4-9E2D-8AFECD41886F}"/>
              </c:ext>
            </c:extLst>
          </c:dPt>
          <c:dPt>
            <c:idx val="1"/>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76E1-42B4-9E2D-8AFECD41886F}"/>
              </c:ext>
            </c:extLst>
          </c:dPt>
          <c:dPt>
            <c:idx val="9"/>
            <c:invertIfNegative val="0"/>
            <c:bubble3D val="0"/>
            <c:spPr>
              <a:solidFill>
                <a:schemeClr val="tx1">
                  <a:lumMod val="50000"/>
                  <a:lumOff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76E1-42B4-9E2D-8AFECD41886F}"/>
              </c:ext>
            </c:extLst>
          </c:dPt>
          <c:cat>
            <c:strRef>
              <c:f>Planilha3!$A$1:$A$10</c:f>
              <c:strCache>
                <c:ptCount val="10"/>
                <c:pt idx="0">
                  <c:v>Sugestão da escola</c:v>
                </c:pt>
                <c:pt idx="1">
                  <c:v>Convênio empresa-universidade</c:v>
                </c:pt>
                <c:pt idx="2">
                  <c:v>O desejo de estudar “fora de casa”</c:v>
                </c:pt>
                <c:pt idx="3">
                  <c:v>As opiniões da minha família</c:v>
                </c:pt>
                <c:pt idx="4">
                  <c:v>Opinião de terceiros sobre a IES</c:v>
                </c:pt>
                <c:pt idx="5">
                  <c:v>Informações recebidas pela IES</c:v>
                </c:pt>
                <c:pt idx="6">
                  <c:v>Acesso estágios e laboratórios da IES</c:v>
                </c:pt>
                <c:pt idx="7">
                  <c:v>Melhor IES na área escolhida</c:v>
                </c:pt>
                <c:pt idx="8">
                  <c:v>Estrutura oferecida ao estudante</c:v>
                </c:pt>
                <c:pt idx="9">
                  <c:v>Pelo prestígio da Universidade</c:v>
                </c:pt>
              </c:strCache>
            </c:strRef>
          </c:cat>
          <c:val>
            <c:numRef>
              <c:f>Planilha3!$B$1:$B$10</c:f>
              <c:numCache>
                <c:formatCode>General</c:formatCode>
                <c:ptCount val="10"/>
                <c:pt idx="0">
                  <c:v>1.49</c:v>
                </c:pt>
                <c:pt idx="1">
                  <c:v>1.54</c:v>
                </c:pt>
                <c:pt idx="2">
                  <c:v>1.85</c:v>
                </c:pt>
                <c:pt idx="3">
                  <c:v>1.94</c:v>
                </c:pt>
                <c:pt idx="4">
                  <c:v>2.4300000000000002</c:v>
                </c:pt>
                <c:pt idx="5">
                  <c:v>2.71</c:v>
                </c:pt>
                <c:pt idx="6">
                  <c:v>2.73</c:v>
                </c:pt>
                <c:pt idx="7">
                  <c:v>2.94</c:v>
                </c:pt>
                <c:pt idx="8">
                  <c:v>3.39</c:v>
                </c:pt>
                <c:pt idx="9">
                  <c:v>3.8</c:v>
                </c:pt>
              </c:numCache>
            </c:numRef>
          </c:val>
          <c:extLst xmlns:c16r2="http://schemas.microsoft.com/office/drawing/2015/06/chart">
            <c:ext xmlns:c16="http://schemas.microsoft.com/office/drawing/2014/chart" uri="{C3380CC4-5D6E-409C-BE32-E72D297353CC}">
              <c16:uniqueId val="{00000006-76E1-42B4-9E2D-8AFECD41886F}"/>
            </c:ext>
          </c:extLst>
        </c:ser>
        <c:dLbls>
          <c:showLegendKey val="0"/>
          <c:showVal val="0"/>
          <c:showCatName val="0"/>
          <c:showSerName val="0"/>
          <c:showPercent val="0"/>
          <c:showBubbleSize val="0"/>
        </c:dLbls>
        <c:gapWidth val="115"/>
        <c:overlap val="-20"/>
        <c:axId val="328787904"/>
        <c:axId val="328788296"/>
      </c:barChart>
      <c:catAx>
        <c:axId val="328787904"/>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t-BR"/>
          </a:p>
        </c:txPr>
        <c:crossAx val="328788296"/>
        <c:crosses val="autoZero"/>
        <c:auto val="0"/>
        <c:lblAlgn val="ctr"/>
        <c:lblOffset val="100"/>
        <c:noMultiLvlLbl val="0"/>
      </c:catAx>
      <c:valAx>
        <c:axId val="328788296"/>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28787904"/>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b="1">
                <a:solidFill>
                  <a:sysClr val="windowText" lastClr="000000"/>
                </a:solidFill>
              </a:rPr>
              <a:t>Gráfico 6 - Grau</a:t>
            </a:r>
            <a:r>
              <a:rPr lang="pt-BR" sz="1200" b="1" baseline="0">
                <a:solidFill>
                  <a:sysClr val="windowText" lastClr="000000"/>
                </a:solidFill>
              </a:rPr>
              <a:t> de ânimo com que enfrentará a entrada na universidade</a:t>
            </a:r>
            <a:r>
              <a:rPr lang="pt-BR" sz="1200" b="1">
                <a:solidFill>
                  <a:sysClr val="windowText" lastClr="000000"/>
                </a:solidFill>
              </a:rPr>
              <a:t> </a:t>
            </a:r>
          </a:p>
        </c:rich>
      </c:tx>
      <c:overlay val="0"/>
    </c:title>
    <c:autoTitleDeleted val="0"/>
    <c:plotArea>
      <c:layout/>
      <c:barChart>
        <c:barDir val="col"/>
        <c:grouping val="clustered"/>
        <c:varyColors val="0"/>
        <c:ser>
          <c:idx val="0"/>
          <c:order val="0"/>
          <c:tx>
            <c:strRef>
              <c:f>'[Pesquisa - A transição para a Universidade - Graduação EAD.XLSX]Question 27'!$M$3</c:f>
              <c:strCache>
                <c:ptCount val="1"/>
                <c:pt idx="0">
                  <c:v>Weighted Average</c:v>
                </c:pt>
              </c:strCache>
            </c:strRef>
          </c:tx>
          <c:spPr>
            <a:solidFill>
              <a:schemeClr val="tx1">
                <a:lumMod val="50000"/>
                <a:lumOff val="50000"/>
              </a:schemeClr>
            </a:solidFill>
            <a:ln>
              <a:prstDash val="solid"/>
            </a:ln>
          </c:spPr>
          <c:invertIfNegative val="0"/>
          <c:dPt>
            <c:idx val="0"/>
            <c:invertIfNegative val="0"/>
            <c:bubble3D val="0"/>
            <c:extLst xmlns:c16r2="http://schemas.microsoft.com/office/drawing/2015/06/chart">
              <c:ext xmlns:c16="http://schemas.microsoft.com/office/drawing/2014/chart" uri="{C3380CC4-5D6E-409C-BE32-E72D297353CC}">
                <c16:uniqueId val="{00000000-F077-4111-AA04-1B5C2B7BEF08}"/>
              </c:ext>
            </c:extLst>
          </c:dPt>
          <c:dPt>
            <c:idx val="1"/>
            <c:invertIfNegative val="0"/>
            <c:bubble3D val="0"/>
            <c:extLst xmlns:c16r2="http://schemas.microsoft.com/office/drawing/2015/06/chart">
              <c:ext xmlns:c16="http://schemas.microsoft.com/office/drawing/2014/chart" uri="{C3380CC4-5D6E-409C-BE32-E72D297353CC}">
                <c16:uniqueId val="{00000001-F077-4111-AA04-1B5C2B7BEF08}"/>
              </c:ext>
            </c:extLst>
          </c:dPt>
          <c:dPt>
            <c:idx val="2"/>
            <c:invertIfNegative val="0"/>
            <c:bubble3D val="0"/>
            <c:extLst xmlns:c16r2="http://schemas.microsoft.com/office/drawing/2015/06/chart">
              <c:ext xmlns:c16="http://schemas.microsoft.com/office/drawing/2014/chart" uri="{C3380CC4-5D6E-409C-BE32-E72D297353CC}">
                <c16:uniqueId val="{00000002-F077-4111-AA04-1B5C2B7BEF08}"/>
              </c:ext>
            </c:extLst>
          </c:dPt>
          <c:cat>
            <c:strRef>
              <c:f>'[Pesquisa - A transição para a Universidade - Graduação EAD.XLSX]Question 27'!$A$4:$A$7</c:f>
              <c:strCache>
                <c:ptCount val="4"/>
                <c:pt idx="0">
                  <c:v>Com otimismo, creio que a experiência será positiva</c:v>
                </c:pt>
                <c:pt idx="1">
                  <c:v>Com otimismo, porém tenho medo de fracassar</c:v>
                </c:pt>
                <c:pt idx="2">
                  <c:v>Sem muito otimismo, porém creio que seguirei adiante</c:v>
                </c:pt>
                <c:pt idx="3">
                  <c:v>Desanimado: não vejo claro os resultados desta nova etapa</c:v>
                </c:pt>
              </c:strCache>
            </c:strRef>
          </c:cat>
          <c:val>
            <c:numRef>
              <c:f>'[Pesquisa - A transição para a Universidade - Graduação EAD.XLSX]Question 27'!$M$4:$M$7</c:f>
              <c:numCache>
                <c:formatCode>General</c:formatCode>
                <c:ptCount val="4"/>
                <c:pt idx="0">
                  <c:v>4.5999999999999996</c:v>
                </c:pt>
                <c:pt idx="1">
                  <c:v>2.61</c:v>
                </c:pt>
                <c:pt idx="2">
                  <c:v>2.11</c:v>
                </c:pt>
                <c:pt idx="3">
                  <c:v>1.37</c:v>
                </c:pt>
              </c:numCache>
            </c:numRef>
          </c:val>
          <c:extLst xmlns:c16r2="http://schemas.microsoft.com/office/drawing/2015/06/chart">
            <c:ext xmlns:c16="http://schemas.microsoft.com/office/drawing/2014/chart" uri="{C3380CC4-5D6E-409C-BE32-E72D297353CC}">
              <c16:uniqueId val="{00000003-F077-4111-AA04-1B5C2B7BEF08}"/>
            </c:ext>
          </c:extLst>
        </c:ser>
        <c:dLbls>
          <c:showLegendKey val="0"/>
          <c:showVal val="0"/>
          <c:showCatName val="0"/>
          <c:showSerName val="0"/>
          <c:showPercent val="0"/>
          <c:showBubbleSize val="0"/>
        </c:dLbls>
        <c:gapWidth val="150"/>
        <c:axId val="425829680"/>
        <c:axId val="425835168"/>
      </c:barChart>
      <c:valAx>
        <c:axId val="425835168"/>
        <c:scaling>
          <c:orientation val="minMax"/>
        </c:scaling>
        <c:delete val="1"/>
        <c:axPos val="l"/>
        <c:numFmt formatCode="General" sourceLinked="1"/>
        <c:majorTickMark val="out"/>
        <c:minorTickMark val="none"/>
        <c:tickLblPos val="nextTo"/>
        <c:crossAx val="425829680"/>
        <c:crosses val="autoZero"/>
        <c:crossBetween val="between"/>
      </c:valAx>
      <c:catAx>
        <c:axId val="425829680"/>
        <c:scaling>
          <c:orientation val="minMax"/>
        </c:scaling>
        <c:delete val="0"/>
        <c:axPos val="b"/>
        <c:numFmt formatCode="General" sourceLinked="1"/>
        <c:majorTickMark val="out"/>
        <c:minorTickMark val="none"/>
        <c:tickLblPos val="nextTo"/>
        <c:txPr>
          <a:bodyPr/>
          <a:lstStyle/>
          <a:p>
            <a:pPr>
              <a:defRPr sz="900"/>
            </a:pPr>
            <a:endParaRPr lang="pt-BR"/>
          </a:p>
        </c:txPr>
        <c:crossAx val="425835168"/>
        <c:crosses val="autoZero"/>
        <c:auto val="0"/>
        <c:lblAlgn val="ctr"/>
        <c:lblOffset val="100"/>
        <c:noMultiLvlLbl val="0"/>
      </c:catAx>
      <c:spPr>
        <a:noFill/>
        <a:ln w="25400">
          <a:noFill/>
        </a:ln>
      </c:spPr>
    </c:plotArea>
    <c:plotVisOnly val="0"/>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t-BR" sz="1200" b="1">
                <a:solidFill>
                  <a:sysClr val="windowText" lastClr="000000"/>
                </a:solidFill>
              </a:rPr>
              <a:t>Gráfico</a:t>
            </a:r>
            <a:r>
              <a:rPr lang="pt-BR" sz="1200" b="1" baseline="0">
                <a:solidFill>
                  <a:sysClr val="windowText" lastClr="000000"/>
                </a:solidFill>
              </a:rPr>
              <a:t> 7 - Grau de informação sobre o curso em que se matriculou</a:t>
            </a:r>
            <a:endParaRPr lang="pt-BR" sz="1200" b="1">
              <a:solidFill>
                <a:sysClr val="windowText" lastClr="000000"/>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t-BR"/>
        </a:p>
      </c:txPr>
    </c:title>
    <c:autoTitleDeleted val="0"/>
    <c:plotArea>
      <c:layout/>
      <c:barChart>
        <c:barDir val="col"/>
        <c:grouping val="clustered"/>
        <c:varyColors val="0"/>
        <c:ser>
          <c:idx val="0"/>
          <c:order val="0"/>
          <c:spPr>
            <a:solidFill>
              <a:schemeClr val="tx1">
                <a:lumMod val="50000"/>
                <a:lumOff val="50000"/>
              </a:schemeClr>
            </a:solidFill>
            <a:ln>
              <a:noFill/>
            </a:ln>
            <a:effectLst/>
          </c:spPr>
          <c:invertIfNegative val="0"/>
          <c:dPt>
            <c:idx val="0"/>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1-CBB3-45F3-A533-171B93FAFB54}"/>
              </c:ext>
            </c:extLst>
          </c:dPt>
          <c:dPt>
            <c:idx val="1"/>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3-CBB3-45F3-A533-171B93FAFB54}"/>
              </c:ext>
            </c:extLst>
          </c:dPt>
          <c:dPt>
            <c:idx val="2"/>
            <c:invertIfNegative val="0"/>
            <c:bubble3D val="0"/>
            <c:spPr>
              <a:solidFill>
                <a:schemeClr val="tx1">
                  <a:lumMod val="50000"/>
                  <a:lumOff val="50000"/>
                </a:schemeClr>
              </a:solidFill>
              <a:ln>
                <a:noFill/>
              </a:ln>
              <a:effectLst/>
            </c:spPr>
            <c:extLst xmlns:c16r2="http://schemas.microsoft.com/office/drawing/2015/06/chart">
              <c:ext xmlns:c16="http://schemas.microsoft.com/office/drawing/2014/chart" uri="{C3380CC4-5D6E-409C-BE32-E72D297353CC}">
                <c16:uniqueId val="{00000005-CBB3-45F3-A533-171B93FAFB54}"/>
              </c:ext>
            </c:extLst>
          </c:dPt>
          <c:cat>
            <c:strRef>
              <c:f>Planilha5!$A$1:$A$4</c:f>
              <c:strCache>
                <c:ptCount val="4"/>
                <c:pt idx="0">
                  <c:v>Nivél de exigência</c:v>
                </c:pt>
                <c:pt idx="1">
                  <c:v>Qualidade </c:v>
                </c:pt>
                <c:pt idx="2">
                  <c:v>Currículo do curso</c:v>
                </c:pt>
                <c:pt idx="3">
                  <c:v>Perspectivas profissionais</c:v>
                </c:pt>
              </c:strCache>
            </c:strRef>
          </c:cat>
          <c:val>
            <c:numRef>
              <c:f>Planilha5!$B$1:$B$4</c:f>
              <c:numCache>
                <c:formatCode>General</c:formatCode>
                <c:ptCount val="4"/>
                <c:pt idx="0">
                  <c:v>3.36</c:v>
                </c:pt>
                <c:pt idx="1">
                  <c:v>3.57</c:v>
                </c:pt>
                <c:pt idx="2">
                  <c:v>3.6</c:v>
                </c:pt>
                <c:pt idx="3">
                  <c:v>3.98</c:v>
                </c:pt>
              </c:numCache>
            </c:numRef>
          </c:val>
          <c:extLst xmlns:c16r2="http://schemas.microsoft.com/office/drawing/2015/06/chart">
            <c:ext xmlns:c16="http://schemas.microsoft.com/office/drawing/2014/chart" uri="{C3380CC4-5D6E-409C-BE32-E72D297353CC}">
              <c16:uniqueId val="{00000006-CBB3-45F3-A533-171B93FAFB54}"/>
            </c:ext>
          </c:extLst>
        </c:ser>
        <c:dLbls>
          <c:showLegendKey val="0"/>
          <c:showVal val="0"/>
          <c:showCatName val="0"/>
          <c:showSerName val="0"/>
          <c:showPercent val="0"/>
          <c:showBubbleSize val="0"/>
        </c:dLbls>
        <c:gapWidth val="219"/>
        <c:overlap val="-27"/>
        <c:axId val="425833208"/>
        <c:axId val="425832424"/>
      </c:barChart>
      <c:catAx>
        <c:axId val="425833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pt-BR"/>
          </a:p>
        </c:txPr>
        <c:crossAx val="425832424"/>
        <c:crosses val="autoZero"/>
        <c:auto val="1"/>
        <c:lblAlgn val="ctr"/>
        <c:lblOffset val="100"/>
        <c:noMultiLvlLbl val="0"/>
      </c:catAx>
      <c:valAx>
        <c:axId val="425832424"/>
        <c:scaling>
          <c:orientation val="minMax"/>
        </c:scaling>
        <c:delete val="1"/>
        <c:axPos val="l"/>
        <c:numFmt formatCode="General" sourceLinked="1"/>
        <c:majorTickMark val="none"/>
        <c:minorTickMark val="none"/>
        <c:tickLblPos val="nextTo"/>
        <c:crossAx val="425833208"/>
        <c:crosses val="autoZero"/>
        <c:crossBetween val="between"/>
      </c:valAx>
      <c:spPr>
        <a:solidFill>
          <a:schemeClr val="bg1"/>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1197"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9357</Words>
  <Characters>50528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Fagundes</dc:creator>
  <cp:keywords/>
  <dc:description/>
  <cp:lastModifiedBy>Caterine Fagundes</cp:lastModifiedBy>
  <cp:revision>1</cp:revision>
  <dcterms:created xsi:type="dcterms:W3CDTF">2018-06-20T17:18:00Z</dcterms:created>
  <dcterms:modified xsi:type="dcterms:W3CDTF">2018-06-20T17:19:00Z</dcterms:modified>
</cp:coreProperties>
</file>