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9B" w:rsidRPr="00D7317E" w:rsidRDefault="00E5453C" w:rsidP="00D731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7E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E5453C" w:rsidRPr="00D7317E" w:rsidRDefault="00E5453C" w:rsidP="00B364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317E">
        <w:rPr>
          <w:rFonts w:ascii="Times New Roman" w:hAnsi="Times New Roman" w:cs="Times New Roman"/>
          <w:sz w:val="24"/>
          <w:szCs w:val="24"/>
        </w:rPr>
        <w:t xml:space="preserve">A remição de pena pela leitura no Brasil é um tema recente na literatura acadêmica porque também é recente a legislação que </w:t>
      </w:r>
      <w:r w:rsidR="00D7317E">
        <w:rPr>
          <w:rFonts w:ascii="Times New Roman" w:hAnsi="Times New Roman" w:cs="Times New Roman"/>
          <w:sz w:val="24"/>
          <w:szCs w:val="24"/>
        </w:rPr>
        <w:t xml:space="preserve">permite que a população privada de liberdade possa reduzir sua pena pela participação em atividades de leitura. Este artigo apresenta e analisa os documentos legais que estabeleceram regras para estas atividades </w:t>
      </w:r>
      <w:r w:rsidR="00B36468">
        <w:rPr>
          <w:rFonts w:ascii="Times New Roman" w:hAnsi="Times New Roman" w:cs="Times New Roman"/>
          <w:sz w:val="24"/>
          <w:szCs w:val="24"/>
        </w:rPr>
        <w:t>e a remição de pena pela leitura. Na segunda parte do texto, os autores refletem sobre uma experiência de leitura realizada em presídio feminino do Rio Grande do Sul. De modo geral, a importância destas reflexões é abordar a leitura enquanto educação não escolar de jovens e adultos em contextos de privação de liberdade na perspectiva da garantia de direitos.</w:t>
      </w:r>
    </w:p>
    <w:sectPr w:rsidR="00E5453C" w:rsidRPr="00D73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3C"/>
    <w:rsid w:val="000E4A81"/>
    <w:rsid w:val="007E119B"/>
    <w:rsid w:val="00B36468"/>
    <w:rsid w:val="00D7317E"/>
    <w:rsid w:val="00E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606A"/>
  <w15:chartTrackingRefBased/>
  <w15:docId w15:val="{D4A4D085-E917-4333-AC12-832EDA64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541F-359D-40AD-AA5E-47C56A72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2018-08-22T13:31:00Z</dcterms:created>
  <dcterms:modified xsi:type="dcterms:W3CDTF">2018-08-22T14:02:00Z</dcterms:modified>
</cp:coreProperties>
</file>